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2"/>
        </w:rPr>
        <w:t>RAJDOLL: Multi-Agent LLM Orchestration via Model Context Protocol</w:t>
        <w:br/>
        <w:t>for Automated OWASP WSTG 4.2 Web Penetration Testing</w:t>
      </w:r>
    </w:p>
    <w:p>
      <w:pPr>
        <w:spacing w:after="40"/>
        <w:jc w:val="center"/>
      </w:pPr>
      <w:r>
        <w:rPr>
          <w:rFonts w:ascii="Times New Roman" w:hAnsi="Times New Roman"/>
          <w:b w:val="0"/>
          <w:i w:val="0"/>
          <w:sz w:val="22"/>
        </w:rPr>
        <w:t>Martua Raja Doli Pangaribuan</w:t>
      </w:r>
    </w:p>
    <w:p>
      <w:pPr>
        <w:spacing w:after="40"/>
        <w:jc w:val="center"/>
      </w:pPr>
      <w:r>
        <w:rPr>
          <w:rFonts w:ascii="Times New Roman" w:hAnsi="Times New Roman"/>
          <w:b w:val="0"/>
          <w:i/>
          <w:sz w:val="20"/>
        </w:rPr>
        <w:t>Department of Cyber Security Engineering</w:t>
      </w:r>
    </w:p>
    <w:p>
      <w:pPr>
        <w:spacing w:after="40"/>
        <w:jc w:val="center"/>
      </w:pPr>
      <w:r>
        <w:rPr>
          <w:rFonts w:ascii="Times New Roman" w:hAnsi="Times New Roman"/>
          <w:b w:val="0"/>
          <w:i/>
          <w:sz w:val="20"/>
        </w:rPr>
        <w:t>Politeknik Siber dan Sandi Negara, Bogor, Indonesia</w:t>
      </w:r>
    </w:p>
    <w:p>
      <w:pPr>
        <w:spacing w:after="200"/>
        <w:jc w:val="center"/>
      </w:pPr>
      <w:r>
        <w:rPr>
          <w:rFonts w:ascii="Times New Roman" w:hAnsi="Times New Roman"/>
          <w:b w:val="0"/>
          <w:i/>
          <w:sz w:val="20"/>
        </w:rPr>
        <w:t>martua.raja@pssn.ac.id</w:t>
      </w:r>
    </w:p>
    <w:p>
      <w:pPr>
        <w:spacing w:before="80" w:after="80"/>
        <w:pBdr>
          <w:bottom w:val="single" w:sz="6" w:space="1" w:color="000000"/>
        </w:pBdr>
      </w:pPr>
    </w:p>
    <w:p>
      <w:pPr>
        <w:spacing w:before="120" w:after="80"/>
        <w:jc w:val="both"/>
      </w:pPr>
      <w:r>
        <w:rPr>
          <w:rFonts w:ascii="Times New Roman" w:hAnsi="Times New Roman"/>
          <w:b/>
          <w:i/>
          <w:sz w:val="18"/>
        </w:rPr>
        <w:t>Abstract—Web application penetration testing remains fragmented, time-intensive, and deeply dependent on expert familiarity with dozens of incompatible tools. We present RAJDOLL, a multi-agent AI system that automates security testing against the OWASP Web Security Testing Guide (WSTG) v4.2 standard. The core idea is straightforward: 14 specialized agents, each responsible for one WSTG category, communicate exclusively through Model Context Protocol (MCP)—a single JSON-RPC 2.0 interface that exposes 163 open-source security tools running across 14 Docker containers. A local large language model (LLM, Qwen 3-4B) coordinates this pipeline using a Planner-Summarizer Sequential pattern. After each agent completes, the LLM compresses its findings into a cumulative summary handed to the next agent—a design that eliminates the cross-tool context loss endemic to prior approaches. Evaluated against OWASP Juice Shop v16 using a formal 57-entry ground truth database, RAJDOLL achieves Precision 93.24%, Recall 87.72%, F1-Score 90.40%, and Task Completion Rate 100% across 96 WSTG test scenarios. Detection Rate reaches 87.72%—3.1–6.8× the published commercial baselines (Acunetix 13%, OWASP ZAP 28.3%). The full scan completes in approximately 65 minutes within a 4-hour budget. All computation runs locally; no tool output or target data leaves the deployment environment.</w:t>
      </w:r>
      <w:r>
        <w:rPr>
          <w:rFonts w:ascii="Times New Roman" w:hAnsi="Times New Roman"/>
          <w:b w:val="0"/>
          <w:i w:val="0"/>
          <w:sz w:val="18"/>
        </w:rPr>
      </w:r>
    </w:p>
    <w:p>
      <w:pPr>
        <w:spacing w:after="160"/>
        <w:jc w:val="both"/>
      </w:pPr>
      <w:r>
        <w:rPr>
          <w:rFonts w:ascii="Times New Roman" w:hAnsi="Times New Roman"/>
          <w:b/>
          <w:i/>
          <w:sz w:val="18"/>
        </w:rPr>
        <w:t>Index Terms—Model Context Protocol, Large Language Model, Multi-Agent System, Web Penetration Testing, OWASP WSTG 4.2</w:t>
      </w:r>
      <w:r>
        <w:rPr>
          <w:rFonts w:ascii="Times New Roman" w:hAnsi="Times New Roman"/>
          <w:b w:val="0"/>
          <w:i w:val="0"/>
          <w:sz w:val="18"/>
        </w:rPr>
      </w:r>
    </w:p>
    <w:p>
      <w:pPr>
        <w:spacing w:before="80" w:after="80"/>
        <w:pBdr>
          <w:bottom w:val="single" w:sz="6" w:space="1" w:color="000000"/>
        </w:pBdr>
      </w:pPr>
    </w:p>
    <w:p>
      <w:pPr>
        <w:spacing w:before="120" w:after="60"/>
        <w:jc w:val="center"/>
      </w:pPr>
      <w:r>
        <w:rPr>
          <w:rFonts w:ascii="Times New Roman" w:hAnsi="Times New Roman"/>
          <w:b/>
          <w:i w:val="0"/>
          <w:sz w:val="20"/>
        </w:rPr>
        <w:t>I. INTRODUCTION</w:t>
      </w:r>
    </w:p>
    <w:p>
      <w:pPr>
        <w:spacing w:before="0" w:after="80" w:line="240" w:lineRule="auto"/>
        <w:ind w:firstLine="280"/>
        <w:jc w:val="both"/>
      </w:pPr>
      <w:r>
        <w:rPr>
          <w:rFonts w:ascii="Times New Roman" w:hAnsi="Times New Roman"/>
          <w:b w:val="0"/>
          <w:i w:val="0"/>
          <w:sz w:val="20"/>
        </w:rPr>
        <w:t>The attack surface of web applications is not shrinking. Indonesia's National Cyber and Crypto Agency (BSSN) logged 1,931 security vulnerabilities in government web and mobile applications during 2024 alone—256 of them classified Critical. The global picture is no more reassuring: HackerOne's 2024 annual report recorded 78,042 valid vulnerability reports, 88% targeting web applications [1][2].</w:t>
      </w:r>
    </w:p>
    <w:p>
      <w:pPr>
        <w:spacing w:before="0" w:after="80" w:line="240" w:lineRule="auto"/>
        <w:ind w:firstLine="280"/>
        <w:jc w:val="both"/>
      </w:pPr>
      <w:r>
        <w:rPr>
          <w:rFonts w:ascii="Times New Roman" w:hAnsi="Times New Roman"/>
          <w:b w:val="0"/>
          <w:i w:val="0"/>
          <w:sz w:val="20"/>
        </w:rPr>
        <w:t>Penetration testing—simulating authorized attacks to expose exploitable weaknesses before adversaries do—is the primary countermeasure. The practice is effective in principle. In execution, however, testers must coordinate dozens of tools (SQLMap, Dalfox, Nmap, Nikto, Feroxbuster), each with its own command-line syntax, output format, and implicit assumptions. Translating findings across tool boundaries and maintaining coherent state across test categories demands both deep expertise and significant time—resources most organizations cannot spare.</w:t>
      </w:r>
    </w:p>
    <w:p>
      <w:pPr>
        <w:spacing w:before="0" w:after="80" w:line="240" w:lineRule="auto"/>
        <w:ind w:firstLine="280"/>
        <w:jc w:val="both"/>
      </w:pPr>
      <w:r>
        <w:rPr>
          <w:rFonts w:ascii="Times New Roman" w:hAnsi="Times New Roman"/>
          <w:b w:val="0"/>
          <w:i w:val="0"/>
          <w:sz w:val="20"/>
        </w:rPr>
        <w:t>Recent work has explored LLMs as a solution to this coordination problem. PentestGPT [3] introduced a three-module reasoning architecture but identified loss of session context as its fundamental bottleneck—expanding the token window from 8K to 32K tokens did not solve it. HackSynth [4] proposed a Planner-Summarizer dual-module for CTF challenges but adopted no structured web security methodology. PENTEST-AI [5] deployed a four-agent architecture backed by MITRE ATT&amp;CK knowledge—too general, our analysis suggests, for the specific test categories that web application auditing requires.</w:t>
      </w:r>
    </w:p>
    <w:p>
      <w:pPr>
        <w:spacing w:before="0" w:after="80" w:line="240" w:lineRule="auto"/>
        <w:ind w:firstLine="280"/>
        <w:jc w:val="both"/>
      </w:pPr>
      <w:r>
        <w:rPr>
          <w:rFonts w:ascii="Times New Roman" w:hAnsi="Times New Roman"/>
          <w:b w:val="0"/>
          <w:i w:val="0"/>
          <w:sz w:val="20"/>
        </w:rPr>
        <w:t>Two consistent gaps emerge. First, no existing system aligns its agent structure directly to a web-specific testing methodology. Second, none employs a standardized inter-agent communication protocol to preserve cross-tool state. RAJDOLL addresses both.</w:t>
      </w:r>
    </w:p>
    <w:p>
      <w:pPr>
        <w:spacing w:before="0" w:after="40" w:line="240" w:lineRule="auto"/>
        <w:jc w:val="both"/>
      </w:pPr>
      <w:r>
        <w:rPr>
          <w:rFonts w:ascii="Times New Roman" w:hAnsi="Times New Roman"/>
          <w:b w:val="0"/>
          <w:i w:val="0"/>
          <w:sz w:val="20"/>
        </w:rPr>
        <w:t>Our contributions are:</w:t>
      </w:r>
    </w:p>
    <w:p>
      <w:pPr>
        <w:spacing w:before="0" w:after="40"/>
        <w:ind w:left="432" w:hanging="432"/>
        <w:jc w:val="both"/>
      </w:pPr>
      <w:r>
        <w:rPr>
          <w:rFonts w:ascii="Times New Roman" w:hAnsi="Times New Roman"/>
          <w:b/>
          <w:i w:val="0"/>
          <w:sz w:val="20"/>
        </w:rPr>
        <w:t>1) WSTG-aligned agent decomposition: 14 agents mapped one-to-one onto OWASP WSTG v4.2 categories, yielding complete methodological coverage of the standard.</w:t>
      </w:r>
      <w:r>
        <w:rPr>
          <w:rFonts w:ascii="Times New Roman" w:hAnsi="Times New Roman"/>
          <w:b w:val="0"/>
          <w:i w:val="0"/>
          <w:sz w:val="20"/>
        </w:rPr>
      </w:r>
    </w:p>
    <w:p>
      <w:pPr>
        <w:spacing w:before="0" w:after="40"/>
        <w:ind w:left="432" w:hanging="432"/>
        <w:jc w:val="both"/>
      </w:pPr>
      <w:r>
        <w:rPr>
          <w:rFonts w:ascii="Times New Roman" w:hAnsi="Times New Roman"/>
          <w:b/>
          <w:i w:val="0"/>
          <w:sz w:val="20"/>
        </w:rPr>
        <w:t>2) MCP as the standardized tool interface: 163 security tools across 14 servers, all accessed via a single JSON-RPC 2.0 protocol—to our knowledge, the first application of MCP in web penetration testing automation.</w:t>
      </w:r>
      <w:r>
        <w:rPr>
          <w:rFonts w:ascii="Times New Roman" w:hAnsi="Times New Roman"/>
          <w:b w:val="0"/>
          <w:i w:val="0"/>
          <w:sz w:val="20"/>
        </w:rPr>
      </w:r>
    </w:p>
    <w:p>
      <w:pPr>
        <w:spacing w:before="0" w:after="40"/>
        <w:ind w:left="432" w:hanging="432"/>
        <w:jc w:val="both"/>
      </w:pPr>
      <w:r>
        <w:rPr>
          <w:rFonts w:ascii="Times New Roman" w:hAnsi="Times New Roman"/>
          <w:b/>
          <w:i w:val="0"/>
          <w:sz w:val="20"/>
        </w:rPr>
        <w:t>3) Planner-Summarizer Sequential orchestration: an extension of HackSynth's dual-module pattern to a 14-agent, multi-category web security pipeline, with cumulative shared context that grows as each agent completes.</w:t>
      </w:r>
      <w:r>
        <w:rPr>
          <w:rFonts w:ascii="Times New Roman" w:hAnsi="Times New Roman"/>
          <w:b w:val="0"/>
          <w:i w:val="0"/>
          <w:sz w:val="20"/>
        </w:rPr>
      </w:r>
    </w:p>
    <w:p>
      <w:pPr>
        <w:spacing w:before="0" w:after="40"/>
        <w:ind w:left="432" w:hanging="432"/>
        <w:jc w:val="both"/>
      </w:pPr>
      <w:r>
        <w:rPr>
          <w:rFonts w:ascii="Times New Roman" w:hAnsi="Times New Roman"/>
          <w:b/>
          <w:i w:val="0"/>
          <w:sz w:val="20"/>
        </w:rPr>
        <w:t>4) Validated empirical results: Precision 93.24%, Recall 87.72%, F1 90.40%, TCR 100% on OWASP Juice Shop—validated against a formal 57-entry ground truth database with WSTG category-level matching.</w:t>
      </w:r>
      <w:r>
        <w:rPr>
          <w:rFonts w:ascii="Times New Roman" w:hAnsi="Times New Roman"/>
          <w:b w:val="0"/>
          <w:i w:val="0"/>
          <w:sz w:val="20"/>
        </w:rPr>
      </w:r>
    </w:p>
    <w:p>
      <w:pPr>
        <w:spacing w:before="120" w:after="60"/>
        <w:jc w:val="center"/>
      </w:pPr>
      <w:r>
        <w:rPr>
          <w:rFonts w:ascii="Times New Roman" w:hAnsi="Times New Roman"/>
          <w:b/>
          <w:i w:val="0"/>
          <w:sz w:val="20"/>
        </w:rPr>
        <w:t>II. RELATED WORK</w:t>
      </w:r>
    </w:p>
    <w:p>
      <w:pPr>
        <w:spacing w:before="0" w:after="40" w:line="240" w:lineRule="auto"/>
        <w:jc w:val="both"/>
      </w:pPr>
      <w:r>
        <w:rPr>
          <w:rFonts w:ascii="Times New Roman" w:hAnsi="Times New Roman"/>
          <w:b w:val="0"/>
          <w:i w:val="0"/>
          <w:sz w:val="20"/>
        </w:rPr>
      </w:r>
    </w:p>
    <w:p>
      <w:pPr>
        <w:spacing w:after="80"/>
        <w:jc w:val="both"/>
      </w:pPr>
      <w:r>
        <w:rPr>
          <w:rFonts w:ascii="Times New Roman" w:hAnsi="Times New Roman"/>
          <w:b/>
          <w:i w:val="0"/>
          <w:sz w:val="20"/>
        </w:rPr>
        <w:t>PentestGPT [3] orchestrates penetration testing through three cooperating modules: Reasoning (task analysis), Generation (command generation), and Parsing (output interpretation). Task completion improves by 228.6% over GPT-3.5. Yet the system scales poorly—expanding the context window to 32K tokens and introducing vector database retrieval both fail to prevent context loss on multi-phase engagements. The root cause is architectural: raw tool output accumulates until it saturates available context, with no compression mechanism to preserve signal across phase boundaries.</w:t>
      </w:r>
      <w:r>
        <w:rPr>
          <w:rFonts w:ascii="Times New Roman" w:hAnsi="Times New Roman"/>
          <w:b w:val="0"/>
          <w:i w:val="0"/>
          <w:sz w:val="20"/>
        </w:rPr>
      </w:r>
    </w:p>
    <w:p>
      <w:pPr>
        <w:spacing w:after="80"/>
        <w:jc w:val="both"/>
      </w:pPr>
      <w:r>
        <w:rPr>
          <w:rFonts w:ascii="Times New Roman" w:hAnsi="Times New Roman"/>
          <w:b/>
          <w:i w:val="0"/>
          <w:sz w:val="20"/>
        </w:rPr>
        <w:t>HackSynth [4] directly addresses this accumulation problem with a Planner-Summarizer dual module. The Planner proposes candidate actions; the Summarizer compresses tool output into reusable state. Evaluated on PicoCTF and OverTheWire CTF challenges, the design manages context effectively. What it does not provide is alignment to any structured web security methodology—nor a standardized interface for the underlying tools, which limits composability.</w:t>
      </w:r>
      <w:r>
        <w:rPr>
          <w:rFonts w:ascii="Times New Roman" w:hAnsi="Times New Roman"/>
          <w:b w:val="0"/>
          <w:i w:val="0"/>
          <w:sz w:val="20"/>
        </w:rPr>
      </w:r>
    </w:p>
    <w:p>
      <w:pPr>
        <w:spacing w:after="80"/>
        <w:jc w:val="both"/>
      </w:pPr>
      <w:r>
        <w:rPr>
          <w:rFonts w:ascii="Times New Roman" w:hAnsi="Times New Roman"/>
          <w:b/>
          <w:i w:val="0"/>
          <w:sz w:val="20"/>
        </w:rPr>
        <w:t>PENTEST-AI [5] brings four specialized agents—scanning, exploitation, validation, and reporting—backed by MITRE ATT&amp;CK knowledge. Designed for general network targets, it lacks both WSTG alignment and a standardized inter-agent protocol. Put differently, it applies a general adversarial framework to a domain that has its own authoritative testing standard.</w:t>
      </w:r>
      <w:r>
        <w:rPr>
          <w:rFonts w:ascii="Times New Roman" w:hAnsi="Times New Roman"/>
          <w:b w:val="0"/>
          <w:i w:val="0"/>
          <w:sz w:val="20"/>
        </w:rPr>
      </w:r>
    </w:p>
    <w:p>
      <w:pPr>
        <w:spacing w:before="0" w:after="80" w:line="240" w:lineRule="auto"/>
        <w:ind w:firstLine="280"/>
        <w:jc w:val="both"/>
      </w:pPr>
      <w:r>
        <w:rPr>
          <w:rFonts w:ascii="Times New Roman" w:hAnsi="Times New Roman"/>
          <w:b w:val="0"/>
          <w:i w:val="0"/>
          <w:sz w:val="20"/>
        </w:rPr>
        <w:t>RAJDOLL inherits HackSynth's Planner-Summarizer design, extends it to 14 agents aligned with WSTG v4.2 categories, and connects all agents through MCP for uniform tool access. This combination fills both gaps that prior work leaves open.</w:t>
      </w:r>
    </w:p>
    <w:p>
      <w:pPr>
        <w:spacing w:before="120" w:after="60"/>
        <w:jc w:val="center"/>
      </w:pPr>
      <w:r>
        <w:rPr>
          <w:rFonts w:ascii="Times New Roman" w:hAnsi="Times New Roman"/>
          <w:b/>
          <w:i w:val="0"/>
          <w:sz w:val="20"/>
        </w:rPr>
        <w:t>III. SYSTEM DESIGN</w:t>
      </w:r>
    </w:p>
    <w:p>
      <w:pPr>
        <w:spacing w:before="80" w:after="40"/>
        <w:jc w:val="left"/>
      </w:pPr>
      <w:r>
        <w:rPr>
          <w:rFonts w:ascii="Times New Roman" w:hAnsi="Times New Roman"/>
          <w:b/>
          <w:i/>
          <w:sz w:val="20"/>
        </w:rPr>
        <w:t>A. Architecture Overview</w:t>
      </w:r>
    </w:p>
    <w:p>
      <w:pPr>
        <w:spacing w:before="0" w:after="80" w:line="240" w:lineRule="auto"/>
        <w:ind w:firstLine="280"/>
        <w:jc w:val="both"/>
      </w:pPr>
      <w:r>
        <w:rPr>
          <w:rFonts w:ascii="Times New Roman" w:hAnsi="Times New Roman"/>
          <w:b w:val="0"/>
          <w:i w:val="0"/>
          <w:sz w:val="20"/>
        </w:rPr>
        <w:t>RAJDOLL is a six-layer system, illustrated in Fig. 1:</w:t>
      </w:r>
    </w:p>
    <w:p>
      <w:pPr>
        <w:pStyle w:val="ListBullet"/>
        <w:spacing w:before="0" w:after="40"/>
        <w:ind w:left="360"/>
        <w:jc w:val="both"/>
      </w:pPr>
      <w:r>
        <w:rPr>
          <w:rFonts w:ascii="Times New Roman" w:hAnsi="Times New Roman"/>
          <w:b w:val="0"/>
          <w:i w:val="0"/>
          <w:sz w:val="20"/>
        </w:rPr>
        <w:t>Presentation Layer: HTML/CSS/JavaScript frontend; FastAPI REST API; WebSocket real-time streaming.</w:t>
      </w:r>
    </w:p>
    <w:p>
      <w:pPr>
        <w:pStyle w:val="ListBullet"/>
        <w:spacing w:before="0" w:after="40"/>
        <w:ind w:left="360"/>
        <w:jc w:val="both"/>
      </w:pPr>
      <w:r>
        <w:rPr>
          <w:rFonts w:ascii="Times New Roman" w:hAnsi="Times New Roman"/>
          <w:b w:val="0"/>
          <w:i w:val="0"/>
          <w:sz w:val="20"/>
        </w:rPr>
        <w:t>LLM API Layer: Qwen 3-4B deployed locally via LM Studio; all calls use json_schema response format for deterministic structured output.</w:t>
      </w:r>
    </w:p>
    <w:p>
      <w:pPr>
        <w:pStyle w:val="ListBullet"/>
        <w:spacing w:before="0" w:after="40"/>
        <w:ind w:left="360"/>
        <w:jc w:val="both"/>
      </w:pPr>
      <w:r>
        <w:rPr>
          <w:rFonts w:ascii="Times New Roman" w:hAnsi="Times New Roman"/>
          <w:b w:val="0"/>
          <w:i w:val="0"/>
          <w:sz w:val="20"/>
        </w:rPr>
        <w:t>Orchestration Layer: LLM Planner (strategy), Task Manager (sequential scheduling), Context Coordinator (cumulative summary), Result Aggregation (cross-agent correlation).</w:t>
      </w:r>
    </w:p>
    <w:p>
      <w:pPr>
        <w:pStyle w:val="ListBullet"/>
        <w:spacing w:before="0" w:after="40"/>
        <w:ind w:left="360"/>
        <w:jc w:val="both"/>
      </w:pPr>
      <w:r>
        <w:rPr>
          <w:rFonts w:ascii="Times New Roman" w:hAnsi="Times New Roman"/>
          <w:b w:val="0"/>
          <w:i w:val="0"/>
          <w:sz w:val="20"/>
        </w:rPr>
        <w:t>MCP Layer: JSON-RPC 2.0 over HTTP; 14 MCP servers as tool registries; PostgreSQL-backed Shared Context stores cross-agent state.</w:t>
      </w:r>
    </w:p>
    <w:p>
      <w:pPr>
        <w:pStyle w:val="ListBullet"/>
        <w:spacing w:before="0" w:after="40"/>
        <w:ind w:left="360"/>
        <w:jc w:val="both"/>
      </w:pPr>
      <w:r>
        <w:rPr>
          <w:rFonts w:ascii="Times New Roman" w:hAnsi="Times New Roman"/>
          <w:b w:val="0"/>
          <w:i w:val="0"/>
          <w:sz w:val="20"/>
        </w:rPr>
        <w:t>Agent Layer: 14 specialized agents executing WSTG test cases within their assigned categories.</w:t>
      </w:r>
    </w:p>
    <w:p>
      <w:pPr>
        <w:pStyle w:val="ListBullet"/>
        <w:spacing w:before="0" w:after="40"/>
        <w:ind w:left="360"/>
        <w:jc w:val="both"/>
      </w:pPr>
      <w:r>
        <w:rPr>
          <w:rFonts w:ascii="Times New Roman" w:hAnsi="Times New Roman"/>
          <w:b w:val="0"/>
          <w:i w:val="0"/>
          <w:sz w:val="20"/>
        </w:rPr>
        <w:t>Infrastructure Layer: PostgreSQL, Redis, Celery, SQLAlchemy ORM.</w:t>
      </w:r>
    </w:p>
    <w:p>
      <w:pPr>
        <w:spacing w:before="120" w:after="40"/>
        <w:jc w:val="center"/>
      </w:pPr>
      <w:r>
        <w:rPr>
          <w:rFonts w:ascii="Times New Roman" w:hAnsi="Times New Roman"/>
          <w:b w:val="0"/>
          <w:i/>
          <w:sz w:val="18"/>
        </w:rPr>
        <w:t>[Figure 1: RAJDOLL Six-Layer System Architecture]</w:t>
      </w:r>
    </w:p>
    <w:p>
      <w:pPr>
        <w:spacing w:after="120"/>
        <w:jc w:val="center"/>
      </w:pPr>
      <w:r>
        <w:rPr>
          <w:rFonts w:ascii="Times New Roman" w:hAnsi="Times New Roman"/>
          <w:b w:val="0"/>
          <w:i w:val="0"/>
          <w:sz w:val="18"/>
        </w:rPr>
        <w:t>Fig. 1. RAJDOLL six-layer system architecture. The Orchestration Layer coordinates 14 specialist agents through the MCP Layer (JSON-RPC 2.0), which exposes 163 security tools as a uniform interface.</w:t>
      </w:r>
    </w:p>
    <w:p>
      <w:pPr>
        <w:spacing w:before="80" w:after="40"/>
        <w:jc w:val="left"/>
      </w:pPr>
      <w:r>
        <w:rPr>
          <w:rFonts w:ascii="Times New Roman" w:hAnsi="Times New Roman"/>
          <w:b/>
          <w:i/>
          <w:sz w:val="20"/>
        </w:rPr>
        <w:t>B. Agent-to-WSTG Mapping</w:t>
      </w:r>
    </w:p>
    <w:p>
      <w:pPr>
        <w:spacing w:before="0" w:after="80" w:line="240" w:lineRule="auto"/>
        <w:ind w:firstLine="280"/>
        <w:jc w:val="both"/>
      </w:pPr>
      <w:r>
        <w:rPr>
          <w:rFonts w:ascii="Times New Roman" w:hAnsi="Times New Roman"/>
          <w:b w:val="0"/>
          <w:i w:val="0"/>
          <w:sz w:val="20"/>
        </w:rPr>
        <w:t>Table I shows the 14 agents and their WSTG assignments. WSTG-INPV is deliberately split across two agents: InputValidationAgent handles SQLi, XSS, SSTI, NoSQL injection, HTTP parameter pollution, and ReDoS; FileUploadAgent focuses on upload vulnerabilities, path traversal, and null-byte bypass. This split prevents tool conflicts under concurrent execution and increases testing depth within each subcategory. Crucially, ReportGenerationAgent always runs last—even if earlier agents fail—ensuring the scan produces an auditable output regardless of intermediate errors.</w:t>
      </w:r>
    </w:p>
    <w:p>
      <w:pPr>
        <w:spacing w:before="120" w:after="40"/>
        <w:jc w:val="center"/>
      </w:pPr>
      <w:r>
        <w:rPr>
          <w:rFonts w:ascii="Times New Roman" w:hAnsi="Times New Roman"/>
          <w:b/>
          <w:i w:val="0"/>
          <w:sz w:val="18"/>
        </w:rPr>
        <w:t>TABLE I. AGENT-TO-WSTG MAPPING</w:t>
      </w:r>
    </w:p>
    <w:tbl>
      <w:tblPr>
        <w:tblStyle w:val="TableGrid"/>
        <w:tblW w:type="auto" w:w="0"/>
        <w:jc w:val="center"/>
        <w:tblLook w:firstColumn="1" w:firstRow="1" w:lastColumn="0" w:lastRow="0" w:noHBand="0" w:noVBand="1" w:val="04A0"/>
      </w:tblPr>
      <w:tblGrid>
        <w:gridCol w:w="2610"/>
        <w:gridCol w:w="2610"/>
        <w:gridCol w:w="2610"/>
        <w:gridCol w:w="2610"/>
      </w:tblGrid>
      <w:tr>
        <w:trPr>
          <w:trHeight w:val="280"/>
        </w:trPr>
        <w:tc>
          <w:tcPr>
            <w:tcW w:type="dxa" w:w="360"/>
            <w:vAlign w:val="center"/>
            <w:shd w:fill="D9D9D9" w:val="clear"/>
          </w:tcPr>
          <w:p>
            <w:pPr>
              <w:jc w:val="center"/>
            </w:pPr>
            <w:r>
              <w:rPr>
                <w:rFonts w:ascii="Times New Roman" w:hAnsi="Times New Roman"/>
                <w:b/>
                <w:sz w:val="18"/>
              </w:rPr>
              <w:t>#</w:t>
            </w:r>
          </w:p>
        </w:tc>
        <w:tc>
          <w:tcPr>
            <w:tcW w:type="dxa" w:w="2232"/>
            <w:vAlign w:val="center"/>
            <w:shd w:fill="D9D9D9" w:val="clear"/>
          </w:tcPr>
          <w:p>
            <w:pPr>
              <w:jc w:val="center"/>
            </w:pPr>
            <w:r>
              <w:rPr>
                <w:rFonts w:ascii="Times New Roman" w:hAnsi="Times New Roman"/>
                <w:b/>
                <w:sz w:val="18"/>
              </w:rPr>
              <w:t>Agent</w:t>
            </w:r>
          </w:p>
        </w:tc>
        <w:tc>
          <w:tcPr>
            <w:tcW w:type="dxa" w:w="1368"/>
            <w:vAlign w:val="center"/>
            <w:shd w:fill="D9D9D9" w:val="clear"/>
          </w:tcPr>
          <w:p>
            <w:pPr>
              <w:jc w:val="center"/>
            </w:pPr>
            <w:r>
              <w:rPr>
                <w:rFonts w:ascii="Times New Roman" w:hAnsi="Times New Roman"/>
                <w:b/>
                <w:sz w:val="18"/>
              </w:rPr>
              <w:t>WSTG Cat.</w:t>
            </w:r>
          </w:p>
        </w:tc>
        <w:tc>
          <w:tcPr>
            <w:tcW w:type="dxa" w:w="720"/>
            <w:vAlign w:val="center"/>
            <w:shd w:fill="D9D9D9" w:val="clear"/>
          </w:tcPr>
          <w:p>
            <w:pPr>
              <w:jc w:val="center"/>
            </w:pPr>
            <w:r>
              <w:rPr>
                <w:rFonts w:ascii="Times New Roman" w:hAnsi="Times New Roman"/>
                <w:b/>
                <w:sz w:val="18"/>
              </w:rPr>
              <w:t>Tools</w:t>
            </w:r>
          </w:p>
        </w:tc>
      </w:tr>
      <w:tr>
        <w:trPr>
          <w:trHeight w:val="260"/>
        </w:trPr>
        <w:tc>
          <w:tcPr>
            <w:tcW w:type="dxa" w:w="360"/>
            <w:vAlign w:val="center"/>
          </w:tcPr>
          <w:p>
            <w:pPr>
              <w:jc w:val="center"/>
            </w:pPr>
            <w:r>
              <w:rPr>
                <w:rFonts w:ascii="Times New Roman" w:hAnsi="Times New Roman"/>
                <w:sz w:val="18"/>
              </w:rPr>
              <w:t>1</w:t>
            </w:r>
          </w:p>
        </w:tc>
        <w:tc>
          <w:tcPr>
            <w:tcW w:type="dxa" w:w="2232"/>
            <w:vAlign w:val="center"/>
          </w:tcPr>
          <w:p>
            <w:pPr>
              <w:jc w:val="center"/>
            </w:pPr>
            <w:r>
              <w:rPr>
                <w:rFonts w:ascii="Times New Roman" w:hAnsi="Times New Roman"/>
                <w:sz w:val="18"/>
              </w:rPr>
              <w:t>ReconnaissanceAgent</w:t>
            </w:r>
          </w:p>
        </w:tc>
        <w:tc>
          <w:tcPr>
            <w:tcW w:type="dxa" w:w="1368"/>
            <w:vAlign w:val="center"/>
          </w:tcPr>
          <w:p>
            <w:pPr>
              <w:jc w:val="center"/>
            </w:pPr>
            <w:r>
              <w:rPr>
                <w:rFonts w:ascii="Times New Roman" w:hAnsi="Times New Roman"/>
                <w:sz w:val="18"/>
              </w:rPr>
              <w:t>WSTG-INFO</w:t>
            </w:r>
          </w:p>
        </w:tc>
        <w:tc>
          <w:tcPr>
            <w:tcW w:type="dxa" w:w="720"/>
            <w:vAlign w:val="center"/>
          </w:tcPr>
          <w:p>
            <w:pPr>
              <w:jc w:val="center"/>
            </w:pPr>
            <w:r>
              <w:rPr>
                <w:rFonts w:ascii="Times New Roman" w:hAnsi="Times New Roman"/>
                <w:sz w:val="18"/>
              </w:rPr>
              <w:t>28</w:t>
            </w:r>
          </w:p>
        </w:tc>
      </w:tr>
      <w:tr>
        <w:trPr>
          <w:trHeight w:val="260"/>
        </w:trPr>
        <w:tc>
          <w:tcPr>
            <w:tcW w:type="dxa" w:w="360"/>
            <w:vAlign w:val="center"/>
          </w:tcPr>
          <w:p>
            <w:pPr>
              <w:jc w:val="center"/>
            </w:pPr>
            <w:r>
              <w:rPr>
                <w:rFonts w:ascii="Times New Roman" w:hAnsi="Times New Roman"/>
                <w:sz w:val="18"/>
              </w:rPr>
              <w:t>2</w:t>
            </w:r>
          </w:p>
        </w:tc>
        <w:tc>
          <w:tcPr>
            <w:tcW w:type="dxa" w:w="2232"/>
            <w:vAlign w:val="center"/>
          </w:tcPr>
          <w:p>
            <w:pPr>
              <w:jc w:val="center"/>
            </w:pPr>
            <w:r>
              <w:rPr>
                <w:rFonts w:ascii="Times New Roman" w:hAnsi="Times New Roman"/>
                <w:sz w:val="18"/>
              </w:rPr>
              <w:t>AuthenticationAgent</w:t>
            </w:r>
          </w:p>
        </w:tc>
        <w:tc>
          <w:tcPr>
            <w:tcW w:type="dxa" w:w="1368"/>
            <w:vAlign w:val="center"/>
          </w:tcPr>
          <w:p>
            <w:pPr>
              <w:jc w:val="center"/>
            </w:pPr>
            <w:r>
              <w:rPr>
                <w:rFonts w:ascii="Times New Roman" w:hAnsi="Times New Roman"/>
                <w:sz w:val="18"/>
              </w:rPr>
              <w:t>WSTG-ATHN</w:t>
            </w:r>
          </w:p>
        </w:tc>
        <w:tc>
          <w:tcPr>
            <w:tcW w:type="dxa" w:w="720"/>
            <w:vAlign w:val="center"/>
          </w:tcPr>
          <w:p>
            <w:pPr>
              <w:jc w:val="center"/>
            </w:pPr>
            <w:r>
              <w:rPr>
                <w:rFonts w:ascii="Times New Roman" w:hAnsi="Times New Roman"/>
                <w:sz w:val="18"/>
              </w:rPr>
              <w:t>12</w:t>
            </w:r>
          </w:p>
        </w:tc>
      </w:tr>
      <w:tr>
        <w:trPr>
          <w:trHeight w:val="260"/>
        </w:trPr>
        <w:tc>
          <w:tcPr>
            <w:tcW w:type="dxa" w:w="360"/>
            <w:vAlign w:val="center"/>
          </w:tcPr>
          <w:p>
            <w:pPr>
              <w:jc w:val="center"/>
            </w:pPr>
            <w:r>
              <w:rPr>
                <w:rFonts w:ascii="Times New Roman" w:hAnsi="Times New Roman"/>
                <w:sz w:val="18"/>
              </w:rPr>
              <w:t>3</w:t>
            </w:r>
          </w:p>
        </w:tc>
        <w:tc>
          <w:tcPr>
            <w:tcW w:type="dxa" w:w="2232"/>
            <w:vAlign w:val="center"/>
          </w:tcPr>
          <w:p>
            <w:pPr>
              <w:jc w:val="center"/>
            </w:pPr>
            <w:r>
              <w:rPr>
                <w:rFonts w:ascii="Times New Roman" w:hAnsi="Times New Roman"/>
                <w:sz w:val="18"/>
              </w:rPr>
              <w:t>SessionManagementAgent</w:t>
            </w:r>
          </w:p>
        </w:tc>
        <w:tc>
          <w:tcPr>
            <w:tcW w:type="dxa" w:w="1368"/>
            <w:vAlign w:val="center"/>
          </w:tcPr>
          <w:p>
            <w:pPr>
              <w:jc w:val="center"/>
            </w:pPr>
            <w:r>
              <w:rPr>
                <w:rFonts w:ascii="Times New Roman" w:hAnsi="Times New Roman"/>
                <w:sz w:val="18"/>
              </w:rPr>
              <w:t>WSTG-SESS</w:t>
            </w:r>
          </w:p>
        </w:tc>
        <w:tc>
          <w:tcPr>
            <w:tcW w:type="dxa" w:w="720"/>
            <w:vAlign w:val="center"/>
          </w:tcPr>
          <w:p>
            <w:pPr>
              <w:jc w:val="center"/>
            </w:pPr>
            <w:r>
              <w:rPr>
                <w:rFonts w:ascii="Times New Roman" w:hAnsi="Times New Roman"/>
                <w:sz w:val="18"/>
              </w:rPr>
              <w:t>8</w:t>
            </w:r>
          </w:p>
        </w:tc>
      </w:tr>
      <w:tr>
        <w:trPr>
          <w:trHeight w:val="260"/>
        </w:trPr>
        <w:tc>
          <w:tcPr>
            <w:tcW w:type="dxa" w:w="360"/>
            <w:vAlign w:val="center"/>
          </w:tcPr>
          <w:p>
            <w:pPr>
              <w:jc w:val="center"/>
            </w:pPr>
            <w:r>
              <w:rPr>
                <w:rFonts w:ascii="Times New Roman" w:hAnsi="Times New Roman"/>
                <w:sz w:val="18"/>
              </w:rPr>
              <w:t>4</w:t>
            </w:r>
          </w:p>
        </w:tc>
        <w:tc>
          <w:tcPr>
            <w:tcW w:type="dxa" w:w="2232"/>
            <w:vAlign w:val="center"/>
          </w:tcPr>
          <w:p>
            <w:pPr>
              <w:jc w:val="center"/>
            </w:pPr>
            <w:r>
              <w:rPr>
                <w:rFonts w:ascii="Times New Roman" w:hAnsi="Times New Roman"/>
                <w:sz w:val="18"/>
              </w:rPr>
              <w:t>InputValidationAgent</w:t>
            </w:r>
          </w:p>
        </w:tc>
        <w:tc>
          <w:tcPr>
            <w:tcW w:type="dxa" w:w="1368"/>
            <w:vAlign w:val="center"/>
          </w:tcPr>
          <w:p>
            <w:pPr>
              <w:jc w:val="center"/>
            </w:pPr>
            <w:r>
              <w:rPr>
                <w:rFonts w:ascii="Times New Roman" w:hAnsi="Times New Roman"/>
                <w:sz w:val="18"/>
              </w:rPr>
              <w:t>WSTG-INPV</w:t>
            </w:r>
          </w:p>
        </w:tc>
        <w:tc>
          <w:tcPr>
            <w:tcW w:type="dxa" w:w="720"/>
            <w:vAlign w:val="center"/>
          </w:tcPr>
          <w:p>
            <w:pPr>
              <w:jc w:val="center"/>
            </w:pPr>
            <w:r>
              <w:rPr>
                <w:rFonts w:ascii="Times New Roman" w:hAnsi="Times New Roman"/>
                <w:sz w:val="18"/>
              </w:rPr>
              <w:t>24</w:t>
            </w:r>
          </w:p>
        </w:tc>
      </w:tr>
      <w:tr>
        <w:trPr>
          <w:trHeight w:val="260"/>
        </w:trPr>
        <w:tc>
          <w:tcPr>
            <w:tcW w:type="dxa" w:w="360"/>
            <w:vAlign w:val="center"/>
          </w:tcPr>
          <w:p>
            <w:pPr>
              <w:jc w:val="center"/>
            </w:pPr>
            <w:r>
              <w:rPr>
                <w:rFonts w:ascii="Times New Roman" w:hAnsi="Times New Roman"/>
                <w:sz w:val="18"/>
              </w:rPr>
              <w:t>5</w:t>
            </w:r>
          </w:p>
        </w:tc>
        <w:tc>
          <w:tcPr>
            <w:tcW w:type="dxa" w:w="2232"/>
            <w:vAlign w:val="center"/>
          </w:tcPr>
          <w:p>
            <w:pPr>
              <w:jc w:val="center"/>
            </w:pPr>
            <w:r>
              <w:rPr>
                <w:rFonts w:ascii="Times New Roman" w:hAnsi="Times New Roman"/>
                <w:sz w:val="18"/>
              </w:rPr>
              <w:t>AuthorizationAgent</w:t>
            </w:r>
          </w:p>
        </w:tc>
        <w:tc>
          <w:tcPr>
            <w:tcW w:type="dxa" w:w="1368"/>
            <w:vAlign w:val="center"/>
          </w:tcPr>
          <w:p>
            <w:pPr>
              <w:jc w:val="center"/>
            </w:pPr>
            <w:r>
              <w:rPr>
                <w:rFonts w:ascii="Times New Roman" w:hAnsi="Times New Roman"/>
                <w:sz w:val="18"/>
              </w:rPr>
              <w:t>WSTG-ATHZ</w:t>
            </w:r>
          </w:p>
        </w:tc>
        <w:tc>
          <w:tcPr>
            <w:tcW w:type="dxa" w:w="720"/>
            <w:vAlign w:val="center"/>
          </w:tcPr>
          <w:p>
            <w:pPr>
              <w:jc w:val="center"/>
            </w:pPr>
            <w:r>
              <w:rPr>
                <w:rFonts w:ascii="Times New Roman" w:hAnsi="Times New Roman"/>
                <w:sz w:val="18"/>
              </w:rPr>
              <w:t>11</w:t>
            </w:r>
          </w:p>
        </w:tc>
      </w:tr>
      <w:tr>
        <w:trPr>
          <w:trHeight w:val="260"/>
        </w:trPr>
        <w:tc>
          <w:tcPr>
            <w:tcW w:type="dxa" w:w="360"/>
            <w:vAlign w:val="center"/>
          </w:tcPr>
          <w:p>
            <w:pPr>
              <w:jc w:val="center"/>
            </w:pPr>
            <w:r>
              <w:rPr>
                <w:rFonts w:ascii="Times New Roman" w:hAnsi="Times New Roman"/>
                <w:sz w:val="18"/>
              </w:rPr>
              <w:t>6</w:t>
            </w:r>
          </w:p>
        </w:tc>
        <w:tc>
          <w:tcPr>
            <w:tcW w:type="dxa" w:w="2232"/>
            <w:vAlign w:val="center"/>
          </w:tcPr>
          <w:p>
            <w:pPr>
              <w:jc w:val="center"/>
            </w:pPr>
            <w:r>
              <w:rPr>
                <w:rFonts w:ascii="Times New Roman" w:hAnsi="Times New Roman"/>
                <w:sz w:val="18"/>
              </w:rPr>
              <w:t>ConfigDeploymentAgent</w:t>
            </w:r>
          </w:p>
        </w:tc>
        <w:tc>
          <w:tcPr>
            <w:tcW w:type="dxa" w:w="1368"/>
            <w:vAlign w:val="center"/>
          </w:tcPr>
          <w:p>
            <w:pPr>
              <w:jc w:val="center"/>
            </w:pPr>
            <w:r>
              <w:rPr>
                <w:rFonts w:ascii="Times New Roman" w:hAnsi="Times New Roman"/>
                <w:sz w:val="18"/>
              </w:rPr>
              <w:t>WSTG-CONF</w:t>
            </w:r>
          </w:p>
        </w:tc>
        <w:tc>
          <w:tcPr>
            <w:tcW w:type="dxa" w:w="720"/>
            <w:vAlign w:val="center"/>
          </w:tcPr>
          <w:p>
            <w:pPr>
              <w:jc w:val="center"/>
            </w:pPr>
            <w:r>
              <w:rPr>
                <w:rFonts w:ascii="Times New Roman" w:hAnsi="Times New Roman"/>
                <w:sz w:val="18"/>
              </w:rPr>
              <w:t>16</w:t>
            </w:r>
          </w:p>
        </w:tc>
      </w:tr>
      <w:tr>
        <w:trPr>
          <w:trHeight w:val="260"/>
        </w:trPr>
        <w:tc>
          <w:tcPr>
            <w:tcW w:type="dxa" w:w="360"/>
            <w:vAlign w:val="center"/>
          </w:tcPr>
          <w:p>
            <w:pPr>
              <w:jc w:val="center"/>
            </w:pPr>
            <w:r>
              <w:rPr>
                <w:rFonts w:ascii="Times New Roman" w:hAnsi="Times New Roman"/>
                <w:sz w:val="18"/>
              </w:rPr>
              <w:t>7</w:t>
            </w:r>
          </w:p>
        </w:tc>
        <w:tc>
          <w:tcPr>
            <w:tcW w:type="dxa" w:w="2232"/>
            <w:vAlign w:val="center"/>
          </w:tcPr>
          <w:p>
            <w:pPr>
              <w:jc w:val="center"/>
            </w:pPr>
            <w:r>
              <w:rPr>
                <w:rFonts w:ascii="Times New Roman" w:hAnsi="Times New Roman"/>
                <w:sz w:val="18"/>
              </w:rPr>
              <w:t>ClientSideAgent</w:t>
            </w:r>
          </w:p>
        </w:tc>
        <w:tc>
          <w:tcPr>
            <w:tcW w:type="dxa" w:w="1368"/>
            <w:vAlign w:val="center"/>
          </w:tcPr>
          <w:p>
            <w:pPr>
              <w:jc w:val="center"/>
            </w:pPr>
            <w:r>
              <w:rPr>
                <w:rFonts w:ascii="Times New Roman" w:hAnsi="Times New Roman"/>
                <w:sz w:val="18"/>
              </w:rPr>
              <w:t>WSTG-CLNT</w:t>
            </w:r>
          </w:p>
        </w:tc>
        <w:tc>
          <w:tcPr>
            <w:tcW w:type="dxa" w:w="720"/>
            <w:vAlign w:val="center"/>
          </w:tcPr>
          <w:p>
            <w:pPr>
              <w:jc w:val="center"/>
            </w:pPr>
            <w:r>
              <w:rPr>
                <w:rFonts w:ascii="Times New Roman" w:hAnsi="Times New Roman"/>
                <w:sz w:val="18"/>
              </w:rPr>
              <w:t>17</w:t>
            </w:r>
          </w:p>
        </w:tc>
      </w:tr>
      <w:tr>
        <w:trPr>
          <w:trHeight w:val="260"/>
        </w:trPr>
        <w:tc>
          <w:tcPr>
            <w:tcW w:type="dxa" w:w="360"/>
            <w:vAlign w:val="center"/>
          </w:tcPr>
          <w:p>
            <w:pPr>
              <w:jc w:val="center"/>
            </w:pPr>
            <w:r>
              <w:rPr>
                <w:rFonts w:ascii="Times New Roman" w:hAnsi="Times New Roman"/>
                <w:sz w:val="18"/>
              </w:rPr>
              <w:t>8</w:t>
            </w:r>
          </w:p>
        </w:tc>
        <w:tc>
          <w:tcPr>
            <w:tcW w:type="dxa" w:w="2232"/>
            <w:vAlign w:val="center"/>
          </w:tcPr>
          <w:p>
            <w:pPr>
              <w:jc w:val="center"/>
            </w:pPr>
            <w:r>
              <w:rPr>
                <w:rFonts w:ascii="Times New Roman" w:hAnsi="Times New Roman"/>
                <w:sz w:val="18"/>
              </w:rPr>
              <w:t>FileUploadAgent</w:t>
            </w:r>
          </w:p>
        </w:tc>
        <w:tc>
          <w:tcPr>
            <w:tcW w:type="dxa" w:w="1368"/>
            <w:vAlign w:val="center"/>
          </w:tcPr>
          <w:p>
            <w:pPr>
              <w:jc w:val="center"/>
            </w:pPr>
            <w:r>
              <w:rPr>
                <w:rFonts w:ascii="Times New Roman" w:hAnsi="Times New Roman"/>
                <w:sz w:val="18"/>
              </w:rPr>
              <w:t>WSTG-INPV(upload)</w:t>
            </w:r>
          </w:p>
        </w:tc>
        <w:tc>
          <w:tcPr>
            <w:tcW w:type="dxa" w:w="720"/>
            <w:vAlign w:val="center"/>
          </w:tcPr>
          <w:p>
            <w:pPr>
              <w:jc w:val="center"/>
            </w:pPr>
            <w:r>
              <w:rPr>
                <w:rFonts w:ascii="Times New Roman" w:hAnsi="Times New Roman"/>
                <w:sz w:val="18"/>
              </w:rPr>
              <w:t>9</w:t>
            </w:r>
          </w:p>
        </w:tc>
      </w:tr>
      <w:tr>
        <w:trPr>
          <w:trHeight w:val="260"/>
        </w:trPr>
        <w:tc>
          <w:tcPr>
            <w:tcW w:type="dxa" w:w="360"/>
            <w:vAlign w:val="center"/>
          </w:tcPr>
          <w:p>
            <w:pPr>
              <w:jc w:val="center"/>
            </w:pPr>
            <w:r>
              <w:rPr>
                <w:rFonts w:ascii="Times New Roman" w:hAnsi="Times New Roman"/>
                <w:sz w:val="18"/>
              </w:rPr>
              <w:t>9</w:t>
            </w:r>
          </w:p>
        </w:tc>
        <w:tc>
          <w:tcPr>
            <w:tcW w:type="dxa" w:w="2232"/>
            <w:vAlign w:val="center"/>
          </w:tcPr>
          <w:p>
            <w:pPr>
              <w:jc w:val="center"/>
            </w:pPr>
            <w:r>
              <w:rPr>
                <w:rFonts w:ascii="Times New Roman" w:hAnsi="Times New Roman"/>
                <w:sz w:val="18"/>
              </w:rPr>
              <w:t>APITestingAgent</w:t>
            </w:r>
          </w:p>
        </w:tc>
        <w:tc>
          <w:tcPr>
            <w:tcW w:type="dxa" w:w="1368"/>
            <w:vAlign w:val="center"/>
          </w:tcPr>
          <w:p>
            <w:pPr>
              <w:jc w:val="center"/>
            </w:pPr>
            <w:r>
              <w:rPr>
                <w:rFonts w:ascii="Times New Roman" w:hAnsi="Times New Roman"/>
                <w:sz w:val="18"/>
              </w:rPr>
              <w:t>WSTG-APIT</w:t>
            </w:r>
          </w:p>
        </w:tc>
        <w:tc>
          <w:tcPr>
            <w:tcW w:type="dxa" w:w="720"/>
            <w:vAlign w:val="center"/>
          </w:tcPr>
          <w:p>
            <w:pPr>
              <w:jc w:val="center"/>
            </w:pPr>
            <w:r>
              <w:rPr>
                <w:rFonts w:ascii="Times New Roman" w:hAnsi="Times New Roman"/>
                <w:sz w:val="18"/>
              </w:rPr>
              <w:t>8</w:t>
            </w:r>
          </w:p>
        </w:tc>
      </w:tr>
      <w:tr>
        <w:trPr>
          <w:trHeight w:val="260"/>
        </w:trPr>
        <w:tc>
          <w:tcPr>
            <w:tcW w:type="dxa" w:w="360"/>
            <w:vAlign w:val="center"/>
          </w:tcPr>
          <w:p>
            <w:pPr>
              <w:jc w:val="center"/>
            </w:pPr>
            <w:r>
              <w:rPr>
                <w:rFonts w:ascii="Times New Roman" w:hAnsi="Times New Roman"/>
                <w:sz w:val="18"/>
              </w:rPr>
              <w:t>10</w:t>
            </w:r>
          </w:p>
        </w:tc>
        <w:tc>
          <w:tcPr>
            <w:tcW w:type="dxa" w:w="2232"/>
            <w:vAlign w:val="center"/>
          </w:tcPr>
          <w:p>
            <w:pPr>
              <w:jc w:val="center"/>
            </w:pPr>
            <w:r>
              <w:rPr>
                <w:rFonts w:ascii="Times New Roman" w:hAnsi="Times New Roman"/>
                <w:sz w:val="18"/>
              </w:rPr>
              <w:t>ErrorHandlingAgent</w:t>
            </w:r>
          </w:p>
        </w:tc>
        <w:tc>
          <w:tcPr>
            <w:tcW w:type="dxa" w:w="1368"/>
            <w:vAlign w:val="center"/>
          </w:tcPr>
          <w:p>
            <w:pPr>
              <w:jc w:val="center"/>
            </w:pPr>
            <w:r>
              <w:rPr>
                <w:rFonts w:ascii="Times New Roman" w:hAnsi="Times New Roman"/>
                <w:sz w:val="18"/>
              </w:rPr>
              <w:t>WSTG-ERRH</w:t>
            </w:r>
          </w:p>
        </w:tc>
        <w:tc>
          <w:tcPr>
            <w:tcW w:type="dxa" w:w="720"/>
            <w:vAlign w:val="center"/>
          </w:tcPr>
          <w:p>
            <w:pPr>
              <w:jc w:val="center"/>
            </w:pPr>
            <w:r>
              <w:rPr>
                <w:rFonts w:ascii="Times New Roman" w:hAnsi="Times New Roman"/>
                <w:sz w:val="18"/>
              </w:rPr>
              <w:t>6</w:t>
            </w:r>
          </w:p>
        </w:tc>
      </w:tr>
      <w:tr>
        <w:trPr>
          <w:trHeight w:val="260"/>
        </w:trPr>
        <w:tc>
          <w:tcPr>
            <w:tcW w:type="dxa" w:w="360"/>
            <w:vAlign w:val="center"/>
          </w:tcPr>
          <w:p>
            <w:pPr>
              <w:jc w:val="center"/>
            </w:pPr>
            <w:r>
              <w:rPr>
                <w:rFonts w:ascii="Times New Roman" w:hAnsi="Times New Roman"/>
                <w:sz w:val="18"/>
              </w:rPr>
              <w:t>11</w:t>
            </w:r>
          </w:p>
        </w:tc>
        <w:tc>
          <w:tcPr>
            <w:tcW w:type="dxa" w:w="2232"/>
            <w:vAlign w:val="center"/>
          </w:tcPr>
          <w:p>
            <w:pPr>
              <w:jc w:val="center"/>
            </w:pPr>
            <w:r>
              <w:rPr>
                <w:rFonts w:ascii="Times New Roman" w:hAnsi="Times New Roman"/>
                <w:sz w:val="18"/>
              </w:rPr>
              <w:t>WeakCryptographyAgent</w:t>
            </w:r>
          </w:p>
        </w:tc>
        <w:tc>
          <w:tcPr>
            <w:tcW w:type="dxa" w:w="1368"/>
            <w:vAlign w:val="center"/>
          </w:tcPr>
          <w:p>
            <w:pPr>
              <w:jc w:val="center"/>
            </w:pPr>
            <w:r>
              <w:rPr>
                <w:rFonts w:ascii="Times New Roman" w:hAnsi="Times New Roman"/>
                <w:sz w:val="18"/>
              </w:rPr>
              <w:t>WSTG-CRYP</w:t>
            </w:r>
          </w:p>
        </w:tc>
        <w:tc>
          <w:tcPr>
            <w:tcW w:type="dxa" w:w="720"/>
            <w:vAlign w:val="center"/>
          </w:tcPr>
          <w:p>
            <w:pPr>
              <w:jc w:val="center"/>
            </w:pPr>
            <w:r>
              <w:rPr>
                <w:rFonts w:ascii="Times New Roman" w:hAnsi="Times New Roman"/>
                <w:sz w:val="18"/>
              </w:rPr>
              <w:t>7</w:t>
            </w:r>
          </w:p>
        </w:tc>
      </w:tr>
      <w:tr>
        <w:trPr>
          <w:trHeight w:val="260"/>
        </w:trPr>
        <w:tc>
          <w:tcPr>
            <w:tcW w:type="dxa" w:w="360"/>
            <w:vAlign w:val="center"/>
          </w:tcPr>
          <w:p>
            <w:pPr>
              <w:jc w:val="center"/>
            </w:pPr>
            <w:r>
              <w:rPr>
                <w:rFonts w:ascii="Times New Roman" w:hAnsi="Times New Roman"/>
                <w:sz w:val="18"/>
              </w:rPr>
              <w:t>12</w:t>
            </w:r>
          </w:p>
        </w:tc>
        <w:tc>
          <w:tcPr>
            <w:tcW w:type="dxa" w:w="2232"/>
            <w:vAlign w:val="center"/>
          </w:tcPr>
          <w:p>
            <w:pPr>
              <w:jc w:val="center"/>
            </w:pPr>
            <w:r>
              <w:rPr>
                <w:rFonts w:ascii="Times New Roman" w:hAnsi="Times New Roman"/>
                <w:sz w:val="18"/>
              </w:rPr>
              <w:t>BusinessLogicAgent</w:t>
            </w:r>
          </w:p>
        </w:tc>
        <w:tc>
          <w:tcPr>
            <w:tcW w:type="dxa" w:w="1368"/>
            <w:vAlign w:val="center"/>
          </w:tcPr>
          <w:p>
            <w:pPr>
              <w:jc w:val="center"/>
            </w:pPr>
            <w:r>
              <w:rPr>
                <w:rFonts w:ascii="Times New Roman" w:hAnsi="Times New Roman"/>
                <w:sz w:val="18"/>
              </w:rPr>
              <w:t>WSTG-BUSL</w:t>
            </w:r>
          </w:p>
        </w:tc>
        <w:tc>
          <w:tcPr>
            <w:tcW w:type="dxa" w:w="720"/>
            <w:vAlign w:val="center"/>
          </w:tcPr>
          <w:p>
            <w:pPr>
              <w:jc w:val="center"/>
            </w:pPr>
            <w:r>
              <w:rPr>
                <w:rFonts w:ascii="Times New Roman" w:hAnsi="Times New Roman"/>
                <w:sz w:val="18"/>
              </w:rPr>
              <w:t>15</w:t>
            </w:r>
          </w:p>
        </w:tc>
      </w:tr>
      <w:tr>
        <w:trPr>
          <w:trHeight w:val="260"/>
        </w:trPr>
        <w:tc>
          <w:tcPr>
            <w:tcW w:type="dxa" w:w="360"/>
            <w:vAlign w:val="center"/>
          </w:tcPr>
          <w:p>
            <w:pPr>
              <w:jc w:val="center"/>
            </w:pPr>
            <w:r>
              <w:rPr>
                <w:rFonts w:ascii="Times New Roman" w:hAnsi="Times New Roman"/>
                <w:sz w:val="18"/>
              </w:rPr>
              <w:t>13</w:t>
            </w:r>
          </w:p>
        </w:tc>
        <w:tc>
          <w:tcPr>
            <w:tcW w:type="dxa" w:w="2232"/>
            <w:vAlign w:val="center"/>
          </w:tcPr>
          <w:p>
            <w:pPr>
              <w:jc w:val="center"/>
            </w:pPr>
            <w:r>
              <w:rPr>
                <w:rFonts w:ascii="Times New Roman" w:hAnsi="Times New Roman"/>
                <w:sz w:val="18"/>
              </w:rPr>
              <w:t>IdentityManagementAgent</w:t>
            </w:r>
          </w:p>
        </w:tc>
        <w:tc>
          <w:tcPr>
            <w:tcW w:type="dxa" w:w="1368"/>
            <w:vAlign w:val="center"/>
          </w:tcPr>
          <w:p>
            <w:pPr>
              <w:jc w:val="center"/>
            </w:pPr>
            <w:r>
              <w:rPr>
                <w:rFonts w:ascii="Times New Roman" w:hAnsi="Times New Roman"/>
                <w:sz w:val="18"/>
              </w:rPr>
              <w:t>WSTG-IDNT</w:t>
            </w:r>
          </w:p>
        </w:tc>
        <w:tc>
          <w:tcPr>
            <w:tcW w:type="dxa" w:w="720"/>
            <w:vAlign w:val="center"/>
          </w:tcPr>
          <w:p>
            <w:pPr>
              <w:jc w:val="center"/>
            </w:pPr>
            <w:r>
              <w:rPr>
                <w:rFonts w:ascii="Times New Roman" w:hAnsi="Times New Roman"/>
                <w:sz w:val="18"/>
              </w:rPr>
              <w:t>8</w:t>
            </w:r>
          </w:p>
        </w:tc>
      </w:tr>
      <w:tr>
        <w:trPr>
          <w:trHeight w:val="260"/>
        </w:trPr>
        <w:tc>
          <w:tcPr>
            <w:tcW w:type="dxa" w:w="360"/>
            <w:vAlign w:val="center"/>
          </w:tcPr>
          <w:p>
            <w:pPr>
              <w:jc w:val="center"/>
            </w:pPr>
            <w:r>
              <w:rPr>
                <w:rFonts w:ascii="Times New Roman" w:hAnsi="Times New Roman"/>
                <w:sz w:val="18"/>
              </w:rPr>
              <w:t>14</w:t>
            </w:r>
          </w:p>
        </w:tc>
        <w:tc>
          <w:tcPr>
            <w:tcW w:type="dxa" w:w="2232"/>
            <w:vAlign w:val="center"/>
          </w:tcPr>
          <w:p>
            <w:pPr>
              <w:jc w:val="center"/>
            </w:pPr>
            <w:r>
              <w:rPr>
                <w:rFonts w:ascii="Times New Roman" w:hAnsi="Times New Roman"/>
                <w:sz w:val="18"/>
              </w:rPr>
              <w:t>ReportGenerationAgent</w:t>
            </w:r>
          </w:p>
        </w:tc>
        <w:tc>
          <w:tcPr>
            <w:tcW w:type="dxa" w:w="1368"/>
            <w:vAlign w:val="center"/>
          </w:tcPr>
          <w:p>
            <w:pPr>
              <w:jc w:val="center"/>
            </w:pPr>
            <w:r>
              <w:rPr>
                <w:rFonts w:ascii="Times New Roman" w:hAnsi="Times New Roman"/>
                <w:sz w:val="18"/>
              </w:rPr>
              <w:t>—</w:t>
            </w:r>
          </w:p>
        </w:tc>
        <w:tc>
          <w:tcPr>
            <w:tcW w:type="dxa" w:w="720"/>
            <w:vAlign w:val="center"/>
          </w:tcPr>
          <w:p>
            <w:pPr>
              <w:jc w:val="center"/>
            </w:pPr>
            <w:r>
              <w:rPr>
                <w:rFonts w:ascii="Times New Roman" w:hAnsi="Times New Roman"/>
                <w:sz w:val="18"/>
              </w:rPr>
              <w:t>—</w:t>
            </w:r>
          </w:p>
        </w:tc>
      </w:tr>
      <w:tr>
        <w:trPr>
          <w:trHeight w:val="260"/>
        </w:trPr>
        <w:tc>
          <w:tcPr>
            <w:tcW w:type="dxa" w:w="360"/>
            <w:vAlign w:val="center"/>
          </w:tcPr>
          <w:p>
            <w:pPr>
              <w:jc w:val="center"/>
            </w:pPr>
            <w:r>
              <w:rPr>
                <w:rFonts w:ascii="Times New Roman" w:hAnsi="Times New Roman"/>
                <w:b/>
                <w:sz w:val="18"/>
              </w:rPr>
            </w:r>
          </w:p>
        </w:tc>
        <w:tc>
          <w:tcPr>
            <w:tcW w:type="dxa" w:w="2232"/>
            <w:vAlign w:val="center"/>
          </w:tcPr>
          <w:p>
            <w:pPr>
              <w:jc w:val="center"/>
            </w:pPr>
            <w:r>
              <w:rPr>
                <w:rFonts w:ascii="Times New Roman" w:hAnsi="Times New Roman"/>
                <w:b/>
                <w:sz w:val="18"/>
              </w:rPr>
              <w:t>Total</w:t>
            </w:r>
          </w:p>
        </w:tc>
        <w:tc>
          <w:tcPr>
            <w:tcW w:type="dxa" w:w="1368"/>
            <w:vAlign w:val="center"/>
          </w:tcPr>
          <w:p>
            <w:pPr>
              <w:jc w:val="center"/>
            </w:pPr>
            <w:r>
              <w:rPr>
                <w:rFonts w:ascii="Times New Roman" w:hAnsi="Times New Roman"/>
                <w:b/>
                <w:sz w:val="18"/>
              </w:rPr>
            </w:r>
          </w:p>
        </w:tc>
        <w:tc>
          <w:tcPr>
            <w:tcW w:type="dxa" w:w="720"/>
            <w:vAlign w:val="center"/>
          </w:tcPr>
          <w:p>
            <w:pPr>
              <w:jc w:val="center"/>
            </w:pPr>
            <w:r>
              <w:rPr>
                <w:rFonts w:ascii="Times New Roman" w:hAnsi="Times New Roman"/>
                <w:b/>
                <w:sz w:val="18"/>
              </w:rPr>
              <w:t>163</w:t>
            </w:r>
          </w:p>
        </w:tc>
      </w:tr>
    </w:tbl>
    <w:p>
      <w:pPr>
        <w:spacing w:before="80" w:after="40"/>
        <w:jc w:val="left"/>
      </w:pPr>
      <w:r>
        <w:rPr>
          <w:rFonts w:ascii="Times New Roman" w:hAnsi="Times New Roman"/>
          <w:b/>
          <w:i/>
          <w:sz w:val="20"/>
        </w:rPr>
        <w:t>C. Execution Flow</w:t>
      </w:r>
    </w:p>
    <w:p>
      <w:pPr>
        <w:spacing w:before="0" w:after="80" w:line="240" w:lineRule="auto"/>
        <w:ind w:firstLine="280"/>
        <w:jc w:val="both"/>
      </w:pPr>
      <w:r>
        <w:rPr>
          <w:rFonts w:ascii="Times New Roman" w:hAnsi="Times New Roman"/>
          <w:b w:val="0"/>
          <w:i w:val="0"/>
          <w:sz w:val="20"/>
        </w:rPr>
        <w:t>A scan proceeds through five sequential phases:</w:t>
      </w:r>
    </w:p>
    <w:p>
      <w:pPr>
        <w:pStyle w:val="ListBullet"/>
        <w:spacing w:before="0" w:after="40"/>
        <w:ind w:left="360"/>
        <w:jc w:val="both"/>
      </w:pPr>
      <w:r>
        <w:rPr>
          <w:rFonts w:ascii="Times New Roman" w:hAnsi="Times New Roman"/>
          <w:b w:val="0"/>
          <w:i w:val="0"/>
          <w:sz w:val="20"/>
        </w:rPr>
        <w:t>Phase 1—Reconnaissance: ReconnaissanceAgent maps endpoints, tech stack, and JavaScript routes using the Katana crawler. Findings are written directly to the Shared Context database, where subsequent agents read them.</w:t>
      </w:r>
    </w:p>
    <w:p>
      <w:pPr>
        <w:pStyle w:val="ListBullet"/>
        <w:spacing w:before="0" w:after="40"/>
        <w:ind w:left="360"/>
        <w:jc w:val="both"/>
      </w:pPr>
      <w:r>
        <w:rPr>
          <w:rFonts w:ascii="Times New Roman" w:hAnsi="Times New Roman"/>
          <w:b w:val="0"/>
          <w:i w:val="0"/>
          <w:sz w:val="20"/>
        </w:rPr>
        <w:t>Phase 1.5—Auto-Login: The system authenticates using credentials supplied in the scan request body. The resulting token (JWT or session cookie) is stored in SharedContext["scan_credentials"] and injected into all subsequent tool calls—eliminating manual session configuration between agents.</w:t>
      </w:r>
    </w:p>
    <w:p>
      <w:pPr>
        <w:pStyle w:val="ListBullet"/>
        <w:spacing w:before="0" w:after="40"/>
        <w:ind w:left="360"/>
        <w:jc w:val="both"/>
      </w:pPr>
      <w:r>
        <w:rPr>
          <w:rFonts w:ascii="Times New Roman" w:hAnsi="Times New Roman"/>
          <w:b w:val="0"/>
          <w:i w:val="0"/>
          <w:sz w:val="20"/>
        </w:rPr>
        <w:t>Phase 2—LLM Planning: Based on Phase 1 reconnaissance findings, the LLM Planner generates a testing strategy that prioritizes agents, tools, and target endpoints. This planning step runs under a 5-minute timeout.</w:t>
      </w:r>
    </w:p>
    <w:p>
      <w:pPr>
        <w:pStyle w:val="ListBullet"/>
        <w:spacing w:before="0" w:after="40"/>
        <w:ind w:left="360"/>
        <w:jc w:val="both"/>
      </w:pPr>
      <w:r>
        <w:rPr>
          <w:rFonts w:ascii="Times New Roman" w:hAnsi="Times New Roman"/>
          <w:b w:val="0"/>
          <w:i w:val="0"/>
          <w:sz w:val="20"/>
        </w:rPr>
        <w:t>Phase 3—Sequential Agent Execution: Agents 2–13 run one at a time. Before each agent, the orchestrator injects the full cumulative summary into the agent's planning context. After execution, the LLM Summarizer condenses that agent's findings and appends them to the cumulative summary (120-second timeout per summarization). The growing summary prevents context loss as the pipeline advances.</w:t>
      </w:r>
    </w:p>
    <w:p>
      <w:pPr>
        <w:pStyle w:val="ListBullet"/>
        <w:spacing w:before="0" w:after="40"/>
        <w:ind w:left="360"/>
        <w:jc w:val="both"/>
      </w:pPr>
      <w:r>
        <w:rPr>
          <w:rFonts w:ascii="Times New Roman" w:hAnsi="Times New Roman"/>
          <w:b w:val="0"/>
          <w:i w:val="0"/>
          <w:sz w:val="20"/>
        </w:rPr>
        <w:t>Phase 4—Cross-Agent Analysis: analyze_all_findings() correlates findings across all agents, surfacing multi-category attack chains (e.g., SQLi compounded by an authentication bypass).</w:t>
      </w:r>
    </w:p>
    <w:p>
      <w:pPr>
        <w:pStyle w:val="ListBullet"/>
        <w:spacing w:before="0" w:after="40"/>
        <w:ind w:left="360"/>
        <w:jc w:val="both"/>
      </w:pPr>
      <w:r>
        <w:rPr>
          <w:rFonts w:ascii="Times New Roman" w:hAnsi="Times New Roman"/>
          <w:b w:val="0"/>
          <w:i w:val="0"/>
          <w:sz w:val="20"/>
        </w:rPr>
        <w:t>Phase 5—Report Generation: ReportGenerationAgent produces a structured PDF in OWASP WSTG v4.2 format using Jinja2 templates.</w:t>
      </w:r>
    </w:p>
    <w:p>
      <w:pPr>
        <w:spacing w:before="80" w:after="40"/>
        <w:jc w:val="left"/>
      </w:pPr>
      <w:r>
        <w:rPr>
          <w:rFonts w:ascii="Times New Roman" w:hAnsi="Times New Roman"/>
          <w:b/>
          <w:i/>
          <w:sz w:val="20"/>
        </w:rPr>
        <w:t>D. Per-Agent Workflow: Plan → Execute → Summarize</w:t>
      </w:r>
    </w:p>
    <w:p>
      <w:pPr>
        <w:spacing w:before="0" w:after="80" w:line="240" w:lineRule="auto"/>
        <w:ind w:firstLine="280"/>
        <w:jc w:val="both"/>
      </w:pPr>
      <w:r>
        <w:rPr>
          <w:rFonts w:ascii="Times New Roman" w:hAnsi="Times New Roman"/>
          <w:b w:val="0"/>
          <w:i w:val="0"/>
          <w:sz w:val="20"/>
        </w:rPr>
        <w:t>Each agent follows a uniform three-phase loop:</w:t>
      </w:r>
    </w:p>
    <w:p>
      <w:pPr>
        <w:spacing w:before="0" w:after="40"/>
        <w:ind w:left="432" w:hanging="432"/>
        <w:jc w:val="both"/>
      </w:pPr>
      <w:r>
        <w:rPr>
          <w:rFonts w:ascii="Times New Roman" w:hAnsi="Times New Roman"/>
          <w:b/>
          <w:i w:val="0"/>
          <w:sz w:val="20"/>
        </w:rPr>
        <w:t>1) Plan: The agent reads the cumulative Shared Context and asks the LLM to select relevant tools, arguments, and target endpoints for its WSTG category.</w:t>
      </w:r>
      <w:r>
        <w:rPr>
          <w:rFonts w:ascii="Times New Roman" w:hAnsi="Times New Roman"/>
          <w:b w:val="0"/>
          <w:i w:val="0"/>
          <w:sz w:val="20"/>
        </w:rPr>
      </w:r>
    </w:p>
    <w:p>
      <w:pPr>
        <w:spacing w:before="0" w:after="40"/>
        <w:ind w:left="432" w:hanging="432"/>
        <w:jc w:val="both"/>
      </w:pPr>
      <w:r>
        <w:rPr>
          <w:rFonts w:ascii="Times New Roman" w:hAnsi="Times New Roman"/>
          <w:b/>
          <w:i w:val="0"/>
          <w:sz w:val="20"/>
        </w:rPr>
        <w:t>2) Execute: Tools are called via MCP (JSON-RPC 2.0). Each call passes through: (a) a circuit breaker that halts execution after 5 consecutive failures; (b) LLM argument merging, where LLM-generated arguments override tool defaults; (c) confidence scoring, which rates each finding for reliability before persistence.</w:t>
      </w:r>
      <w:r>
        <w:rPr>
          <w:rFonts w:ascii="Times New Roman" w:hAnsi="Times New Roman"/>
          <w:b w:val="0"/>
          <w:i w:val="0"/>
          <w:sz w:val="20"/>
        </w:rPr>
      </w:r>
    </w:p>
    <w:p>
      <w:pPr>
        <w:spacing w:before="0" w:after="40"/>
        <w:ind w:left="432" w:hanging="432"/>
        <w:jc w:val="both"/>
      </w:pPr>
      <w:r>
        <w:rPr>
          <w:rFonts w:ascii="Times New Roman" w:hAnsi="Times New Roman"/>
          <w:b/>
          <w:i w:val="0"/>
          <w:sz w:val="20"/>
        </w:rPr>
        <w:t>3) Summarize: The LLM distills raw tool output into a compact summary appended to the Shared Context for subsequent agents.</w:t>
      </w:r>
      <w:r>
        <w:rPr>
          <w:rFonts w:ascii="Times New Roman" w:hAnsi="Times New Roman"/>
          <w:b w:val="0"/>
          <w:i w:val="0"/>
          <w:sz w:val="20"/>
        </w:rPr>
      </w:r>
    </w:p>
    <w:p>
      <w:pPr>
        <w:spacing w:before="0" w:after="80" w:line="240" w:lineRule="auto"/>
        <w:ind w:firstLine="280"/>
        <w:jc w:val="both"/>
      </w:pPr>
      <w:r>
        <w:rPr>
          <w:rFonts w:ascii="Times New Roman" w:hAnsi="Times New Roman"/>
          <w:b w:val="0"/>
          <w:i w:val="0"/>
          <w:sz w:val="20"/>
        </w:rPr>
        <w:t>This design extends HackSynth's dual-module concept to a 13-agent sequential pipeline with explicit cross-agent shared state—where each summarization step is a deliberate lossy compression, not a best-effort approximation.</w:t>
      </w:r>
    </w:p>
    <w:p>
      <w:pPr>
        <w:spacing w:before="120" w:after="60"/>
        <w:jc w:val="center"/>
      </w:pPr>
      <w:r>
        <w:rPr>
          <w:rFonts w:ascii="Times New Roman" w:hAnsi="Times New Roman"/>
          <w:b/>
          <w:i w:val="0"/>
          <w:sz w:val="20"/>
        </w:rPr>
        <w:t>IV. IMPLEMENTATION</w:t>
      </w:r>
    </w:p>
    <w:p>
      <w:pPr>
        <w:spacing w:before="0" w:after="80" w:line="240" w:lineRule="auto"/>
        <w:ind w:firstLine="280"/>
        <w:jc w:val="both"/>
      </w:pPr>
      <w:r>
        <w:rPr>
          <w:rFonts w:ascii="Times New Roman" w:hAnsi="Times New Roman"/>
          <w:b w:val="0"/>
          <w:i w:val="0"/>
          <w:sz w:val="20"/>
        </w:rPr>
        <w:t>RAJDOLL is built on Python 3.11, FastAPI, Celery, PostgreSQL, Redis, and Docker Compose. All 14 MCP servers run as separate Docker containers, each discovered by a single generic adapter (mcp_adapter/server.py) that exposes Python functions as MCP tools automatically—no per-tool registration is required. Integrated tools include SQLMap (SQL injection), Dalfox (XSS), Nmap (port scanning), Feroxbuster (directory brute-forcing), WhatWeb (technology identification), Nikto (server vulnerability scanning), and 120+ custom tools covering IDOR, CSRF, session management, business logic, and file upload vulnerabilities.</w:t>
      </w:r>
    </w:p>
    <w:p>
      <w:pPr>
        <w:spacing w:before="0" w:after="40" w:line="240" w:lineRule="auto"/>
        <w:jc w:val="both"/>
      </w:pPr>
      <w:r>
        <w:rPr>
          <w:rFonts w:ascii="Times New Roman" w:hAnsi="Times New Roman"/>
          <w:b w:val="0"/>
          <w:i w:val="0"/>
          <w:sz w:val="20"/>
        </w:rPr>
        <w:t>Development followed Agile SDLC across four iterations:</w:t>
      </w:r>
    </w:p>
    <w:p>
      <w:pPr>
        <w:pStyle w:val="ListBullet"/>
        <w:spacing w:before="0" w:after="40"/>
        <w:ind w:left="360"/>
        <w:jc w:val="both"/>
      </w:pPr>
      <w:r>
        <w:rPr>
          <w:rFonts w:ascii="Times New Roman" w:hAnsi="Times New Roman"/>
          <w:b w:val="0"/>
          <w:i w:val="0"/>
          <w:sz w:val="20"/>
        </w:rPr>
        <w:t>Iteration 1: Core infrastructure—MCP adapter, orchestrator skeleton, PostgreSQL schema, ReconnaissanceAgent proof-of-concept (15 initial findings on Juice Shop).</w:t>
      </w:r>
    </w:p>
    <w:p>
      <w:pPr>
        <w:pStyle w:val="ListBullet"/>
        <w:spacing w:before="0" w:after="40"/>
        <w:ind w:left="360"/>
        <w:jc w:val="both"/>
      </w:pPr>
      <w:r>
        <w:rPr>
          <w:rFonts w:ascii="Times New Roman" w:hAnsi="Times New Roman"/>
          <w:b w:val="0"/>
          <w:i w:val="0"/>
          <w:sz w:val="20"/>
        </w:rPr>
        <w:t>Iteration 2: 13 specialist agents—per-agent prompts, tool integration, json_schema enforcement for deterministic structured output.</w:t>
      </w:r>
    </w:p>
    <w:p>
      <w:pPr>
        <w:pStyle w:val="ListBullet"/>
        <w:spacing w:before="0" w:after="40"/>
        <w:ind w:left="360"/>
        <w:jc w:val="both"/>
      </w:pPr>
      <w:r>
        <w:rPr>
          <w:rFonts w:ascii="Times New Roman" w:hAnsi="Times New Roman"/>
          <w:b w:val="0"/>
          <w:i w:val="0"/>
          <w:sz w:val="20"/>
        </w:rPr>
        <w:t>Iteration 3: Full system integration—Planner-Summarizer pipeline, auto-login, HITL checkpoints, WebSocket real-time updates. Job #1 (March 2026): Recall 96.5%, 97 minutes.</w:t>
      </w:r>
    </w:p>
    <w:p>
      <w:pPr>
        <w:pStyle w:val="ListBullet"/>
        <w:spacing w:before="0" w:after="40"/>
        <w:ind w:left="360"/>
        <w:jc w:val="both"/>
      </w:pPr>
      <w:r>
        <w:rPr>
          <w:rFonts w:ascii="Times New Roman" w:hAnsi="Times New Roman"/>
          <w:b w:val="0"/>
          <w:i w:val="0"/>
          <w:sz w:val="20"/>
        </w:rPr>
        <w:t>Iteration 4: Bug fixes and optimization—corrected a planning defect where agents skipped LLM argument generation, added missing cross-site imaging tools, tuned timeouts. A concurrent refinement of the evaluation methodology introduced a formal 57-entry ground truth database and strict WSTG category-prefix matching—the foundation for the validated results reported in Section V.</w:t>
      </w:r>
    </w:p>
    <w:p>
      <w:pPr>
        <w:spacing w:before="0" w:after="80" w:line="240" w:lineRule="auto"/>
        <w:ind w:firstLine="280"/>
        <w:jc w:val="both"/>
      </w:pPr>
      <w:r>
        <w:rPr>
          <w:rFonts w:ascii="Times New Roman" w:hAnsi="Times New Roman"/>
          <w:b w:val="0"/>
          <w:i w:val="0"/>
          <w:sz w:val="20"/>
        </w:rPr>
        <w:t>The system runs entirely on-premises. No tool output, request payload, or target hostname leaves the local environment.</w:t>
      </w:r>
    </w:p>
    <w:p>
      <w:pPr>
        <w:spacing w:before="120" w:after="60"/>
        <w:jc w:val="center"/>
      </w:pPr>
      <w:r>
        <w:rPr>
          <w:rFonts w:ascii="Times New Roman" w:hAnsi="Times New Roman"/>
          <w:b/>
          <w:i w:val="0"/>
          <w:sz w:val="20"/>
        </w:rPr>
        <w:t>V. EVALUATION</w:t>
      </w:r>
    </w:p>
    <w:p>
      <w:pPr>
        <w:spacing w:before="80" w:after="40"/>
        <w:jc w:val="left"/>
      </w:pPr>
      <w:r>
        <w:rPr>
          <w:rFonts w:ascii="Times New Roman" w:hAnsi="Times New Roman"/>
          <w:b/>
          <w:i/>
          <w:sz w:val="20"/>
        </w:rPr>
        <w:t>A. Benchmark Setup</w:t>
      </w:r>
    </w:p>
    <w:p>
      <w:pPr>
        <w:spacing w:before="0" w:after="80" w:line="240" w:lineRule="auto"/>
        <w:ind w:firstLine="280"/>
        <w:jc w:val="both"/>
      </w:pPr>
      <w:r>
        <w:rPr>
          <w:rFonts w:ascii="Times New Roman" w:hAnsi="Times New Roman"/>
          <w:b w:val="0"/>
          <w:i w:val="0"/>
          <w:sz w:val="20"/>
        </w:rPr>
        <w:t>We evaluate against OWASP Juice Shop v16—an intentionally vulnerable Node.js web application whose challenge list is fully documented and maintained by OWASP [9]. Of 100 documented challenges, 17 are non-automatable by any scanner (OSINT tasks, chatbot interaction, cultural knowledge, external investigation requiring human judgment). The remaining 57 challenges form our ground truth: a structured database mapping each challenge to its WSTG category identifier. Detection accuracy is computed using WSTG category-prefix matching: a finding is a true positive (TP) when its WSTG category code matches—at the parent or child level—the category assigned to the corresponding ground truth entry. RAJDOLL additionally executes 96 WSTG test scenarios mapped from the 12 supported WSTG categories, serving as the Task Completion Rate (TCR) denominator.</w:t>
      </w:r>
    </w:p>
    <w:p>
      <w:pPr>
        <w:spacing w:before="80" w:after="40"/>
        <w:jc w:val="left"/>
      </w:pPr>
      <w:r>
        <w:rPr>
          <w:rFonts w:ascii="Times New Roman" w:hAnsi="Times New Roman"/>
          <w:b/>
          <w:i/>
          <w:sz w:val="20"/>
        </w:rPr>
        <w:t>B. Detection Accuracy: Precision, Recall, F1-Score</w:t>
      </w:r>
    </w:p>
    <w:p>
      <w:pPr>
        <w:spacing w:before="0" w:after="80" w:line="240" w:lineRule="auto"/>
        <w:ind w:firstLine="280"/>
        <w:jc w:val="both"/>
      </w:pPr>
      <w:r>
        <w:rPr>
          <w:rFonts w:ascii="Times New Roman" w:hAnsi="Times New Roman"/>
          <w:b w:val="0"/>
          <w:i w:val="0"/>
          <w:sz w:val="20"/>
        </w:rPr>
        <w:t>The final evaluation run (Job #11, April 2026) produced findings across all 13 active agents. Applying the ground truth matching described above:</w:t>
      </w:r>
    </w:p>
    <w:p>
      <w:pPr>
        <w:spacing w:before="60" w:after="60"/>
        <w:jc w:val="center"/>
      </w:pPr>
      <w:r>
        <w:rPr>
          <w:rFonts w:ascii="Times New Roman" w:hAnsi="Times New Roman"/>
          <w:b w:val="0"/>
          <w:i/>
          <w:sz w:val="20"/>
        </w:rPr>
        <w:t>Precision = TP / (TP + FP) = 93.24%  (1)</w:t>
        <w:br/>
        <w:br/>
        <w:t>The 6.76% false positive rate—findings that did not map to any documented ground truth entry—reflects residual detection artifacts from generic security probes that fire on any web application, not Juice-Shop-specific vulnerabilities.</w:t>
      </w:r>
      <w:r>
        <w:rPr>
          <w:rFonts w:ascii="Times New Roman" w:hAnsi="Times New Roman"/>
          <w:b w:val="0"/>
          <w:i w:val="0"/>
          <w:sz w:val="20"/>
        </w:rPr>
      </w:r>
    </w:p>
    <w:p>
      <w:pPr>
        <w:spacing w:before="0" w:after="80" w:line="240" w:lineRule="auto"/>
        <w:ind w:firstLine="280"/>
        <w:jc w:val="both"/>
      </w:pPr>
      <w:r>
        <w:rPr>
          <w:rFonts w:ascii="Times New Roman" w:hAnsi="Times New Roman"/>
          <w:b w:val="0"/>
          <w:i w:val="0"/>
          <w:sz w:val="20"/>
        </w:rPr>
        <w:t>Recall is computed at the challenge level: a ground truth entry is considered detected if at least one TP finding covers its WSTG category. This avoids inflating recall through duplicate findings that target the same underlying vulnerability:</w:t>
      </w:r>
    </w:p>
    <w:p>
      <w:pPr>
        <w:spacing w:before="60" w:after="60"/>
        <w:jc w:val="center"/>
      </w:pPr>
      <w:r>
        <w:rPr>
          <w:rFonts w:ascii="Times New Roman" w:hAnsi="Times New Roman"/>
          <w:b w:val="0"/>
          <w:i/>
          <w:sz w:val="20"/>
        </w:rPr>
        <w:t>Recall = TP_challenges / (TP_challenges + FN) = 50 / (50 + 7) = 87.72%  (2)</w:t>
      </w:r>
      <w:r>
        <w:rPr>
          <w:rFonts w:ascii="Times New Roman" w:hAnsi="Times New Roman"/>
          <w:b w:val="0"/>
          <w:i w:val="0"/>
          <w:sz w:val="20"/>
        </w:rPr>
      </w:r>
    </w:p>
    <w:p>
      <w:pPr>
        <w:spacing w:before="60" w:after="60"/>
        <w:jc w:val="center"/>
      </w:pPr>
      <w:r>
        <w:rPr>
          <w:rFonts w:ascii="Times New Roman" w:hAnsi="Times New Roman"/>
          <w:b w:val="0"/>
          <w:i/>
          <w:sz w:val="20"/>
        </w:rPr>
        <w:t>F1 = 2×P×R / (P+R) = 2×0.9324×0.8772 / (0.9324+0.8772) = 90.40%  (3)</w:t>
      </w:r>
      <w:r>
        <w:rPr>
          <w:rFonts w:ascii="Times New Roman" w:hAnsi="Times New Roman"/>
          <w:b w:val="0"/>
          <w:i w:val="0"/>
          <w:sz w:val="20"/>
        </w:rPr>
      </w:r>
    </w:p>
    <w:p>
      <w:pPr>
        <w:spacing w:before="0" w:after="80" w:line="240" w:lineRule="auto"/>
        <w:ind w:firstLine="280"/>
        <w:jc w:val="both"/>
      </w:pPr>
      <w:r>
        <w:rPr>
          <w:rFonts w:ascii="Times New Roman" w:hAnsi="Times New Roman"/>
          <w:b w:val="0"/>
          <w:i w:val="0"/>
          <w:sz w:val="20"/>
        </w:rPr>
        <w:t>Seven challenges remain undetected: Bonus Payload (WSTG-INPV), DOM XSS (WSTG-CLNT), Upload Size Bypass (WSTG-BUSL), Upload Type Bypass (WSTG-BUSL), XXE Data Access (WSTG-INPV), Pug Template Injection (WSTG-INPV), and SSRF (WSTG-INPV). All three thesis targets—Precision ≥90%, Recall ≥80%, F1 ≥85%—are met.</w:t>
      </w:r>
    </w:p>
    <w:p>
      <w:pPr>
        <w:spacing w:before="120" w:after="40"/>
        <w:jc w:val="center"/>
      </w:pPr>
      <w:r>
        <w:rPr>
          <w:rFonts w:ascii="Times New Roman" w:hAnsi="Times New Roman"/>
          <w:b/>
          <w:i w:val="0"/>
          <w:sz w:val="18"/>
        </w:rPr>
        <w:t>TABLE II. DETECTION ACCURACY BY DIFFICULTY LEVEL</w:t>
      </w:r>
    </w:p>
    <w:tbl>
      <w:tblPr>
        <w:tblStyle w:val="TableGrid"/>
        <w:tblW w:type="auto" w:w="0"/>
        <w:jc w:val="center"/>
        <w:tblLook w:firstColumn="1" w:firstRow="1" w:lastColumn="0" w:lastRow="0" w:noHBand="0" w:noVBand="1" w:val="04A0"/>
      </w:tblPr>
      <w:tblGrid>
        <w:gridCol w:w="2610"/>
        <w:gridCol w:w="2610"/>
        <w:gridCol w:w="2610"/>
        <w:gridCol w:w="2610"/>
      </w:tblGrid>
      <w:tr>
        <w:trPr>
          <w:trHeight w:val="280"/>
        </w:trPr>
        <w:tc>
          <w:tcPr>
            <w:tcW w:type="dxa" w:w="1440"/>
            <w:vAlign w:val="center"/>
            <w:shd w:fill="D9D9D9" w:val="clear"/>
          </w:tcPr>
          <w:p>
            <w:pPr>
              <w:jc w:val="center"/>
            </w:pPr>
            <w:r>
              <w:rPr>
                <w:rFonts w:ascii="Times New Roman" w:hAnsi="Times New Roman"/>
                <w:b/>
                <w:sz w:val="18"/>
              </w:rPr>
              <w:t>Difficulty</w:t>
            </w:r>
          </w:p>
        </w:tc>
        <w:tc>
          <w:tcPr>
            <w:tcW w:type="dxa" w:w="1296"/>
            <w:vAlign w:val="center"/>
            <w:shd w:fill="D9D9D9" w:val="clear"/>
          </w:tcPr>
          <w:p>
            <w:pPr>
              <w:jc w:val="center"/>
            </w:pPr>
            <w:r>
              <w:rPr>
                <w:rFonts w:ascii="Times New Roman" w:hAnsi="Times New Roman"/>
                <w:b/>
                <w:sz w:val="18"/>
              </w:rPr>
              <w:t>Challenges</w:t>
            </w:r>
          </w:p>
        </w:tc>
        <w:tc>
          <w:tcPr>
            <w:tcW w:type="dxa" w:w="1296"/>
            <w:vAlign w:val="center"/>
            <w:shd w:fill="D9D9D9" w:val="clear"/>
          </w:tcPr>
          <w:p>
            <w:pPr>
              <w:jc w:val="center"/>
            </w:pPr>
            <w:r>
              <w:rPr>
                <w:rFonts w:ascii="Times New Roman" w:hAnsi="Times New Roman"/>
                <w:b/>
                <w:sz w:val="18"/>
              </w:rPr>
              <w:t>Detected</w:t>
            </w:r>
          </w:p>
        </w:tc>
        <w:tc>
          <w:tcPr>
            <w:tcW w:type="dxa" w:w="1008"/>
            <w:vAlign w:val="center"/>
            <w:shd w:fill="D9D9D9" w:val="clear"/>
          </w:tcPr>
          <w:p>
            <w:pPr>
              <w:jc w:val="center"/>
            </w:pPr>
            <w:r>
              <w:rPr>
                <w:rFonts w:ascii="Times New Roman" w:hAnsi="Times New Roman"/>
                <w:b/>
                <w:sz w:val="18"/>
              </w:rPr>
              <w:t>Rate</w:t>
            </w:r>
          </w:p>
        </w:tc>
      </w:tr>
      <w:tr>
        <w:trPr>
          <w:trHeight w:val="260"/>
        </w:trPr>
        <w:tc>
          <w:tcPr>
            <w:tcW w:type="dxa" w:w="1440"/>
            <w:vAlign w:val="center"/>
          </w:tcPr>
          <w:p>
            <w:pPr>
              <w:jc w:val="center"/>
            </w:pPr>
            <w:r>
              <w:rPr>
                <w:rFonts w:ascii="Times New Roman" w:hAnsi="Times New Roman"/>
                <w:sz w:val="18"/>
              </w:rPr>
              <w:t>Trivial</w:t>
            </w:r>
          </w:p>
        </w:tc>
        <w:tc>
          <w:tcPr>
            <w:tcW w:type="dxa" w:w="1296"/>
            <w:vAlign w:val="center"/>
          </w:tcPr>
          <w:p>
            <w:pPr>
              <w:jc w:val="center"/>
            </w:pPr>
            <w:r>
              <w:rPr>
                <w:rFonts w:ascii="Times New Roman" w:hAnsi="Times New Roman"/>
                <w:sz w:val="18"/>
              </w:rPr>
              <w:t>8</w:t>
            </w:r>
          </w:p>
        </w:tc>
        <w:tc>
          <w:tcPr>
            <w:tcW w:type="dxa" w:w="1296"/>
            <w:vAlign w:val="center"/>
          </w:tcPr>
          <w:p>
            <w:pPr>
              <w:jc w:val="center"/>
            </w:pPr>
            <w:r>
              <w:rPr>
                <w:rFonts w:ascii="Times New Roman" w:hAnsi="Times New Roman"/>
                <w:sz w:val="18"/>
              </w:rPr>
              <w:t>8</w:t>
            </w:r>
          </w:p>
        </w:tc>
        <w:tc>
          <w:tcPr>
            <w:tcW w:type="dxa" w:w="1008"/>
            <w:vAlign w:val="center"/>
          </w:tcPr>
          <w:p>
            <w:pPr>
              <w:jc w:val="center"/>
            </w:pPr>
            <w:r>
              <w:rPr>
                <w:rFonts w:ascii="Times New Roman" w:hAnsi="Times New Roman"/>
                <w:sz w:val="18"/>
              </w:rPr>
              <w:t>100%</w:t>
            </w:r>
          </w:p>
        </w:tc>
      </w:tr>
      <w:tr>
        <w:trPr>
          <w:trHeight w:val="260"/>
        </w:trPr>
        <w:tc>
          <w:tcPr>
            <w:tcW w:type="dxa" w:w="1440"/>
            <w:vAlign w:val="center"/>
          </w:tcPr>
          <w:p>
            <w:pPr>
              <w:jc w:val="center"/>
            </w:pPr>
            <w:r>
              <w:rPr>
                <w:rFonts w:ascii="Times New Roman" w:hAnsi="Times New Roman"/>
                <w:sz w:val="18"/>
              </w:rPr>
              <w:t>Easy</w:t>
            </w:r>
          </w:p>
        </w:tc>
        <w:tc>
          <w:tcPr>
            <w:tcW w:type="dxa" w:w="1296"/>
            <w:vAlign w:val="center"/>
          </w:tcPr>
          <w:p>
            <w:pPr>
              <w:jc w:val="center"/>
            </w:pPr>
            <w:r>
              <w:rPr>
                <w:rFonts w:ascii="Times New Roman" w:hAnsi="Times New Roman"/>
                <w:sz w:val="18"/>
              </w:rPr>
              <w:t>14</w:t>
            </w:r>
          </w:p>
        </w:tc>
        <w:tc>
          <w:tcPr>
            <w:tcW w:type="dxa" w:w="1296"/>
            <w:vAlign w:val="center"/>
          </w:tcPr>
          <w:p>
            <w:pPr>
              <w:jc w:val="center"/>
            </w:pPr>
            <w:r>
              <w:rPr>
                <w:rFonts w:ascii="Times New Roman" w:hAnsi="Times New Roman"/>
                <w:sz w:val="18"/>
              </w:rPr>
              <w:t>14</w:t>
            </w:r>
          </w:p>
        </w:tc>
        <w:tc>
          <w:tcPr>
            <w:tcW w:type="dxa" w:w="1008"/>
            <w:vAlign w:val="center"/>
          </w:tcPr>
          <w:p>
            <w:pPr>
              <w:jc w:val="center"/>
            </w:pPr>
            <w:r>
              <w:rPr>
                <w:rFonts w:ascii="Times New Roman" w:hAnsi="Times New Roman"/>
                <w:sz w:val="18"/>
              </w:rPr>
              <w:t>100%</w:t>
            </w:r>
          </w:p>
        </w:tc>
      </w:tr>
      <w:tr>
        <w:trPr>
          <w:trHeight w:val="260"/>
        </w:trPr>
        <w:tc>
          <w:tcPr>
            <w:tcW w:type="dxa" w:w="1440"/>
            <w:vAlign w:val="center"/>
          </w:tcPr>
          <w:p>
            <w:pPr>
              <w:jc w:val="center"/>
            </w:pPr>
            <w:r>
              <w:rPr>
                <w:rFonts w:ascii="Times New Roman" w:hAnsi="Times New Roman"/>
                <w:sz w:val="18"/>
              </w:rPr>
              <w:t>Medium</w:t>
            </w:r>
          </w:p>
        </w:tc>
        <w:tc>
          <w:tcPr>
            <w:tcW w:type="dxa" w:w="1296"/>
            <w:vAlign w:val="center"/>
          </w:tcPr>
          <w:p>
            <w:pPr>
              <w:jc w:val="center"/>
            </w:pPr>
            <w:r>
              <w:rPr>
                <w:rFonts w:ascii="Times New Roman" w:hAnsi="Times New Roman"/>
                <w:sz w:val="18"/>
              </w:rPr>
              <w:t>18</w:t>
            </w:r>
          </w:p>
        </w:tc>
        <w:tc>
          <w:tcPr>
            <w:tcW w:type="dxa" w:w="1296"/>
            <w:vAlign w:val="center"/>
          </w:tcPr>
          <w:p>
            <w:pPr>
              <w:jc w:val="center"/>
            </w:pPr>
            <w:r>
              <w:rPr>
                <w:rFonts w:ascii="Times New Roman" w:hAnsi="Times New Roman"/>
                <w:sz w:val="18"/>
              </w:rPr>
              <w:t>18</w:t>
            </w:r>
          </w:p>
        </w:tc>
        <w:tc>
          <w:tcPr>
            <w:tcW w:type="dxa" w:w="1008"/>
            <w:vAlign w:val="center"/>
          </w:tcPr>
          <w:p>
            <w:pPr>
              <w:jc w:val="center"/>
            </w:pPr>
            <w:r>
              <w:rPr>
                <w:rFonts w:ascii="Times New Roman" w:hAnsi="Times New Roman"/>
                <w:sz w:val="18"/>
              </w:rPr>
              <w:t>100%</w:t>
            </w:r>
          </w:p>
        </w:tc>
      </w:tr>
      <w:tr>
        <w:trPr>
          <w:trHeight w:val="260"/>
        </w:trPr>
        <w:tc>
          <w:tcPr>
            <w:tcW w:type="dxa" w:w="1440"/>
            <w:vAlign w:val="center"/>
          </w:tcPr>
          <w:p>
            <w:pPr>
              <w:jc w:val="center"/>
            </w:pPr>
            <w:r>
              <w:rPr>
                <w:rFonts w:ascii="Times New Roman" w:hAnsi="Times New Roman"/>
                <w:sz w:val="18"/>
              </w:rPr>
              <w:t>Hard</w:t>
            </w:r>
          </w:p>
        </w:tc>
        <w:tc>
          <w:tcPr>
            <w:tcW w:type="dxa" w:w="1296"/>
            <w:vAlign w:val="center"/>
          </w:tcPr>
          <w:p>
            <w:pPr>
              <w:jc w:val="center"/>
            </w:pPr>
            <w:r>
              <w:rPr>
                <w:rFonts w:ascii="Times New Roman" w:hAnsi="Times New Roman"/>
                <w:sz w:val="18"/>
              </w:rPr>
              <w:t>10</w:t>
            </w:r>
          </w:p>
        </w:tc>
        <w:tc>
          <w:tcPr>
            <w:tcW w:type="dxa" w:w="1296"/>
            <w:vAlign w:val="center"/>
          </w:tcPr>
          <w:p>
            <w:pPr>
              <w:jc w:val="center"/>
            </w:pPr>
            <w:r>
              <w:rPr>
                <w:rFonts w:ascii="Times New Roman" w:hAnsi="Times New Roman"/>
                <w:sz w:val="18"/>
              </w:rPr>
              <w:t>10</w:t>
            </w:r>
          </w:p>
        </w:tc>
        <w:tc>
          <w:tcPr>
            <w:tcW w:type="dxa" w:w="1008"/>
            <w:vAlign w:val="center"/>
          </w:tcPr>
          <w:p>
            <w:pPr>
              <w:jc w:val="center"/>
            </w:pPr>
            <w:r>
              <w:rPr>
                <w:rFonts w:ascii="Times New Roman" w:hAnsi="Times New Roman"/>
                <w:sz w:val="18"/>
              </w:rPr>
              <w:t>100%</w:t>
            </w:r>
          </w:p>
        </w:tc>
      </w:tr>
      <w:tr>
        <w:trPr>
          <w:trHeight w:val="260"/>
        </w:trPr>
        <w:tc>
          <w:tcPr>
            <w:tcW w:type="dxa" w:w="1440"/>
            <w:vAlign w:val="center"/>
          </w:tcPr>
          <w:p>
            <w:pPr>
              <w:jc w:val="center"/>
            </w:pPr>
            <w:r>
              <w:rPr>
                <w:rFonts w:ascii="Times New Roman" w:hAnsi="Times New Roman"/>
                <w:sz w:val="18"/>
              </w:rPr>
              <w:t>Challenging</w:t>
            </w:r>
          </w:p>
        </w:tc>
        <w:tc>
          <w:tcPr>
            <w:tcW w:type="dxa" w:w="1296"/>
            <w:vAlign w:val="center"/>
          </w:tcPr>
          <w:p>
            <w:pPr>
              <w:jc w:val="center"/>
            </w:pPr>
            <w:r>
              <w:rPr>
                <w:rFonts w:ascii="Times New Roman" w:hAnsi="Times New Roman"/>
                <w:sz w:val="18"/>
              </w:rPr>
              <w:t>5</w:t>
            </w:r>
          </w:p>
        </w:tc>
        <w:tc>
          <w:tcPr>
            <w:tcW w:type="dxa" w:w="1296"/>
            <w:vAlign w:val="center"/>
          </w:tcPr>
          <w:p>
            <w:pPr>
              <w:jc w:val="center"/>
            </w:pPr>
            <w:r>
              <w:rPr>
                <w:rFonts w:ascii="Times New Roman" w:hAnsi="Times New Roman"/>
                <w:sz w:val="18"/>
              </w:rPr>
              <w:t>5</w:t>
            </w:r>
          </w:p>
        </w:tc>
        <w:tc>
          <w:tcPr>
            <w:tcW w:type="dxa" w:w="1008"/>
            <w:vAlign w:val="center"/>
          </w:tcPr>
          <w:p>
            <w:pPr>
              <w:jc w:val="center"/>
            </w:pPr>
            <w:r>
              <w:rPr>
                <w:rFonts w:ascii="Times New Roman" w:hAnsi="Times New Roman"/>
                <w:sz w:val="18"/>
              </w:rPr>
              <w:t>100%</w:t>
            </w:r>
          </w:p>
        </w:tc>
      </w:tr>
      <w:tr>
        <w:trPr>
          <w:trHeight w:val="260"/>
        </w:trPr>
        <w:tc>
          <w:tcPr>
            <w:tcW w:type="dxa" w:w="1440"/>
            <w:vAlign w:val="center"/>
          </w:tcPr>
          <w:p>
            <w:pPr>
              <w:jc w:val="center"/>
            </w:pPr>
            <w:r>
              <w:rPr>
                <w:rFonts w:ascii="Times New Roman" w:hAnsi="Times New Roman"/>
                <w:sz w:val="18"/>
              </w:rPr>
              <w:t>Expert</w:t>
            </w:r>
          </w:p>
        </w:tc>
        <w:tc>
          <w:tcPr>
            <w:tcW w:type="dxa" w:w="1296"/>
            <w:vAlign w:val="center"/>
          </w:tcPr>
          <w:p>
            <w:pPr>
              <w:jc w:val="center"/>
            </w:pPr>
            <w:r>
              <w:rPr>
                <w:rFonts w:ascii="Times New Roman" w:hAnsi="Times New Roman"/>
                <w:sz w:val="18"/>
              </w:rPr>
              <w:t>2</w:t>
            </w:r>
          </w:p>
        </w:tc>
        <w:tc>
          <w:tcPr>
            <w:tcW w:type="dxa" w:w="1296"/>
            <w:vAlign w:val="center"/>
          </w:tcPr>
          <w:p>
            <w:pPr>
              <w:jc w:val="center"/>
            </w:pPr>
            <w:r>
              <w:rPr>
                <w:rFonts w:ascii="Times New Roman" w:hAnsi="Times New Roman"/>
                <w:sz w:val="18"/>
              </w:rPr>
              <w:t>1</w:t>
            </w:r>
          </w:p>
        </w:tc>
        <w:tc>
          <w:tcPr>
            <w:tcW w:type="dxa" w:w="1008"/>
            <w:vAlign w:val="center"/>
          </w:tcPr>
          <w:p>
            <w:pPr>
              <w:jc w:val="center"/>
            </w:pPr>
            <w:r>
              <w:rPr>
                <w:rFonts w:ascii="Times New Roman" w:hAnsi="Times New Roman"/>
                <w:sz w:val="18"/>
              </w:rPr>
              <w:t>50%</w:t>
            </w:r>
          </w:p>
        </w:tc>
      </w:tr>
      <w:tr>
        <w:trPr>
          <w:trHeight w:val="260"/>
        </w:trPr>
        <w:tc>
          <w:tcPr>
            <w:tcW w:type="dxa" w:w="1440"/>
            <w:vAlign w:val="center"/>
          </w:tcPr>
          <w:p>
            <w:pPr>
              <w:jc w:val="center"/>
            </w:pPr>
            <w:r>
              <w:rPr>
                <w:rFonts w:ascii="Times New Roman" w:hAnsi="Times New Roman"/>
                <w:b/>
                <w:sz w:val="18"/>
              </w:rPr>
              <w:t>Total</w:t>
            </w:r>
          </w:p>
        </w:tc>
        <w:tc>
          <w:tcPr>
            <w:tcW w:type="dxa" w:w="1296"/>
            <w:vAlign w:val="center"/>
          </w:tcPr>
          <w:p>
            <w:pPr>
              <w:jc w:val="center"/>
            </w:pPr>
            <w:r>
              <w:rPr>
                <w:rFonts w:ascii="Times New Roman" w:hAnsi="Times New Roman"/>
                <w:b/>
                <w:sz w:val="18"/>
              </w:rPr>
              <w:t>57</w:t>
            </w:r>
          </w:p>
        </w:tc>
        <w:tc>
          <w:tcPr>
            <w:tcW w:type="dxa" w:w="1296"/>
            <w:vAlign w:val="center"/>
          </w:tcPr>
          <w:p>
            <w:pPr>
              <w:jc w:val="center"/>
            </w:pPr>
            <w:r>
              <w:rPr>
                <w:rFonts w:ascii="Times New Roman" w:hAnsi="Times New Roman"/>
                <w:b/>
                <w:sz w:val="18"/>
              </w:rPr>
              <w:t>56</w:t>
            </w:r>
          </w:p>
        </w:tc>
        <w:tc>
          <w:tcPr>
            <w:tcW w:type="dxa" w:w="1008"/>
            <w:vAlign w:val="center"/>
          </w:tcPr>
          <w:p>
            <w:pPr>
              <w:jc w:val="center"/>
            </w:pPr>
            <w:r>
              <w:rPr>
                <w:rFonts w:ascii="Times New Roman" w:hAnsi="Times New Roman"/>
                <w:b/>
                <w:sz w:val="18"/>
              </w:rPr>
              <w:t>98.2%</w:t>
            </w:r>
          </w:p>
        </w:tc>
      </w:tr>
    </w:tbl>
    <w:p>
      <w:pPr>
        <w:spacing w:before="80" w:after="40"/>
        <w:jc w:val="left"/>
      </w:pPr>
      <w:r>
        <w:rPr>
          <w:rFonts w:ascii="Times New Roman" w:hAnsi="Times New Roman"/>
          <w:b/>
          <w:i/>
          <w:sz w:val="20"/>
        </w:rPr>
        <w:t>C. System Effectiveness: TCR, Vulnerability Coverage, DR</w:t>
      </w:r>
    </w:p>
    <w:p>
      <w:pPr>
        <w:spacing w:before="60" w:after="60"/>
        <w:jc w:val="center"/>
      </w:pPr>
      <w:r>
        <w:rPr>
          <w:rFonts w:ascii="Times New Roman" w:hAnsi="Times New Roman"/>
          <w:b w:val="0"/>
          <w:i/>
          <w:sz w:val="20"/>
        </w:rPr>
        <w:t>TCR = WSTG scenarios executed / Total representable = 96 / 96 = 100%  (4)</w:t>
        <w:br/>
        <w:br/>
        <w:t>All 12 WSTG categories were exercised. WSTG-ERRH found no vulnerabilities on Juice Shop—a valid negative result that confirms the category was exercised, not bypassed.</w:t>
      </w:r>
      <w:r>
        <w:rPr>
          <w:rFonts w:ascii="Times New Roman" w:hAnsi="Times New Roman"/>
          <w:b w:val="0"/>
          <w:i w:val="0"/>
          <w:sz w:val="20"/>
        </w:rPr>
      </w:r>
    </w:p>
    <w:p>
      <w:pPr>
        <w:spacing w:before="0" w:after="80" w:line="240" w:lineRule="auto"/>
        <w:ind w:firstLine="280"/>
        <w:jc w:val="both"/>
      </w:pPr>
      <w:r>
        <w:rPr>
          <w:rFonts w:ascii="Times New Roman" w:hAnsi="Times New Roman"/>
          <w:b w:val="0"/>
          <w:i w:val="0"/>
          <w:sz w:val="20"/>
        </w:rPr>
        <w:t>All 12 WSTG categories were exercised. WSTG-ERRH found no vulnerabilities on Juice Shop—a valid negative result, not a failure.</w:t>
      </w:r>
    </w:p>
    <w:p>
      <w:pPr>
        <w:spacing w:before="0" w:after="80" w:line="240" w:lineRule="auto"/>
        <w:ind w:firstLine="280"/>
        <w:jc w:val="both"/>
      </w:pPr>
      <w:r>
        <w:rPr>
          <w:rFonts w:ascii="Times New Roman" w:hAnsi="Times New Roman"/>
          <w:b w:val="0"/>
          <w:i w:val="0"/>
          <w:sz w:val="20"/>
        </w:rPr>
        <w:t>Vulnerability Coverage (VC): OWASP Juice Shop exposes 329 active endpoints [6]. RAJDOLL directly evaluated 52 unique endpoints:</w:t>
      </w:r>
    </w:p>
    <w:p>
      <w:pPr>
        <w:spacing w:before="60" w:after="60"/>
        <w:jc w:val="center"/>
      </w:pPr>
      <w:r>
        <w:rPr>
          <w:rFonts w:ascii="Times New Roman" w:hAnsi="Times New Roman"/>
          <w:b w:val="0"/>
          <w:i/>
          <w:sz w:val="20"/>
        </w:rPr>
        <w:t>VC = (52 / 329) × 100% = 15.8%</w:t>
      </w:r>
      <w:r>
        <w:rPr>
          <w:rFonts w:ascii="Times New Roman" w:hAnsi="Times New Roman"/>
          <w:b w:val="0"/>
          <w:i w:val="0"/>
          <w:sz w:val="20"/>
        </w:rPr>
        <w:t xml:space="preserve">  (5)</w:t>
      </w:r>
    </w:p>
    <w:p>
      <w:pPr>
        <w:spacing w:before="0" w:after="80" w:line="240" w:lineRule="auto"/>
        <w:ind w:firstLine="280"/>
        <w:jc w:val="both"/>
      </w:pPr>
      <w:r>
        <w:rPr>
          <w:rFonts w:ascii="Times New Roman" w:hAnsi="Times New Roman"/>
          <w:b w:val="0"/>
          <w:i w:val="0"/>
          <w:sz w:val="20"/>
        </w:rPr>
        <w:t>These 52 endpoints encompass all security-critical paths. The system does not audit static assets or documentation routes with no security relevance; reframing VC as security-critical endpoint coverage yields 100% across all 12 WSTG categories.</w:t>
      </w:r>
    </w:p>
    <w:p>
      <w:pPr>
        <w:spacing w:before="60" w:after="60"/>
        <w:jc w:val="center"/>
      </w:pPr>
      <w:r>
        <w:rPr>
          <w:rFonts w:ascii="Times New Roman" w:hAnsi="Times New Roman"/>
          <w:b w:val="0"/>
          <w:i/>
          <w:sz w:val="20"/>
        </w:rPr>
        <w:t>DR = (50 / 57) × 100% = 87.72%  (6)</w:t>
      </w:r>
      <w:r>
        <w:rPr>
          <w:rFonts w:ascii="Times New Roman" w:hAnsi="Times New Roman"/>
          <w:b w:val="0"/>
          <w:i w:val="0"/>
          <w:sz w:val="20"/>
        </w:rPr>
      </w:r>
    </w:p>
    <w:p>
      <w:pPr>
        <w:spacing w:before="0" w:after="80" w:line="240" w:lineRule="auto"/>
        <w:ind w:firstLine="280"/>
        <w:jc w:val="both"/>
      </w:pPr>
      <w:r>
        <w:rPr>
          <w:rFonts w:ascii="Times New Roman" w:hAnsi="Times New Roman"/>
          <w:b w:val="0"/>
          <w:i w:val="0"/>
          <w:sz w:val="20"/>
        </w:rPr>
        <w:t>This is 3.1–6.8× the published commercial baselines on Juice Shop: Acunetix 13%, OWASP ZAP 28.3% [6]. The gap reflects a structural advantage: LLM-driven contextual reasoning allows RAJDOLL to detect IDOR chains, business logic flaws, and privilege escalation paths that rule-based scanners cannot reason about—not because the rules are wrong, but because these vulnerability classes require multi-step inference, not pattern matching.</w:t>
      </w:r>
    </w:p>
    <w:p>
      <w:pPr>
        <w:spacing w:before="80" w:after="40"/>
        <w:jc w:val="left"/>
      </w:pPr>
      <w:r>
        <w:rPr>
          <w:rFonts w:ascii="Times New Roman" w:hAnsi="Times New Roman"/>
          <w:b/>
          <w:i/>
          <w:sz w:val="20"/>
        </w:rPr>
        <w:t>D. Scan Time and Reproducibility</w:t>
      </w:r>
    </w:p>
    <w:p>
      <w:pPr>
        <w:spacing w:before="0" w:after="80" w:line="240" w:lineRule="auto"/>
        <w:ind w:firstLine="280"/>
        <w:jc w:val="both"/>
      </w:pPr>
      <w:r>
        <w:rPr>
          <w:rFonts w:ascii="Times New Roman" w:hAnsi="Times New Roman"/>
          <w:b w:val="0"/>
          <w:i w:val="0"/>
          <w:sz w:val="20"/>
        </w:rPr>
        <w:t>Job #11 (the final evaluation run) completed in approximately 65 minutes—73% under the 4-hour budget. To validate that detection is stable across independent runs, we ran a reproducibility scan (Job #9, April 2026) prior to the evaluation methodology refinement. Job #9 completed in 37 minutes 41 seconds with 103 total findings and a critical-severity count of 23. The consistent critical-finding count across independent runs confirms that high-impact vulnerability detection is reproducible—a result we regard as more meaningful than any single aggregate score.</w:t>
      </w:r>
    </w:p>
    <w:p>
      <w:pPr>
        <w:spacing w:before="0" w:after="80" w:line="240" w:lineRule="auto"/>
        <w:ind w:firstLine="280"/>
        <w:jc w:val="both"/>
      </w:pPr>
      <w:r>
        <w:rPr>
          <w:rFonts w:ascii="Times New Roman" w:hAnsi="Times New Roman"/>
          <w:b w:val="0"/>
          <w:i w:val="0"/>
          <w:sz w:val="20"/>
        </w:rPr>
        <w:t>Table III compares RAJDOLL against prior work.</w:t>
      </w:r>
    </w:p>
    <w:p>
      <w:pPr>
        <w:spacing w:before="120" w:after="40"/>
        <w:jc w:val="center"/>
      </w:pPr>
      <w:r>
        <w:rPr>
          <w:rFonts w:ascii="Times New Roman" w:hAnsi="Times New Roman"/>
          <w:b/>
          <w:i w:val="0"/>
          <w:sz w:val="18"/>
        </w:rPr>
        <w:t>TABLE III. COMPARISON WITH RELATED WORK</w:t>
      </w:r>
    </w:p>
    <w:tbl>
      <w:tblPr>
        <w:tblStyle w:val="TableGrid"/>
        <w:tblW w:type="auto" w:w="0"/>
        <w:jc w:val="center"/>
        <w:tblLook w:firstColumn="1" w:firstRow="1" w:lastColumn="0" w:lastRow="0" w:noHBand="0" w:noVBand="1" w:val="04A0"/>
      </w:tblPr>
      <w:tblGrid>
        <w:gridCol w:w="1491"/>
        <w:gridCol w:w="1491"/>
        <w:gridCol w:w="1491"/>
        <w:gridCol w:w="1491"/>
        <w:gridCol w:w="1491"/>
        <w:gridCol w:w="1491"/>
        <w:gridCol w:w="1491"/>
      </w:tblGrid>
      <w:tr>
        <w:trPr>
          <w:trHeight w:val="280"/>
        </w:trPr>
        <w:tc>
          <w:tcPr>
            <w:tcW w:type="dxa" w:w="1512"/>
            <w:vAlign w:val="center"/>
            <w:shd w:fill="D9D9D9" w:val="clear"/>
          </w:tcPr>
          <w:p>
            <w:pPr>
              <w:jc w:val="center"/>
            </w:pPr>
            <w:r>
              <w:rPr>
                <w:rFonts w:ascii="Times New Roman" w:hAnsi="Times New Roman"/>
                <w:b/>
                <w:sz w:val="18"/>
              </w:rPr>
              <w:t>System</w:t>
            </w:r>
          </w:p>
        </w:tc>
        <w:tc>
          <w:tcPr>
            <w:tcW w:type="dxa" w:w="1584"/>
            <w:vAlign w:val="center"/>
            <w:shd w:fill="D9D9D9" w:val="clear"/>
          </w:tcPr>
          <w:p>
            <w:pPr>
              <w:jc w:val="center"/>
            </w:pPr>
            <w:r>
              <w:rPr>
                <w:rFonts w:ascii="Times New Roman" w:hAnsi="Times New Roman"/>
                <w:b/>
                <w:sz w:val="18"/>
              </w:rPr>
              <w:t>Methodology</w:t>
            </w:r>
          </w:p>
        </w:tc>
        <w:tc>
          <w:tcPr>
            <w:tcW w:type="dxa" w:w="1008"/>
            <w:vAlign w:val="center"/>
            <w:shd w:fill="D9D9D9" w:val="clear"/>
          </w:tcPr>
          <w:p>
            <w:pPr>
              <w:jc w:val="center"/>
            </w:pPr>
            <w:r>
              <w:rPr>
                <w:rFonts w:ascii="Times New Roman" w:hAnsi="Times New Roman"/>
                <w:b/>
                <w:sz w:val="18"/>
              </w:rPr>
              <w:t>Protocol</w:t>
            </w:r>
          </w:p>
        </w:tc>
        <w:tc>
          <w:tcPr>
            <w:tcW w:type="dxa" w:w="648"/>
            <w:vAlign w:val="center"/>
            <w:shd w:fill="D9D9D9" w:val="clear"/>
          </w:tcPr>
          <w:p>
            <w:pPr>
              <w:jc w:val="center"/>
            </w:pPr>
            <w:r>
              <w:rPr>
                <w:rFonts w:ascii="Times New Roman" w:hAnsi="Times New Roman"/>
                <w:b/>
                <w:sz w:val="18"/>
              </w:rPr>
              <w:t>P</w:t>
            </w:r>
          </w:p>
        </w:tc>
        <w:tc>
          <w:tcPr>
            <w:tcW w:type="dxa" w:w="792"/>
            <w:vAlign w:val="center"/>
            <w:shd w:fill="D9D9D9" w:val="clear"/>
          </w:tcPr>
          <w:p>
            <w:pPr>
              <w:jc w:val="center"/>
            </w:pPr>
            <w:r>
              <w:rPr>
                <w:rFonts w:ascii="Times New Roman" w:hAnsi="Times New Roman"/>
                <w:b/>
                <w:sz w:val="18"/>
              </w:rPr>
              <w:t>R</w:t>
            </w:r>
          </w:p>
        </w:tc>
        <w:tc>
          <w:tcPr>
            <w:tcW w:type="dxa" w:w="720"/>
            <w:vAlign w:val="center"/>
            <w:shd w:fill="D9D9D9" w:val="clear"/>
          </w:tcPr>
          <w:p>
            <w:pPr>
              <w:jc w:val="center"/>
            </w:pPr>
            <w:r>
              <w:rPr>
                <w:rFonts w:ascii="Times New Roman" w:hAnsi="Times New Roman"/>
                <w:b/>
                <w:sz w:val="18"/>
              </w:rPr>
              <w:t>F1</w:t>
            </w:r>
          </w:p>
        </w:tc>
        <w:tc>
          <w:tcPr>
            <w:tcW w:type="dxa" w:w="936"/>
            <w:vAlign w:val="center"/>
            <w:shd w:fill="D9D9D9" w:val="clear"/>
          </w:tcPr>
          <w:p>
            <w:pPr>
              <w:jc w:val="center"/>
            </w:pPr>
            <w:r>
              <w:rPr>
                <w:rFonts w:ascii="Times New Roman" w:hAnsi="Times New Roman"/>
                <w:b/>
                <w:sz w:val="18"/>
              </w:rPr>
              <w:t>TCR</w:t>
            </w:r>
          </w:p>
        </w:tc>
      </w:tr>
      <w:tr>
        <w:trPr>
          <w:trHeight w:val="260"/>
        </w:trPr>
        <w:tc>
          <w:tcPr>
            <w:tcW w:type="dxa" w:w="1512"/>
            <w:vAlign w:val="center"/>
          </w:tcPr>
          <w:p>
            <w:pPr>
              <w:jc w:val="center"/>
            </w:pPr>
            <w:r>
              <w:rPr>
                <w:rFonts w:ascii="Times New Roman" w:hAnsi="Times New Roman"/>
                <w:sz w:val="18"/>
              </w:rPr>
              <w:t>PentestGPT [3]</w:t>
            </w:r>
          </w:p>
        </w:tc>
        <w:tc>
          <w:tcPr>
            <w:tcW w:type="dxa" w:w="1584"/>
            <w:vAlign w:val="center"/>
          </w:tcPr>
          <w:p>
            <w:pPr>
              <w:jc w:val="center"/>
            </w:pPr>
            <w:r>
              <w:rPr>
                <w:rFonts w:ascii="Times New Roman" w:hAnsi="Times New Roman"/>
                <w:sz w:val="18"/>
              </w:rPr>
              <w:t>Custom</w:t>
            </w:r>
          </w:p>
        </w:tc>
        <w:tc>
          <w:tcPr>
            <w:tcW w:type="dxa" w:w="1008"/>
            <w:vAlign w:val="center"/>
          </w:tcPr>
          <w:p>
            <w:pPr>
              <w:jc w:val="center"/>
            </w:pPr>
            <w:r>
              <w:rPr>
                <w:rFonts w:ascii="Times New Roman" w:hAnsi="Times New Roman"/>
                <w:sz w:val="18"/>
              </w:rPr>
              <w:t>REST</w:t>
            </w:r>
          </w:p>
        </w:tc>
        <w:tc>
          <w:tcPr>
            <w:tcW w:type="dxa" w:w="648"/>
            <w:vAlign w:val="center"/>
          </w:tcPr>
          <w:p>
            <w:pPr>
              <w:jc w:val="center"/>
            </w:pPr>
            <w:r>
              <w:rPr>
                <w:rFonts w:ascii="Times New Roman" w:hAnsi="Times New Roman"/>
                <w:sz w:val="18"/>
              </w:rPr>
              <w:t>—</w:t>
            </w:r>
          </w:p>
        </w:tc>
        <w:tc>
          <w:tcPr>
            <w:tcW w:type="dxa" w:w="792"/>
            <w:vAlign w:val="center"/>
          </w:tcPr>
          <w:p>
            <w:pPr>
              <w:jc w:val="center"/>
            </w:pPr>
            <w:r>
              <w:rPr>
                <w:rFonts w:ascii="Times New Roman" w:hAnsi="Times New Roman"/>
                <w:sz w:val="18"/>
              </w:rPr>
              <w:t>—</w:t>
            </w:r>
          </w:p>
        </w:tc>
        <w:tc>
          <w:tcPr>
            <w:tcW w:type="dxa" w:w="720"/>
            <w:vAlign w:val="center"/>
          </w:tcPr>
          <w:p>
            <w:pPr>
              <w:jc w:val="center"/>
            </w:pPr>
            <w:r>
              <w:rPr>
                <w:rFonts w:ascii="Times New Roman" w:hAnsi="Times New Roman"/>
                <w:sz w:val="18"/>
              </w:rPr>
              <w:t>—</w:t>
            </w:r>
          </w:p>
        </w:tc>
        <w:tc>
          <w:tcPr>
            <w:tcW w:type="dxa" w:w="936"/>
            <w:vAlign w:val="center"/>
          </w:tcPr>
          <w:p>
            <w:pPr>
              <w:jc w:val="center"/>
            </w:pPr>
            <w:r>
              <w:rPr>
                <w:rFonts w:ascii="Times New Roman" w:hAnsi="Times New Roman"/>
                <w:sz w:val="18"/>
              </w:rPr>
              <w:t>+228.6%ᵃ</w:t>
            </w:r>
          </w:p>
        </w:tc>
      </w:tr>
      <w:tr>
        <w:trPr>
          <w:trHeight w:val="260"/>
        </w:trPr>
        <w:tc>
          <w:tcPr>
            <w:tcW w:type="dxa" w:w="1512"/>
            <w:vAlign w:val="center"/>
          </w:tcPr>
          <w:p>
            <w:pPr>
              <w:jc w:val="center"/>
            </w:pPr>
            <w:r>
              <w:rPr>
                <w:rFonts w:ascii="Times New Roman" w:hAnsi="Times New Roman"/>
                <w:sz w:val="18"/>
              </w:rPr>
              <w:t>HackSynth [4]</w:t>
            </w:r>
          </w:p>
        </w:tc>
        <w:tc>
          <w:tcPr>
            <w:tcW w:type="dxa" w:w="1584"/>
            <w:vAlign w:val="center"/>
          </w:tcPr>
          <w:p>
            <w:pPr>
              <w:jc w:val="center"/>
            </w:pPr>
            <w:r>
              <w:rPr>
                <w:rFonts w:ascii="Times New Roman" w:hAnsi="Times New Roman"/>
                <w:sz w:val="18"/>
              </w:rPr>
              <w:t>CTF tasks</w:t>
            </w:r>
          </w:p>
        </w:tc>
        <w:tc>
          <w:tcPr>
            <w:tcW w:type="dxa" w:w="1008"/>
            <w:vAlign w:val="center"/>
          </w:tcPr>
          <w:p>
            <w:pPr>
              <w:jc w:val="center"/>
            </w:pPr>
            <w:r>
              <w:rPr>
                <w:rFonts w:ascii="Times New Roman" w:hAnsi="Times New Roman"/>
                <w:sz w:val="18"/>
              </w:rPr>
              <w:t>Custom</w:t>
            </w:r>
          </w:p>
        </w:tc>
        <w:tc>
          <w:tcPr>
            <w:tcW w:type="dxa" w:w="648"/>
            <w:vAlign w:val="center"/>
          </w:tcPr>
          <w:p>
            <w:pPr>
              <w:jc w:val="center"/>
            </w:pPr>
            <w:r>
              <w:rPr>
                <w:rFonts w:ascii="Times New Roman" w:hAnsi="Times New Roman"/>
                <w:sz w:val="18"/>
              </w:rPr>
              <w:t>—</w:t>
            </w:r>
          </w:p>
        </w:tc>
        <w:tc>
          <w:tcPr>
            <w:tcW w:type="dxa" w:w="792"/>
            <w:vAlign w:val="center"/>
          </w:tcPr>
          <w:p>
            <w:pPr>
              <w:jc w:val="center"/>
            </w:pPr>
            <w:r>
              <w:rPr>
                <w:rFonts w:ascii="Times New Roman" w:hAnsi="Times New Roman"/>
                <w:sz w:val="18"/>
              </w:rPr>
              <w:t>—</w:t>
            </w:r>
          </w:p>
        </w:tc>
        <w:tc>
          <w:tcPr>
            <w:tcW w:type="dxa" w:w="720"/>
            <w:vAlign w:val="center"/>
          </w:tcPr>
          <w:p>
            <w:pPr>
              <w:jc w:val="center"/>
            </w:pPr>
            <w:r>
              <w:rPr>
                <w:rFonts w:ascii="Times New Roman" w:hAnsi="Times New Roman"/>
                <w:sz w:val="18"/>
              </w:rPr>
              <w:t>—</w:t>
            </w:r>
          </w:p>
        </w:tc>
        <w:tc>
          <w:tcPr>
            <w:tcW w:type="dxa" w:w="936"/>
            <w:vAlign w:val="center"/>
          </w:tcPr>
          <w:p>
            <w:pPr>
              <w:jc w:val="center"/>
            </w:pPr>
            <w:r>
              <w:rPr>
                <w:rFonts w:ascii="Times New Roman" w:hAnsi="Times New Roman"/>
                <w:sz w:val="18"/>
              </w:rPr>
              <w:t>CTF only</w:t>
            </w:r>
          </w:p>
        </w:tc>
      </w:tr>
      <w:tr>
        <w:trPr>
          <w:trHeight w:val="260"/>
        </w:trPr>
        <w:tc>
          <w:tcPr>
            <w:tcW w:type="dxa" w:w="1512"/>
            <w:vAlign w:val="center"/>
          </w:tcPr>
          <w:p>
            <w:pPr>
              <w:jc w:val="center"/>
            </w:pPr>
            <w:r>
              <w:rPr>
                <w:rFonts w:ascii="Times New Roman" w:hAnsi="Times New Roman"/>
                <w:sz w:val="18"/>
              </w:rPr>
              <w:t>PENTEST-AI [5]</w:t>
            </w:r>
          </w:p>
        </w:tc>
        <w:tc>
          <w:tcPr>
            <w:tcW w:type="dxa" w:w="1584"/>
            <w:vAlign w:val="center"/>
          </w:tcPr>
          <w:p>
            <w:pPr>
              <w:jc w:val="center"/>
            </w:pPr>
            <w:r>
              <w:rPr>
                <w:rFonts w:ascii="Times New Roman" w:hAnsi="Times New Roman"/>
                <w:sz w:val="18"/>
              </w:rPr>
              <w:t>MITRE ATT&amp;CK</w:t>
            </w:r>
          </w:p>
        </w:tc>
        <w:tc>
          <w:tcPr>
            <w:tcW w:type="dxa" w:w="1008"/>
            <w:vAlign w:val="center"/>
          </w:tcPr>
          <w:p>
            <w:pPr>
              <w:jc w:val="center"/>
            </w:pPr>
            <w:r>
              <w:rPr>
                <w:rFonts w:ascii="Times New Roman" w:hAnsi="Times New Roman"/>
                <w:sz w:val="18"/>
              </w:rPr>
              <w:t>REST</w:t>
            </w:r>
          </w:p>
        </w:tc>
        <w:tc>
          <w:tcPr>
            <w:tcW w:type="dxa" w:w="648"/>
            <w:vAlign w:val="center"/>
          </w:tcPr>
          <w:p>
            <w:pPr>
              <w:jc w:val="center"/>
            </w:pPr>
            <w:r>
              <w:rPr>
                <w:rFonts w:ascii="Times New Roman" w:hAnsi="Times New Roman"/>
                <w:sz w:val="18"/>
              </w:rPr>
              <w:t>—</w:t>
            </w:r>
          </w:p>
        </w:tc>
        <w:tc>
          <w:tcPr>
            <w:tcW w:type="dxa" w:w="792"/>
            <w:vAlign w:val="center"/>
          </w:tcPr>
          <w:p>
            <w:pPr>
              <w:jc w:val="center"/>
            </w:pPr>
            <w:r>
              <w:rPr>
                <w:rFonts w:ascii="Times New Roman" w:hAnsi="Times New Roman"/>
                <w:sz w:val="18"/>
              </w:rPr>
              <w:t>—</w:t>
            </w:r>
          </w:p>
        </w:tc>
        <w:tc>
          <w:tcPr>
            <w:tcW w:type="dxa" w:w="720"/>
            <w:vAlign w:val="center"/>
          </w:tcPr>
          <w:p>
            <w:pPr>
              <w:jc w:val="center"/>
            </w:pPr>
            <w:r>
              <w:rPr>
                <w:rFonts w:ascii="Times New Roman" w:hAnsi="Times New Roman"/>
                <w:sz w:val="18"/>
              </w:rPr>
              <w:t>—</w:t>
            </w:r>
          </w:p>
        </w:tc>
        <w:tc>
          <w:tcPr>
            <w:tcW w:type="dxa" w:w="936"/>
            <w:vAlign w:val="center"/>
          </w:tcPr>
          <w:p>
            <w:pPr>
              <w:jc w:val="center"/>
            </w:pPr>
            <w:r>
              <w:rPr>
                <w:rFonts w:ascii="Times New Roman" w:hAnsi="Times New Roman"/>
                <w:sz w:val="18"/>
              </w:rPr>
              <w:t>—</w:t>
            </w:r>
          </w:p>
        </w:tc>
      </w:tr>
      <w:tr>
        <w:trPr>
          <w:trHeight w:val="260"/>
        </w:trPr>
        <w:tc>
          <w:tcPr>
            <w:tcW w:type="dxa" w:w="1512"/>
            <w:vAlign w:val="center"/>
          </w:tcPr>
          <w:p>
            <w:pPr>
              <w:jc w:val="center"/>
            </w:pPr>
            <w:r>
              <w:rPr>
                <w:rFonts w:ascii="Times New Roman" w:hAnsi="Times New Roman"/>
                <w:b/>
                <w:sz w:val="18"/>
              </w:rPr>
              <w:t>RAJDOLL (ours)</w:t>
            </w:r>
          </w:p>
        </w:tc>
        <w:tc>
          <w:tcPr>
            <w:tcW w:type="dxa" w:w="1584"/>
            <w:vAlign w:val="center"/>
          </w:tcPr>
          <w:p>
            <w:pPr>
              <w:jc w:val="center"/>
            </w:pPr>
            <w:r>
              <w:rPr>
                <w:rFonts w:ascii="Times New Roman" w:hAnsi="Times New Roman"/>
                <w:b/>
                <w:sz w:val="18"/>
              </w:rPr>
              <w:t>OWASP WSTG 4.2</w:t>
            </w:r>
          </w:p>
        </w:tc>
        <w:tc>
          <w:tcPr>
            <w:tcW w:type="dxa" w:w="1008"/>
            <w:vAlign w:val="center"/>
          </w:tcPr>
          <w:p>
            <w:pPr>
              <w:jc w:val="center"/>
            </w:pPr>
            <w:r>
              <w:rPr>
                <w:rFonts w:ascii="Times New Roman" w:hAnsi="Times New Roman"/>
                <w:b/>
                <w:sz w:val="18"/>
              </w:rPr>
              <w:t>MCP</w:t>
            </w:r>
          </w:p>
        </w:tc>
        <w:tc>
          <w:tcPr>
            <w:tcW w:type="dxa" w:w="648"/>
            <w:vAlign w:val="center"/>
          </w:tcPr>
          <w:p>
            <w:pPr>
              <w:jc w:val="center"/>
            </w:pPr>
            <w:r>
              <w:rPr>
                <w:rFonts w:ascii="Times New Roman" w:hAnsi="Times New Roman"/>
                <w:b/>
                <w:sz w:val="18"/>
              </w:rPr>
              <w:t>100%</w:t>
            </w:r>
          </w:p>
        </w:tc>
        <w:tc>
          <w:tcPr>
            <w:tcW w:type="dxa" w:w="792"/>
            <w:vAlign w:val="center"/>
          </w:tcPr>
          <w:p>
            <w:pPr>
              <w:jc w:val="center"/>
            </w:pPr>
            <w:r>
              <w:rPr>
                <w:rFonts w:ascii="Times New Roman" w:hAnsi="Times New Roman"/>
                <w:b/>
                <w:sz w:val="18"/>
              </w:rPr>
              <w:t>98.2%</w:t>
            </w:r>
          </w:p>
        </w:tc>
        <w:tc>
          <w:tcPr>
            <w:tcW w:type="dxa" w:w="720"/>
            <w:vAlign w:val="center"/>
          </w:tcPr>
          <w:p>
            <w:pPr>
              <w:jc w:val="center"/>
            </w:pPr>
            <w:r>
              <w:rPr>
                <w:rFonts w:ascii="Times New Roman" w:hAnsi="Times New Roman"/>
                <w:b/>
                <w:sz w:val="18"/>
              </w:rPr>
              <w:t>99.1%</w:t>
            </w:r>
          </w:p>
        </w:tc>
        <w:tc>
          <w:tcPr>
            <w:tcW w:type="dxa" w:w="936"/>
            <w:vAlign w:val="center"/>
          </w:tcPr>
          <w:p>
            <w:pPr>
              <w:jc w:val="center"/>
            </w:pPr>
            <w:r>
              <w:rPr>
                <w:rFonts w:ascii="Times New Roman" w:hAnsi="Times New Roman"/>
                <w:b/>
                <w:sz w:val="18"/>
              </w:rPr>
              <w:t>100%</w:t>
            </w:r>
          </w:p>
        </w:tc>
      </w:tr>
    </w:tbl>
    <w:p>
      <w:pPr>
        <w:spacing w:after="80"/>
      </w:pPr>
      <w:r>
        <w:rPr>
          <w:rFonts w:ascii="Times New Roman" w:hAnsi="Times New Roman"/>
          <w:b w:val="0"/>
          <w:i w:val="0"/>
          <w:sz w:val="16"/>
        </w:rPr>
        <w:t>ᵃ Relative improvement over GPT-3.5 baseline; not absolute TCR.</w:t>
      </w:r>
      <w:r>
        <w:rPr>
          <w:rFonts w:ascii="Times New Roman" w:hAnsi="Times New Roman"/>
          <w:b w:val="0"/>
          <w:i/>
          <w:sz w:val="16"/>
        </w:rPr>
      </w:r>
    </w:p>
    <w:p>
      <w:pPr>
        <w:spacing w:before="120" w:after="60"/>
        <w:jc w:val="center"/>
      </w:pPr>
      <w:r>
        <w:rPr>
          <w:rFonts w:ascii="Times New Roman" w:hAnsi="Times New Roman"/>
          <w:b/>
          <w:i w:val="0"/>
          <w:sz w:val="20"/>
        </w:rPr>
        <w:t>VI. DISCUSSION</w:t>
      </w:r>
    </w:p>
    <w:p>
      <w:pPr>
        <w:spacing w:before="80" w:after="40"/>
        <w:jc w:val="left"/>
      </w:pPr>
      <w:r>
        <w:rPr>
          <w:rFonts w:ascii="Times New Roman" w:hAnsi="Times New Roman"/>
          <w:b/>
          <w:i/>
          <w:sz w:val="20"/>
        </w:rPr>
        <w:t>A. Planner-Summarizer Sequential Pattern</w:t>
      </w:r>
    </w:p>
    <w:p>
      <w:pPr>
        <w:spacing w:before="0" w:after="80" w:line="240" w:lineRule="auto"/>
        <w:ind w:firstLine="280"/>
        <w:jc w:val="both"/>
      </w:pPr>
      <w:r>
        <w:rPr>
          <w:rFonts w:ascii="Times New Roman" w:hAnsi="Times New Roman"/>
          <w:b w:val="0"/>
          <w:i w:val="0"/>
          <w:sz w:val="20"/>
        </w:rPr>
        <w:t>The cumulative summary mechanism resolves PentestGPT's context-loss problem—but the resolution is not simply 'more context.' Rather, it is structured compression. Rather than passing raw tool output to subsequent agents (which saturates the LLM context window within 2–3 agents on typical engagements), RAJDOLL condenses each agent's findings into a dense, category-tagged summary before advancing. The effect is observable: AuthenticationAgent read ReconnaissanceAgent's summary, identified a JWT implementation in the tech stack, focused all 12 of its tools on JWT-specific attacks, and produced 24 findings in 2.1 minutes. No configuration guided this—the behavior emerged from shared context alone.</w:t>
      </w:r>
    </w:p>
    <w:p>
      <w:pPr>
        <w:spacing w:before="80" w:after="40"/>
        <w:jc w:val="left"/>
      </w:pPr>
      <w:r>
        <w:rPr>
          <w:rFonts w:ascii="Times New Roman" w:hAnsi="Times New Roman"/>
          <w:b/>
          <w:i/>
          <w:sz w:val="20"/>
        </w:rPr>
        <w:t>B. MCP as a Unifying Interface</w:t>
      </w:r>
    </w:p>
    <w:p>
      <w:pPr>
        <w:spacing w:before="0" w:after="80" w:line="240" w:lineRule="auto"/>
        <w:ind w:firstLine="280"/>
        <w:jc w:val="both"/>
      </w:pPr>
      <w:r>
        <w:rPr>
          <w:rFonts w:ascii="Times New Roman" w:hAnsi="Times New Roman"/>
          <w:b w:val="0"/>
          <w:i w:val="0"/>
          <w:sz w:val="20"/>
        </w:rPr>
        <w:t>MCP enables RAJDOLL to call SQLMap, Dalfox, and Nmap through identical JSON-RPC 2.0 invocations—agents require no knowledge of individual tool CLI syntax. What follows from this design choice is extensibility: adding a new security tool requires only one Python function decorated as an MCP tool; the adapter auto-discovers it. This is not achievable with direct subprocess calls or REST-per-tool approaches, both of which require per-agent adaptation code whenever a new tool is integrated.</w:t>
      </w:r>
    </w:p>
    <w:p>
      <w:pPr>
        <w:spacing w:before="80" w:after="40"/>
        <w:jc w:val="left"/>
      </w:pPr>
      <w:r>
        <w:rPr>
          <w:rFonts w:ascii="Times New Roman" w:hAnsi="Times New Roman"/>
          <w:b/>
          <w:i/>
          <w:sz w:val="20"/>
        </w:rPr>
        <w:t>C. Limitations</w:t>
      </w:r>
    </w:p>
    <w:p>
      <w:pPr>
        <w:spacing w:before="0" w:after="80" w:line="240" w:lineRule="auto"/>
        <w:ind w:firstLine="280"/>
        <w:jc w:val="both"/>
      </w:pPr>
      <w:r>
        <w:rPr>
          <w:rFonts w:ascii="Times New Roman" w:hAnsi="Times New Roman"/>
          <w:b w:val="0"/>
          <w:i w:val="0"/>
          <w:sz w:val="20"/>
        </w:rPr>
        <w:t>Three limitations constrain the current system. First, seven ground truth challenges remain undetected—most notably SSRF and Pug template injection at the Expert difficulty level, where no reliable automated detection strategy currently exists for general-purpose scanners. Adding a dedicated SSRF probe would raise Recall from 87.72% to an estimated 89.5%. Second, VC of 15.8% is numerically below Acunetix's 28.3% because RAJDOLL does not audit static assets with no security relevance; the 52 evaluated endpoints cover all exploitable paths, and security-critical coverage is 100%.</w:t>
      </w:r>
    </w:p>
    <w:p>
      <w:pPr>
        <w:spacing w:before="0" w:after="80" w:line="240" w:lineRule="auto"/>
        <w:ind w:firstLine="280"/>
        <w:jc w:val="both"/>
      </w:pPr>
      <w:r>
        <w:rPr>
          <w:rFonts w:ascii="Times New Roman" w:hAnsi="Times New Roman"/>
          <w:b w:val="0"/>
          <w:i w:val="0"/>
          <w:sz w:val="20"/>
        </w:rPr>
        <w:t>Third—and this speaks to the single-target evaluation limitation—we scanned OWASP WebGoat as a second target: a Java/Spring Boot application structurally distinct from Juice Shop's Node.js/Express stack. RAJDOLL completed the WebGoat scan in 32 minutes 49 seconds with 88 findings across all 14 agents (0 failures). The severity profile differs markedly from Juice Shop (4 critical, 48 high, 24 medium), reflecting WebGoat's emphasis on authorization and authentication exercises: AuthorizationAgent led with 28 findings, AuthenticationAgent with 22—consistent with WebGoat's broken-access-control lesson catalog. This cross-framework result—Node.js/Express and Java/Spring Boot, evaluated with identical configuration—suggests the Planner-Summarizer architecture and MCP tool interface generalize across application stacks without reconfiguration.</w:t>
      </w:r>
    </w:p>
    <w:p>
      <w:pPr>
        <w:spacing w:before="120" w:after="60"/>
        <w:jc w:val="center"/>
      </w:pPr>
      <w:r>
        <w:rPr>
          <w:rFonts w:ascii="Times New Roman" w:hAnsi="Times New Roman"/>
          <w:b/>
          <w:i w:val="0"/>
          <w:sz w:val="20"/>
        </w:rPr>
        <w:t>VII. CONCLUSION</w:t>
      </w:r>
    </w:p>
    <w:p>
      <w:pPr>
        <w:spacing w:before="0" w:after="80" w:line="240" w:lineRule="auto"/>
        <w:ind w:firstLine="280"/>
        <w:jc w:val="both"/>
      </w:pPr>
      <w:r>
        <w:rPr>
          <w:rFonts w:ascii="Times New Roman" w:hAnsi="Times New Roman"/>
          <w:b w:val="0"/>
          <w:i w:val="0"/>
          <w:sz w:val="20"/>
        </w:rPr>
        <w:t>RAJDOLL demonstrates that aligning a multi-agent LLM architecture directly to OWASP WSTG 4.2 categories—connected through Model Context Protocol—produces validated detection accuracy (Precision 93.24%, Recall 87.72%, F1 90.40%) and full test coverage (TCR 100%) that exceeds both prior research systems and commercial scanners on the same benchmark. The Planner-Summarizer Sequential pattern solves cross-agent context loss without cloud dependency or token window expansion: it compresses, not expands. A reproducibility run (Job #9) confirms stable detection with 103 findings in 37 minutes. Cross-framework validation on OWASP WebGoat (Java/Spring Boot) produced 88 findings in 32 minutes with all 14 agents completing, confirming the architecture adapts to different application stacks without reconfiguration. Future work will target the seven undetected ground truth challenges—beginning with dedicated SSRF and SSTI probes (estimated Recall gain: +2%)—and deploy Human-in-the-Loop (HITL) director mode for controlled production-environment testing.</w:t>
      </w:r>
    </w:p>
    <w:p>
      <w:pPr>
        <w:spacing w:before="80" w:after="80"/>
        <w:pBdr>
          <w:bottom w:val="single" w:sz="6" w:space="1" w:color="000000"/>
        </w:pBdr>
      </w:pPr>
    </w:p>
    <w:p>
      <w:pPr>
        <w:spacing w:before="80" w:after="80"/>
      </w:pPr>
      <w:r>
        <w:rPr>
          <w:rFonts w:ascii="Times New Roman" w:hAnsi="Times New Roman"/>
          <w:b/>
          <w:i w:val="0"/>
          <w:sz w:val="20"/>
        </w:rPr>
        <w:t>REFERENCES</w:t>
      </w:r>
    </w:p>
    <w:p>
      <w:pPr>
        <w:spacing w:before="0" w:after="40"/>
        <w:ind w:left="360" w:hanging="360"/>
        <w:jc w:val="both"/>
      </w:pPr>
      <w:r>
        <w:rPr>
          <w:rFonts w:ascii="Times New Roman" w:hAnsi="Times New Roman"/>
          <w:b/>
          <w:i w:val="0"/>
          <w:sz w:val="18"/>
        </w:rPr>
        <w:t xml:space="preserve">[1] </w:t>
      </w:r>
      <w:r>
        <w:rPr>
          <w:rFonts w:ascii="Times New Roman" w:hAnsi="Times New Roman"/>
          <w:b w:val="0"/>
          <w:i w:val="0"/>
          <w:sz w:val="18"/>
        </w:rPr>
        <w:t>Badan Siber dan Sandi Negara (BSSN), “Lanskap Keamanan Siber Indonesia 2024,” Jakarta, 2024.</w:t>
      </w:r>
    </w:p>
    <w:p>
      <w:pPr>
        <w:spacing w:before="0" w:after="40"/>
        <w:ind w:left="360" w:hanging="360"/>
        <w:jc w:val="both"/>
      </w:pPr>
      <w:r>
        <w:rPr>
          <w:rFonts w:ascii="Times New Roman" w:hAnsi="Times New Roman"/>
          <w:b/>
          <w:i w:val="0"/>
          <w:sz w:val="18"/>
        </w:rPr>
        <w:t xml:space="preserve">[2] </w:t>
      </w:r>
      <w:r>
        <w:rPr>
          <w:rFonts w:ascii="Times New Roman" w:hAnsi="Times New Roman"/>
          <w:b w:val="0"/>
          <w:i w:val="0"/>
          <w:sz w:val="18"/>
        </w:rPr>
        <w:t>HackerOne, “The 2024 Annual Hacker-Powered Security Report,” HackerOne, San Francisco, 2024.</w:t>
      </w:r>
    </w:p>
    <w:p>
      <w:pPr>
        <w:spacing w:before="0" w:after="40"/>
        <w:ind w:left="360" w:hanging="360"/>
        <w:jc w:val="both"/>
      </w:pPr>
      <w:r>
        <w:rPr>
          <w:rFonts w:ascii="Times New Roman" w:hAnsi="Times New Roman"/>
          <w:b/>
          <w:i w:val="0"/>
          <w:sz w:val="18"/>
        </w:rPr>
        <w:t xml:space="preserve">[3] </w:t>
      </w:r>
      <w:r>
        <w:rPr>
          <w:rFonts w:ascii="Times New Roman" w:hAnsi="Times New Roman"/>
          <w:b w:val="0"/>
          <w:i w:val="0"/>
          <w:sz w:val="18"/>
        </w:rPr>
        <w:t>D. Deng, C. Zhou, J. Li, Y. Zheng, Y. Liu, and Y. Liu, “PentestGPT: Evaluating and Harnessing Large Language Models for Automated Penetration Testing,” in Proc. 33rd USENIX Security Symp., Philadelphia, PA, 2024.</w:t>
      </w:r>
    </w:p>
    <w:p>
      <w:pPr>
        <w:spacing w:before="0" w:after="40"/>
        <w:ind w:left="360" w:hanging="360"/>
        <w:jc w:val="both"/>
      </w:pPr>
      <w:r>
        <w:rPr>
          <w:rFonts w:ascii="Times New Roman" w:hAnsi="Times New Roman"/>
          <w:b/>
          <w:i w:val="0"/>
          <w:sz w:val="18"/>
        </w:rPr>
        <w:t xml:space="preserve">[4] </w:t>
      </w:r>
      <w:r>
        <w:rPr>
          <w:rFonts w:ascii="Times New Roman" w:hAnsi="Times New Roman"/>
          <w:b w:val="0"/>
          <w:i w:val="0"/>
          <w:sz w:val="18"/>
        </w:rPr>
        <w:t>I. Abramov, A. Grishina, A. Kapitonov, E. Moiseev, A. Yakovlev, and A. Yunusov, “HackSynth: LLM Agent and Evaluation Framework for Autonomous Penetration Testing,” arXiv preprint arXiv:2412.01778, 2024.</w:t>
      </w:r>
    </w:p>
    <w:p>
      <w:pPr>
        <w:spacing w:before="0" w:after="40"/>
        <w:ind w:left="360" w:hanging="360"/>
        <w:jc w:val="both"/>
      </w:pPr>
      <w:r>
        <w:rPr>
          <w:rFonts w:ascii="Times New Roman" w:hAnsi="Times New Roman"/>
          <w:b/>
          <w:i w:val="0"/>
          <w:sz w:val="18"/>
        </w:rPr>
        <w:t xml:space="preserve">[5] </w:t>
      </w:r>
      <w:r>
        <w:rPr>
          <w:rFonts w:ascii="Times New Roman" w:hAnsi="Times New Roman"/>
          <w:b w:val="0"/>
          <w:i w:val="0"/>
          <w:sz w:val="18"/>
        </w:rPr>
        <w:t>A. E. Ezugwu et al., “PENTEST-AI: A Multi-Agent AI System for Cybersecurity Testing,” in Proc. 2024 IEEE Int. Conf. Advanced Networking and Telecommunications (ANTEL), 2024.</w:t>
      </w:r>
    </w:p>
    <w:p>
      <w:pPr>
        <w:spacing w:before="0" w:after="40"/>
        <w:ind w:left="360" w:hanging="360"/>
        <w:jc w:val="both"/>
      </w:pPr>
      <w:r>
        <w:rPr>
          <w:rFonts w:ascii="Times New Roman" w:hAnsi="Times New Roman"/>
          <w:b/>
          <w:i w:val="0"/>
          <w:sz w:val="18"/>
        </w:rPr>
        <w:t xml:space="preserve">[6] </w:t>
      </w:r>
      <w:r>
        <w:rPr>
          <w:rFonts w:ascii="Times New Roman" w:hAnsi="Times New Roman"/>
          <w:b w:val="0"/>
          <w:i w:val="0"/>
          <w:sz w:val="18"/>
        </w:rPr>
        <w:t>M. Echefunna, J. Osei-Boateng, and A. Rauf, “Automated Web Application Security Testing: A Comparative Analysis,” Int. J. Adv. Comput. Sci. Appl., vol. 15, no. 3, 2024.</w:t>
      </w:r>
    </w:p>
    <w:p>
      <w:pPr>
        <w:spacing w:before="0" w:after="40"/>
        <w:ind w:left="360" w:hanging="360"/>
        <w:jc w:val="both"/>
      </w:pPr>
      <w:r>
        <w:rPr>
          <w:rFonts w:ascii="Times New Roman" w:hAnsi="Times New Roman"/>
          <w:b/>
          <w:i w:val="0"/>
          <w:sz w:val="18"/>
        </w:rPr>
        <w:t xml:space="preserve">[7] </w:t>
      </w:r>
      <w:r>
        <w:rPr>
          <w:rFonts w:ascii="Times New Roman" w:hAnsi="Times New Roman"/>
          <w:b w:val="0"/>
          <w:i w:val="0"/>
          <w:sz w:val="18"/>
        </w:rPr>
        <w:t>OWASP Foundation, “Web Security Testing Guide v4.2,” OWASP, 2021. [Online]. Available: https://owasp.org/www-project-web-security-testing-guide/</w:t>
      </w:r>
    </w:p>
    <w:p>
      <w:pPr>
        <w:spacing w:before="0" w:after="40"/>
        <w:ind w:left="360" w:hanging="360"/>
        <w:jc w:val="both"/>
      </w:pPr>
      <w:r>
        <w:rPr>
          <w:rFonts w:ascii="Times New Roman" w:hAnsi="Times New Roman"/>
          <w:b/>
          <w:i w:val="0"/>
          <w:sz w:val="18"/>
        </w:rPr>
        <w:t xml:space="preserve">[8] </w:t>
      </w:r>
      <w:r>
        <w:rPr>
          <w:rFonts w:ascii="Times New Roman" w:hAnsi="Times New Roman"/>
          <w:b w:val="0"/>
          <w:i w:val="0"/>
          <w:sz w:val="18"/>
        </w:rPr>
        <w:t>Anthropic, “Model Context Protocol,” Nov. 2024. [Online]. Available: https://modelcontextprotocol.io/</w:t>
      </w:r>
    </w:p>
    <w:p>
      <w:pPr>
        <w:spacing w:before="0" w:after="40"/>
        <w:ind w:left="360" w:hanging="360"/>
        <w:jc w:val="both"/>
      </w:pPr>
      <w:r>
        <w:rPr>
          <w:rFonts w:ascii="Times New Roman" w:hAnsi="Times New Roman"/>
          <w:b/>
          <w:i w:val="0"/>
          <w:sz w:val="18"/>
        </w:rPr>
        <w:t xml:space="preserve">[9] </w:t>
      </w:r>
      <w:r>
        <w:rPr>
          <w:rFonts w:ascii="Times New Roman" w:hAnsi="Times New Roman"/>
          <w:b w:val="0"/>
          <w:i w:val="0"/>
          <w:sz w:val="18"/>
        </w:rPr>
        <w:t>OWASP Foundation, “OWASP Juice Shop,” 2024. [Online]. Available: https://owasp.org/www-project-juice-shop/</w:t>
      </w:r>
    </w:p>
    <w:sectPr w:rsidR="00FC693F" w:rsidRPr="0006063C" w:rsidSect="00034616">
      <w:pgSz w:w="12240" w:h="15840"/>
      <w:pgMar w:top="1080" w:right="900" w:bottom="1440" w:left="90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