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8168" w14:textId="77777777" w:rsidR="00100098" w:rsidRDefault="001253E4">
      <w:pPr>
        <w:spacing w:after="120"/>
        <w:jc w:val="center"/>
      </w:pPr>
      <w:r>
        <w:rPr>
          <w:rFonts w:ascii="Times New Roman" w:hAnsi="Times New Roman"/>
          <w:sz w:val="16"/>
        </w:rPr>
        <w:t>2025 IEEE Global Engineering Education Conference (EDUCON)</w:t>
      </w:r>
    </w:p>
    <w:p w14:paraId="3CF9480D" w14:textId="77777777" w:rsidR="00100098" w:rsidRDefault="001253E4">
      <w:pPr>
        <w:spacing w:after="160" w:line="360" w:lineRule="exact"/>
        <w:jc w:val="center"/>
      </w:pPr>
      <w:r>
        <w:rPr>
          <w:rFonts w:ascii="Times New Roman" w:hAnsi="Times New Roman"/>
          <w:i/>
          <w:sz w:val="33"/>
        </w:rPr>
        <w:t>PRIE: Placement Readiness Intelligence Engine with</w:t>
      </w:r>
      <w:r>
        <w:rPr>
          <w:rFonts w:ascii="Times New Roman" w:hAnsi="Times New Roman"/>
          <w:i/>
          <w:sz w:val="33"/>
        </w:rPr>
        <w:br/>
        <w:t>Calibrated Predictive Modeling and Constrained</w:t>
      </w:r>
      <w:r>
        <w:rPr>
          <w:rFonts w:ascii="Times New Roman" w:hAnsi="Times New Roman"/>
          <w:i/>
          <w:sz w:val="33"/>
        </w:rPr>
        <w:br/>
        <w:t>Prescriptive Recourse</w:t>
      </w:r>
    </w:p>
    <w:tbl>
      <w:tblPr>
        <w:tblW w:w="0" w:type="auto"/>
        <w:jc w:val="center"/>
        <w:tblLook w:val="04A0" w:firstRow="1" w:lastRow="0" w:firstColumn="1" w:lastColumn="0" w:noHBand="0" w:noVBand="1"/>
      </w:tblPr>
      <w:tblGrid>
        <w:gridCol w:w="4896"/>
        <w:gridCol w:w="4896"/>
      </w:tblGrid>
      <w:tr w:rsidR="00100098" w14:paraId="1CC5D657" w14:textId="77777777">
        <w:trPr>
          <w:jc w:val="center"/>
        </w:trPr>
        <w:tc>
          <w:tcPr>
            <w:tcW w:w="4896" w:type="dxa"/>
          </w:tcPr>
          <w:p w14:paraId="05D2B8B5" w14:textId="137B5A2E" w:rsidR="00CC773E" w:rsidRDefault="001253E4">
            <w:pPr>
              <w:spacing w:after="0" w:line="190" w:lineRule="exact"/>
              <w:jc w:val="center"/>
              <w:rPr>
                <w:rFonts w:ascii="Times New Roman" w:hAnsi="Times New Roman"/>
                <w:sz w:val="16"/>
              </w:rPr>
            </w:pPr>
            <w:r>
              <w:rPr>
                <w:rFonts w:ascii="Times New Roman" w:hAnsi="Times New Roman"/>
                <w:sz w:val="18"/>
              </w:rPr>
              <w:t>Sivasubramanian R</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r>
            <w:proofErr w:type="spellStart"/>
            <w:r>
              <w:rPr>
                <w:rFonts w:ascii="Times New Roman" w:hAnsi="Times New Roman"/>
                <w:i/>
                <w:sz w:val="16"/>
              </w:rPr>
              <w:t>Dulapally</w:t>
            </w:r>
            <w:proofErr w:type="spellEnd"/>
            <w:r>
              <w:rPr>
                <w:rFonts w:ascii="Times New Roman" w:hAnsi="Times New Roman"/>
                <w:i/>
                <w:sz w:val="16"/>
              </w:rPr>
              <w:t>, Hyderabad, India</w:t>
            </w:r>
            <w:r>
              <w:rPr>
                <w:rFonts w:ascii="Times New Roman" w:hAnsi="Times New Roman"/>
                <w:i/>
                <w:sz w:val="16"/>
              </w:rPr>
              <w:br/>
            </w:r>
            <w:hyperlink r:id="rId6" w:history="1">
              <w:r w:rsidR="00CC773E" w:rsidRPr="00DC13C7">
                <w:rPr>
                  <w:rStyle w:val="Hyperlink"/>
                  <w:rFonts w:ascii="Times New Roman" w:hAnsi="Times New Roman"/>
                  <w:sz w:val="16"/>
                </w:rPr>
                <w:t>Sivasubramanian243@gmail.com</w:t>
              </w:r>
            </w:hyperlink>
          </w:p>
          <w:p w14:paraId="05A37C1C" w14:textId="785C3E66" w:rsidR="00100098" w:rsidRDefault="001253E4">
            <w:pPr>
              <w:spacing w:after="0" w:line="190" w:lineRule="exact"/>
              <w:jc w:val="center"/>
              <w:rPr>
                <w:rFonts w:ascii="Times New Roman" w:hAnsi="Times New Roman"/>
                <w:sz w:val="16"/>
              </w:rPr>
            </w:pPr>
            <w:r>
              <w:br/>
            </w:r>
            <w:r>
              <w:br/>
            </w:r>
            <w:proofErr w:type="spellStart"/>
            <w:r>
              <w:rPr>
                <w:rFonts w:ascii="Times New Roman" w:hAnsi="Times New Roman"/>
                <w:sz w:val="18"/>
              </w:rPr>
              <w:t>Kundala</w:t>
            </w:r>
            <w:proofErr w:type="spellEnd"/>
            <w:r>
              <w:rPr>
                <w:rFonts w:ascii="Times New Roman" w:hAnsi="Times New Roman"/>
                <w:sz w:val="18"/>
              </w:rPr>
              <w:t xml:space="preserve"> Dhana Naga Shankar</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r>
            <w:proofErr w:type="spellStart"/>
            <w:r>
              <w:rPr>
                <w:rFonts w:ascii="Times New Roman" w:hAnsi="Times New Roman"/>
                <w:i/>
                <w:sz w:val="16"/>
              </w:rPr>
              <w:t>Dulapally</w:t>
            </w:r>
            <w:proofErr w:type="spellEnd"/>
            <w:r>
              <w:rPr>
                <w:rFonts w:ascii="Times New Roman" w:hAnsi="Times New Roman"/>
                <w:i/>
                <w:sz w:val="16"/>
              </w:rPr>
              <w:t>, Hyderabad, India</w:t>
            </w:r>
            <w:r>
              <w:rPr>
                <w:rFonts w:ascii="Times New Roman" w:hAnsi="Times New Roman"/>
                <w:i/>
                <w:sz w:val="16"/>
              </w:rPr>
              <w:br/>
            </w:r>
            <w:hyperlink r:id="rId7" w:history="1">
              <w:r w:rsidR="00CC773E" w:rsidRPr="00DC13C7">
                <w:rPr>
                  <w:rStyle w:val="Hyperlink"/>
                  <w:rFonts w:ascii="Times New Roman" w:hAnsi="Times New Roman"/>
                  <w:sz w:val="16"/>
                </w:rPr>
                <w:t>Kundaladhana2004@gmail.com</w:t>
              </w:r>
            </w:hyperlink>
          </w:p>
          <w:p w14:paraId="424DE953" w14:textId="77777777" w:rsidR="00CC773E" w:rsidRDefault="00CC773E">
            <w:pPr>
              <w:spacing w:after="0" w:line="190" w:lineRule="exact"/>
              <w:jc w:val="center"/>
            </w:pPr>
          </w:p>
        </w:tc>
        <w:tc>
          <w:tcPr>
            <w:tcW w:w="4896" w:type="dxa"/>
          </w:tcPr>
          <w:p w14:paraId="68176651" w14:textId="42D7FA3D" w:rsidR="00CC773E" w:rsidRDefault="001253E4">
            <w:pPr>
              <w:spacing w:after="0" w:line="190" w:lineRule="exact"/>
              <w:jc w:val="center"/>
              <w:rPr>
                <w:rFonts w:ascii="Times New Roman" w:hAnsi="Times New Roman"/>
                <w:sz w:val="16"/>
              </w:rPr>
            </w:pPr>
            <w:r>
              <w:rPr>
                <w:rFonts w:ascii="Times New Roman" w:hAnsi="Times New Roman"/>
                <w:sz w:val="18"/>
              </w:rPr>
              <w:t>Kavala Rajeev</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r>
            <w:proofErr w:type="spellStart"/>
            <w:r>
              <w:rPr>
                <w:rFonts w:ascii="Times New Roman" w:hAnsi="Times New Roman"/>
                <w:i/>
                <w:sz w:val="16"/>
              </w:rPr>
              <w:t>Dulapally</w:t>
            </w:r>
            <w:proofErr w:type="spellEnd"/>
            <w:r>
              <w:rPr>
                <w:rFonts w:ascii="Times New Roman" w:hAnsi="Times New Roman"/>
                <w:i/>
                <w:sz w:val="16"/>
              </w:rPr>
              <w:t>, Hyderabad, India</w:t>
            </w:r>
            <w:r>
              <w:rPr>
                <w:rFonts w:ascii="Times New Roman" w:hAnsi="Times New Roman"/>
                <w:i/>
                <w:sz w:val="16"/>
              </w:rPr>
              <w:br/>
            </w:r>
            <w:hyperlink r:id="rId8" w:history="1">
              <w:r w:rsidR="00CC773E" w:rsidRPr="00DC13C7">
                <w:rPr>
                  <w:rStyle w:val="Hyperlink"/>
                  <w:rFonts w:ascii="Times New Roman" w:hAnsi="Times New Roman"/>
                  <w:sz w:val="16"/>
                </w:rPr>
                <w:t>Kavalarajeev@gmail.com</w:t>
              </w:r>
            </w:hyperlink>
          </w:p>
          <w:p w14:paraId="2FF2593A" w14:textId="37C3BE02" w:rsidR="00100098" w:rsidRDefault="001253E4">
            <w:pPr>
              <w:spacing w:after="0" w:line="190" w:lineRule="exact"/>
              <w:jc w:val="center"/>
              <w:rPr>
                <w:rFonts w:ascii="Times New Roman" w:hAnsi="Times New Roman"/>
                <w:sz w:val="16"/>
              </w:rPr>
            </w:pPr>
            <w:r>
              <w:br/>
            </w:r>
            <w:r>
              <w:br/>
            </w:r>
            <w:r>
              <w:rPr>
                <w:rFonts w:ascii="Times New Roman" w:hAnsi="Times New Roman"/>
                <w:sz w:val="18"/>
              </w:rPr>
              <w:t>Kouru Rudra Teja</w:t>
            </w:r>
            <w:r>
              <w:rPr>
                <w:rFonts w:ascii="Times New Roman" w:hAnsi="Times New Roman"/>
                <w:sz w:val="18"/>
              </w:rPr>
              <w:br/>
            </w:r>
            <w:r>
              <w:rPr>
                <w:rFonts w:ascii="Times New Roman" w:hAnsi="Times New Roman"/>
                <w:i/>
                <w:sz w:val="16"/>
              </w:rPr>
              <w:t>Department of AIML</w:t>
            </w:r>
            <w:r>
              <w:rPr>
                <w:rFonts w:ascii="Times New Roman" w:hAnsi="Times New Roman"/>
                <w:i/>
                <w:sz w:val="16"/>
              </w:rPr>
              <w:br/>
              <w:t>Malla Reddy University</w:t>
            </w:r>
            <w:r>
              <w:rPr>
                <w:rFonts w:ascii="Times New Roman" w:hAnsi="Times New Roman"/>
                <w:i/>
                <w:sz w:val="16"/>
              </w:rPr>
              <w:br/>
            </w:r>
            <w:proofErr w:type="spellStart"/>
            <w:r>
              <w:rPr>
                <w:rFonts w:ascii="Times New Roman" w:hAnsi="Times New Roman"/>
                <w:i/>
                <w:sz w:val="16"/>
              </w:rPr>
              <w:t>Dulapally</w:t>
            </w:r>
            <w:proofErr w:type="spellEnd"/>
            <w:r>
              <w:rPr>
                <w:rFonts w:ascii="Times New Roman" w:hAnsi="Times New Roman"/>
                <w:i/>
                <w:sz w:val="16"/>
              </w:rPr>
              <w:t>, Hyderabad, India</w:t>
            </w:r>
            <w:r>
              <w:rPr>
                <w:rFonts w:ascii="Times New Roman" w:hAnsi="Times New Roman"/>
                <w:i/>
                <w:sz w:val="16"/>
              </w:rPr>
              <w:br/>
            </w:r>
            <w:hyperlink r:id="rId9" w:history="1">
              <w:r w:rsidR="00CC773E" w:rsidRPr="00DC13C7">
                <w:rPr>
                  <w:rStyle w:val="Hyperlink"/>
                  <w:rFonts w:ascii="Times New Roman" w:hAnsi="Times New Roman"/>
                  <w:sz w:val="16"/>
                </w:rPr>
                <w:t>Rudrateja08@gmail.com</w:t>
              </w:r>
            </w:hyperlink>
          </w:p>
          <w:p w14:paraId="41FCDD62" w14:textId="138B7515" w:rsidR="00CC773E" w:rsidRDefault="00CC773E">
            <w:pPr>
              <w:spacing w:after="0" w:line="190" w:lineRule="exact"/>
              <w:jc w:val="center"/>
            </w:pPr>
          </w:p>
        </w:tc>
      </w:tr>
    </w:tbl>
    <w:p w14:paraId="6CBC83FF" w14:textId="77777777" w:rsidR="00100098" w:rsidRDefault="00100098">
      <w:pPr>
        <w:sectPr w:rsidR="00100098">
          <w:pgSz w:w="12240" w:h="15840"/>
          <w:pgMar w:top="1008" w:right="900" w:bottom="1008" w:left="900" w:header="720" w:footer="720" w:gutter="0"/>
          <w:cols w:space="720"/>
          <w:docGrid w:linePitch="360"/>
        </w:sectPr>
      </w:pPr>
    </w:p>
    <w:p w14:paraId="1720B6EA" w14:textId="77777777" w:rsidR="00100098" w:rsidRDefault="001253E4">
      <w:pPr>
        <w:spacing w:after="60" w:line="190" w:lineRule="exact"/>
        <w:jc w:val="both"/>
      </w:pPr>
      <w:r>
        <w:rPr>
          <w:rFonts w:ascii="Times New Roman" w:hAnsi="Times New Roman"/>
          <w:b/>
          <w:sz w:val="17"/>
        </w:rPr>
        <w:t>Abstract—Undergraduate engineering placement preparation is severely hindered by the fragmentation of campus training systems. Conventional educational data mining models predominantly deploy retrospective, uncalibrated binary classifiers that predict placement outcomes without actionable pedagogical recourse. This paper presents the Placement Readiness Intelligence Engine (PRIE), an integrated continuous intelligence framework that unifies heterogeneous multi-source student telemetry into a normalized 22-dimensional Student Profile Vector (</w:t>
      </w:r>
      <w:proofErr w:type="spellStart"/>
      <w:r>
        <w:rPr>
          <w:rFonts w:ascii="Times New Roman" w:hAnsi="Times New Roman"/>
          <w:b/>
          <w:sz w:val="17"/>
        </w:rPr>
        <w:t>x_spv</w:t>
      </w:r>
      <w:proofErr w:type="spellEnd"/>
      <w:r>
        <w:rPr>
          <w:rFonts w:ascii="Times New Roman" w:hAnsi="Times New Roman"/>
          <w:b/>
          <w:sz w:val="17"/>
        </w:rPr>
        <w:t xml:space="preserve"> ∈ [0.0, 1.0]^22) paired with an explicit observation mask. PRIE deploys cost-sensitive gradient boosted decision trees coupled with Platt probability scaling to produce well-calibrated placement readiness probabilities. To bridge the descriptive-to-prescriptive divide, polynomial-time </w:t>
      </w:r>
      <w:proofErr w:type="spellStart"/>
      <w:r>
        <w:rPr>
          <w:rFonts w:ascii="Times New Roman" w:hAnsi="Times New Roman"/>
          <w:b/>
          <w:sz w:val="17"/>
        </w:rPr>
        <w:t>TreeSHAP</w:t>
      </w:r>
      <w:proofErr w:type="spellEnd"/>
      <w:r>
        <w:rPr>
          <w:rFonts w:ascii="Times New Roman" w:hAnsi="Times New Roman"/>
          <w:b/>
          <w:sz w:val="17"/>
        </w:rPr>
        <w:t xml:space="preserve"> isolates diagnostic feature contributions, while constrained Diverse Counterfactual Explanations (</w:t>
      </w:r>
      <w:proofErr w:type="spellStart"/>
      <w:r>
        <w:rPr>
          <w:rFonts w:ascii="Times New Roman" w:hAnsi="Times New Roman"/>
          <w:b/>
          <w:sz w:val="17"/>
        </w:rPr>
        <w:t>DiCE</w:t>
      </w:r>
      <w:proofErr w:type="spellEnd"/>
      <w:r>
        <w:rPr>
          <w:rFonts w:ascii="Times New Roman" w:hAnsi="Times New Roman"/>
          <w:b/>
          <w:sz w:val="17"/>
        </w:rPr>
        <w:t xml:space="preserve">) generate sparse, actionable recourse paths (k = 2.47 ± 0.52 ≤ 3.0 mutable features modified) that maintain 100.0% invariance across immutable institutional attributes (F_17). Identified competency deficits trigger Kahn's topological scheduler over a 38-node computer science concept directed acyclic graph (DAG), achieving a 0.0% prerequisite violation rate. Furthermore, weighted tri-modal late fusion across acoustic prosody, video composure, and speech clarity dampens single-sensor diagnostic variance by 77.98% ± 3.99% (t = 9.88, p = 0.0022) under a 1,120 </w:t>
      </w:r>
      <w:proofErr w:type="spellStart"/>
      <w:r>
        <w:rPr>
          <w:rFonts w:ascii="Times New Roman" w:hAnsi="Times New Roman"/>
          <w:b/>
          <w:sz w:val="17"/>
        </w:rPr>
        <w:t>ms</w:t>
      </w:r>
      <w:proofErr w:type="spellEnd"/>
      <w:r>
        <w:rPr>
          <w:rFonts w:ascii="Times New Roman" w:hAnsi="Times New Roman"/>
          <w:b/>
          <w:sz w:val="17"/>
        </w:rPr>
        <w:t xml:space="preserve"> conversational latency budget. Across a 5-seed evaluation on synthetic engineering cohorts (N = 2,500), the calibrated model attains 95.20% ± 1.17% test accuracy, an ROC-AUC of 0.9922 ± 0.0038, an Expected Calibration Error (ECE) of 0.0350 ± 0.0057, and a Brier score of 0.0339 ± 0.0096.</w:t>
      </w:r>
    </w:p>
    <w:p w14:paraId="5D15EA6D" w14:textId="77777777" w:rsidR="00100098" w:rsidRDefault="001253E4">
      <w:pPr>
        <w:spacing w:after="100" w:line="190" w:lineRule="exact"/>
        <w:jc w:val="both"/>
      </w:pPr>
      <w:r>
        <w:rPr>
          <w:rFonts w:ascii="Times New Roman" w:hAnsi="Times New Roman"/>
          <w:b/>
          <w:sz w:val="17"/>
        </w:rPr>
        <w:t>Keywords—Placement Readiness, Educational Data Mining, Explainable AI, Student Profile Vector, Platt Calibration, Algorithmic Recourse, Multimodal Fusion, Curricular Knowledge Graph.</w:t>
      </w:r>
    </w:p>
    <w:p w14:paraId="2CCF3303" w14:textId="77777777" w:rsidR="00100098" w:rsidRDefault="001253E4">
      <w:pPr>
        <w:keepNext/>
        <w:spacing w:before="100" w:after="30" w:line="190" w:lineRule="exact"/>
        <w:jc w:val="center"/>
      </w:pPr>
      <w:r>
        <w:rPr>
          <w:rFonts w:ascii="Times New Roman" w:hAnsi="Times New Roman"/>
          <w:b/>
          <w:sz w:val="19"/>
        </w:rPr>
        <w:t>I. INTRODUCTION</w:t>
      </w:r>
    </w:p>
    <w:p w14:paraId="23E4C4A5" w14:textId="77777777" w:rsidR="00100098" w:rsidRDefault="001253E4">
      <w:pPr>
        <w:spacing w:after="0" w:line="204" w:lineRule="exact"/>
        <w:jc w:val="both"/>
      </w:pPr>
      <w:r>
        <w:rPr>
          <w:rFonts w:ascii="Times New Roman" w:hAnsi="Times New Roman"/>
          <w:sz w:val="19"/>
        </w:rPr>
        <w:t>The transition of engineering undergraduates into professional technical careers represents a foundational milestone for student socio-economic mobility and institutional workforce alignment [1]. However, higher education institutions</w:t>
      </w:r>
      <w:r>
        <w:br w:type="column"/>
      </w:r>
    </w:p>
    <w:p w14:paraId="1A58BD85" w14:textId="77777777" w:rsidR="00100098" w:rsidRDefault="001253E4">
      <w:pPr>
        <w:spacing w:after="0" w:line="204" w:lineRule="exact"/>
        <w:ind w:firstLine="202"/>
        <w:jc w:val="both"/>
      </w:pPr>
      <w:r>
        <w:rPr>
          <w:rFonts w:ascii="Times New Roman" w:hAnsi="Times New Roman"/>
          <w:sz w:val="19"/>
        </w:rPr>
        <w:t>globally confront an acute readiness crisis: while hundreds of thousands of engineering candidates participate in campus recruitment drives annually, technology employers consistently report severe competency deficits in practical software design, clean algorithmic problem-solving, architectural debugging, and professional workplace communication [2]. In conventional university placement preparation, institutional triage relies almost exclusively on static administrative metrics—principally cumulative Grade Point Average (CGPA) or terminal semester marks [3].</w:t>
      </w:r>
    </w:p>
    <w:p w14:paraId="596B470B" w14:textId="77777777" w:rsidR="00100098" w:rsidRDefault="001253E4">
      <w:pPr>
        <w:spacing w:after="0" w:line="204" w:lineRule="exact"/>
        <w:ind w:firstLine="202"/>
        <w:jc w:val="both"/>
      </w:pPr>
      <w:r>
        <w:rPr>
          <w:rFonts w:ascii="Times New Roman" w:hAnsi="Times New Roman"/>
          <w:sz w:val="19"/>
        </w:rPr>
        <w:t>Nevertheless, static academic grades represent lagging indicators that correlate weakly with modern agile industry requirements [4]. Furthermore, campus placement preparation remains fragmented into disconnected software silos: across our systematic review of the 44 verified career-readiness and educational analytics systems analyzed in our research foundation, 42 systems (95.5%, 42/44) address only one or two dimensions in isolation without an integrated continuous student state [6]. Students typically interact with standalone Applicant Tracking System (ATS) resume checkers that perform rudimentary keyword counting, separate coding portals that evaluate unit test pass rates without assessing architectural design quality, and uncalibrated conversational bots that dispense generic interview advice [3, 5].</w:t>
      </w:r>
    </w:p>
    <w:p w14:paraId="039165E3" w14:textId="77777777" w:rsidR="00100098" w:rsidRDefault="001253E4">
      <w:pPr>
        <w:spacing w:after="0" w:line="204" w:lineRule="exact"/>
        <w:ind w:firstLine="202"/>
        <w:jc w:val="both"/>
      </w:pPr>
      <w:r>
        <w:rPr>
          <w:rFonts w:ascii="Times New Roman" w:hAnsi="Times New Roman"/>
          <w:sz w:val="19"/>
        </w:rPr>
        <w:t xml:space="preserve">From a machine learning perspective, existing educational data mining (EDM) models exhibit five debilitating limitations: (1) Retrospective point-in-time evaluation operating post-hoc in final semesters [6, 7]; (2) Probabilistic miscalibration, producing overconfident scores that distort advising triage [8]; (3) The descriptive-to-prescriptive divide, offering post-hoc explanations without computable recourse over mutable variables [16, 17]; (4) Sensory volatility in mock interviews, causing high diagnostic variance and latency [12, 13, 19]; and (5) Prerequisite blindness, generating </w:t>
      </w:r>
      <w:proofErr w:type="spellStart"/>
      <w:r>
        <w:rPr>
          <w:rFonts w:ascii="Times New Roman" w:hAnsi="Times New Roman"/>
          <w:sz w:val="19"/>
        </w:rPr>
        <w:t>unsequenced</w:t>
      </w:r>
      <w:proofErr w:type="spellEnd"/>
      <w:r>
        <w:br w:type="page"/>
      </w:r>
    </w:p>
    <w:p w14:paraId="7BFE76B9" w14:textId="77777777" w:rsidR="00100098" w:rsidRDefault="001253E4">
      <w:pPr>
        <w:spacing w:after="0" w:line="204" w:lineRule="exact"/>
        <w:jc w:val="both"/>
      </w:pPr>
      <w:r>
        <w:rPr>
          <w:rFonts w:ascii="Times New Roman" w:hAnsi="Times New Roman"/>
          <w:sz w:val="19"/>
        </w:rPr>
        <w:lastRenderedPageBreak/>
        <w:t>recommendations that violate pedagogical dependencies [14], [20].</w:t>
      </w:r>
    </w:p>
    <w:p w14:paraId="6C1D9F6D" w14:textId="77777777" w:rsidR="00100098" w:rsidRDefault="001253E4">
      <w:pPr>
        <w:spacing w:after="0" w:line="204" w:lineRule="exact"/>
        <w:ind w:firstLine="202"/>
        <w:jc w:val="both"/>
      </w:pPr>
      <w:r>
        <w:rPr>
          <w:rFonts w:ascii="Times New Roman" w:hAnsi="Times New Roman"/>
          <w:sz w:val="19"/>
        </w:rPr>
        <w:t>To overcome these challenges, this paper presents the Placement Readiness Intelligence Engine (PRIE), an integrated continuous intelligence architecture designed for multimodal student tracking, calibrated probability estimation, and closed-loop prescriptive remediation. The primary contributions of this work are:</w:t>
      </w:r>
    </w:p>
    <w:p w14:paraId="4779FB21" w14:textId="77777777" w:rsidR="00100098" w:rsidRDefault="001253E4">
      <w:pPr>
        <w:spacing w:after="20" w:line="200" w:lineRule="exact"/>
        <w:ind w:left="202" w:hanging="202"/>
        <w:jc w:val="both"/>
      </w:pPr>
      <w:r>
        <w:rPr>
          <w:rFonts w:ascii="Times New Roman" w:hAnsi="Times New Roman"/>
          <w:i/>
          <w:sz w:val="19"/>
        </w:rPr>
        <w:t xml:space="preserve">•   Unified Latent State Representation: </w:t>
      </w:r>
      <w:r>
        <w:rPr>
          <w:rFonts w:ascii="Times New Roman" w:hAnsi="Times New Roman"/>
          <w:sz w:val="19"/>
        </w:rPr>
        <w:t>We formalize a 22-dimensional Student Profile Vector (</w:t>
      </w:r>
      <w:proofErr w:type="spellStart"/>
      <w:r>
        <w:rPr>
          <w:rFonts w:ascii="Times New Roman" w:hAnsi="Times New Roman"/>
          <w:sz w:val="19"/>
        </w:rPr>
        <w:t>x_spv</w:t>
      </w:r>
      <w:proofErr w:type="spellEnd"/>
      <w:r>
        <w:rPr>
          <w:rFonts w:ascii="Times New Roman" w:hAnsi="Times New Roman"/>
          <w:sz w:val="19"/>
        </w:rPr>
        <w:t xml:space="preserve"> ∈ [0.0, 1.0]^22) paired with an explicit observation mask (m ∈ {0, 1}^22) to harmonize academic records, coding scores, 2D resume metrics, and paralinguistic interview telemetry.</w:t>
      </w:r>
    </w:p>
    <w:p w14:paraId="2DA3F56F" w14:textId="77777777" w:rsidR="00100098" w:rsidRDefault="001253E4">
      <w:pPr>
        <w:spacing w:after="20" w:line="200" w:lineRule="exact"/>
        <w:ind w:left="202" w:hanging="202"/>
        <w:jc w:val="both"/>
      </w:pPr>
      <w:r>
        <w:rPr>
          <w:rFonts w:ascii="Times New Roman" w:hAnsi="Times New Roman"/>
          <w:i/>
          <w:sz w:val="19"/>
        </w:rPr>
        <w:t xml:space="preserve">•   Calibrated Predictive Modeling: </w:t>
      </w:r>
      <w:r>
        <w:rPr>
          <w:rFonts w:ascii="Times New Roman" w:hAnsi="Times New Roman"/>
          <w:sz w:val="19"/>
        </w:rPr>
        <w:t>We demonstrate that integrating cost-sensitive gradient boosted trees with Platt probability scaling contracts Expected Calibration Error (ECE) to 0.0350 ± 0.0057 and Brier score to 0.0339 ± 0.0096, reducing calibration error under evaluated synthetic-cohort conditions.</w:t>
      </w:r>
    </w:p>
    <w:p w14:paraId="060B7201" w14:textId="77777777" w:rsidR="00100098" w:rsidRDefault="001253E4">
      <w:pPr>
        <w:spacing w:after="20" w:line="200" w:lineRule="exact"/>
        <w:ind w:left="202" w:hanging="202"/>
        <w:jc w:val="both"/>
      </w:pPr>
      <w:r>
        <w:rPr>
          <w:rFonts w:ascii="Times New Roman" w:hAnsi="Times New Roman"/>
          <w:i/>
          <w:sz w:val="19"/>
        </w:rPr>
        <w:t xml:space="preserve">•   Constrained Prescriptive Recourse: </w:t>
      </w:r>
      <w:r>
        <w:rPr>
          <w:rFonts w:ascii="Times New Roman" w:hAnsi="Times New Roman"/>
          <w:sz w:val="19"/>
        </w:rPr>
        <w:t xml:space="preserve">We couple polynomial-time </w:t>
      </w:r>
      <w:proofErr w:type="spellStart"/>
      <w:r>
        <w:rPr>
          <w:rFonts w:ascii="Times New Roman" w:hAnsi="Times New Roman"/>
          <w:sz w:val="19"/>
        </w:rPr>
        <w:t>TreeSHAP</w:t>
      </w:r>
      <w:proofErr w:type="spellEnd"/>
      <w:r>
        <w:rPr>
          <w:rFonts w:ascii="Times New Roman" w:hAnsi="Times New Roman"/>
          <w:sz w:val="19"/>
        </w:rPr>
        <w:t xml:space="preserve"> (O(TLD^2)) with constrained Diverse Counterfactual Explanations (</w:t>
      </w:r>
      <w:proofErr w:type="spellStart"/>
      <w:r>
        <w:rPr>
          <w:rFonts w:ascii="Times New Roman" w:hAnsi="Times New Roman"/>
          <w:sz w:val="19"/>
        </w:rPr>
        <w:t>DiCE</w:t>
      </w:r>
      <w:proofErr w:type="spellEnd"/>
      <w:r>
        <w:rPr>
          <w:rFonts w:ascii="Times New Roman" w:hAnsi="Times New Roman"/>
          <w:sz w:val="19"/>
        </w:rPr>
        <w:t>), generating sparse recourse paths (k = 2.47 ± 0.52 ≤ 3.0) that maintain 100.0% invariance across immutable institutional attributes across all evaluated profiles.</w:t>
      </w:r>
    </w:p>
    <w:p w14:paraId="00213934" w14:textId="77777777" w:rsidR="00100098" w:rsidRDefault="001253E4">
      <w:pPr>
        <w:spacing w:after="20" w:line="200" w:lineRule="exact"/>
        <w:ind w:left="202" w:hanging="202"/>
        <w:jc w:val="both"/>
      </w:pPr>
      <w:r>
        <w:rPr>
          <w:rFonts w:ascii="Times New Roman" w:hAnsi="Times New Roman"/>
          <w:i/>
          <w:sz w:val="19"/>
        </w:rPr>
        <w:t xml:space="preserve">•   Multimodal Variance Damping &amp; Topological Remediation: </w:t>
      </w:r>
      <w:r>
        <w:rPr>
          <w:rFonts w:ascii="Times New Roman" w:hAnsi="Times New Roman"/>
          <w:sz w:val="19"/>
        </w:rPr>
        <w:t xml:space="preserve">Weighted tri-modal late fusion dampens interview scoring variance by 77.98% ± 3.99% (t = 9.88, p = 0.0022) under a 1,120 </w:t>
      </w:r>
      <w:proofErr w:type="spellStart"/>
      <w:r>
        <w:rPr>
          <w:rFonts w:ascii="Times New Roman" w:hAnsi="Times New Roman"/>
          <w:sz w:val="19"/>
        </w:rPr>
        <w:t>ms</w:t>
      </w:r>
      <w:proofErr w:type="spellEnd"/>
      <w:r>
        <w:rPr>
          <w:rFonts w:ascii="Times New Roman" w:hAnsi="Times New Roman"/>
          <w:sz w:val="19"/>
        </w:rPr>
        <w:t xml:space="preserve"> turn latency budget, while Kahn's topological scheduler enforces prerequisite precedence constraints (0.0% violation rate) over a 38-node computer science concept DAG.</w:t>
      </w:r>
    </w:p>
    <w:p w14:paraId="159C3325" w14:textId="77777777" w:rsidR="00100098" w:rsidRDefault="001253E4">
      <w:pPr>
        <w:spacing w:after="0" w:line="204" w:lineRule="exact"/>
        <w:ind w:firstLine="202"/>
        <w:jc w:val="both"/>
      </w:pPr>
      <w:r>
        <w:rPr>
          <w:rFonts w:ascii="Times New Roman" w:hAnsi="Times New Roman"/>
          <w:sz w:val="19"/>
        </w:rPr>
        <w:t>The remainder of this paper is organized as follows: Section II reviews related work and establishes the formal research gap. Section III details the proposed PRIE architecture. Section IV presents empirical results across all evaluation batteries and discusses findings. Section V concludes the paper.</w:t>
      </w:r>
    </w:p>
    <w:p w14:paraId="2462CF36" w14:textId="77777777" w:rsidR="00100098" w:rsidRDefault="001253E4">
      <w:pPr>
        <w:keepNext/>
        <w:spacing w:before="100" w:after="30" w:line="190" w:lineRule="exact"/>
        <w:jc w:val="center"/>
      </w:pPr>
      <w:r>
        <w:rPr>
          <w:rFonts w:ascii="Times New Roman" w:hAnsi="Times New Roman"/>
          <w:b/>
          <w:sz w:val="19"/>
        </w:rPr>
        <w:t>II. LITERATURE SURVEY</w:t>
      </w:r>
    </w:p>
    <w:p w14:paraId="7DB4185F" w14:textId="77777777" w:rsidR="00100098" w:rsidRDefault="001253E4">
      <w:pPr>
        <w:spacing w:after="0" w:line="204" w:lineRule="exact"/>
        <w:jc w:val="both"/>
      </w:pPr>
      <w:r>
        <w:rPr>
          <w:rFonts w:ascii="Times New Roman" w:hAnsi="Times New Roman"/>
          <w:sz w:val="19"/>
        </w:rPr>
        <w:t>Graduate employability prediction, educational data mining, and multimodal career assessment have received substantial scholarly attention. This section synthesizes the literature thematically across core areas.</w:t>
      </w:r>
    </w:p>
    <w:p w14:paraId="0117EB0D" w14:textId="77777777" w:rsidR="00100098" w:rsidRDefault="001253E4">
      <w:pPr>
        <w:keepNext/>
        <w:spacing w:before="70" w:after="20" w:line="190" w:lineRule="exact"/>
      </w:pPr>
      <w:r>
        <w:rPr>
          <w:rFonts w:ascii="Times New Roman" w:hAnsi="Times New Roman"/>
          <w:i/>
          <w:sz w:val="19"/>
        </w:rPr>
        <w:t>A. Employability Prediction and Learning Analytics</w:t>
      </w:r>
    </w:p>
    <w:p w14:paraId="0DA112FD" w14:textId="77777777" w:rsidR="00100098" w:rsidRDefault="001253E4">
      <w:pPr>
        <w:spacing w:after="0" w:line="204" w:lineRule="exact"/>
        <w:jc w:val="both"/>
      </w:pPr>
      <w:r>
        <w:rPr>
          <w:rFonts w:ascii="Times New Roman" w:hAnsi="Times New Roman"/>
          <w:sz w:val="19"/>
        </w:rPr>
        <w:t xml:space="preserve">Early EDM investigations formulated employability as supervised classification over terminal graduation records. Casuat and </w:t>
      </w:r>
      <w:proofErr w:type="spellStart"/>
      <w:r>
        <w:rPr>
          <w:rFonts w:ascii="Times New Roman" w:hAnsi="Times New Roman"/>
          <w:sz w:val="19"/>
        </w:rPr>
        <w:t>Festijo</w:t>
      </w:r>
      <w:proofErr w:type="spellEnd"/>
      <w:r>
        <w:rPr>
          <w:rFonts w:ascii="Times New Roman" w:hAnsi="Times New Roman"/>
          <w:sz w:val="19"/>
        </w:rPr>
        <w:t xml:space="preserve"> [7] applied decision trees and ensemble techniques to institutional records, achieving 84.50% accuracy. Rao and Swamy [8] benchmarked classical classifiers, reporting 78.40% accuracy on academic records. </w:t>
      </w:r>
      <w:proofErr w:type="spellStart"/>
      <w:r>
        <w:rPr>
          <w:rFonts w:ascii="Times New Roman" w:hAnsi="Times New Roman"/>
          <w:sz w:val="19"/>
        </w:rPr>
        <w:t>Olipas</w:t>
      </w:r>
      <w:proofErr w:type="spellEnd"/>
      <w:r>
        <w:rPr>
          <w:rFonts w:ascii="Times New Roman" w:hAnsi="Times New Roman"/>
          <w:sz w:val="19"/>
        </w:rPr>
        <w:t xml:space="preserve"> [1] investigated machine learning models for career readiness, achieving 88.40% accuracy using Random Forests. Patel and Nair [4] incorporated psychometric indicators with academic scores, attaining 91.20% accuracy. While these studies achieve competitive nominal accuracy, they exhibit severe probabilistic</w:t>
      </w:r>
      <w:r>
        <w:br w:type="column"/>
      </w:r>
    </w:p>
    <w:tbl>
      <w:tblPr>
        <w:tblW w:w="0" w:type="auto"/>
        <w:jc w:val="center"/>
        <w:tblLook w:val="04A0" w:firstRow="1" w:lastRow="0" w:firstColumn="1" w:lastColumn="0" w:noHBand="0" w:noVBand="1"/>
      </w:tblPr>
      <w:tblGrid>
        <w:gridCol w:w="4752"/>
      </w:tblGrid>
      <w:tr w:rsidR="00100098" w14:paraId="0CC1704E" w14:textId="77777777">
        <w:trPr>
          <w:jc w:val="center"/>
        </w:trPr>
        <w:tc>
          <w:tcPr>
            <w:tcW w:w="4752" w:type="dxa"/>
            <w:tcBorders>
              <w:top w:val="single" w:sz="6" w:space="0" w:color="4F81BD"/>
              <w:left w:val="single" w:sz="6" w:space="0" w:color="4F81BD"/>
              <w:bottom w:val="single" w:sz="6" w:space="0" w:color="4F81BD"/>
              <w:right w:val="single" w:sz="6" w:space="0" w:color="4F81BD"/>
            </w:tcBorders>
            <w:shd w:val="clear" w:color="auto" w:fill="DCE6F1"/>
            <w:tcMar>
              <w:top w:w="8" w:type="dxa"/>
              <w:left w:w="15" w:type="dxa"/>
              <w:bottom w:w="6" w:type="dxa"/>
              <w:right w:w="15" w:type="dxa"/>
            </w:tcMar>
          </w:tcPr>
          <w:p w14:paraId="77622F67" w14:textId="77777777" w:rsidR="00100098" w:rsidRDefault="001253E4">
            <w:pPr>
              <w:spacing w:after="0" w:line="130" w:lineRule="exact"/>
              <w:jc w:val="center"/>
            </w:pPr>
            <w:r>
              <w:rPr>
                <w:rFonts w:ascii="Times New Roman" w:hAnsi="Times New Roman"/>
                <w:b/>
                <w:color w:val="1F497D"/>
                <w:sz w:val="13"/>
              </w:rPr>
              <w:t>1. Data Sources</w:t>
            </w:r>
          </w:p>
        </w:tc>
      </w:tr>
      <w:tr w:rsidR="00100098" w14:paraId="56B9F39B" w14:textId="77777777">
        <w:trPr>
          <w:jc w:val="center"/>
        </w:trPr>
        <w:tc>
          <w:tcPr>
            <w:tcW w:w="4752" w:type="dxa"/>
            <w:tcBorders>
              <w:top w:val="single" w:sz="6" w:space="0" w:color="4F81BD"/>
              <w:left w:val="single" w:sz="6" w:space="0" w:color="4F81BD"/>
              <w:bottom w:val="single" w:sz="6" w:space="0" w:color="4F81BD"/>
              <w:right w:val="single" w:sz="6" w:space="0" w:color="4F81BD"/>
            </w:tcBorders>
            <w:shd w:val="clear" w:color="auto" w:fill="F2F5F9"/>
            <w:tcMar>
              <w:top w:w="8" w:type="dxa"/>
              <w:left w:w="10" w:type="dxa"/>
              <w:bottom w:w="8" w:type="dxa"/>
              <w:right w:w="10" w:type="dxa"/>
            </w:tcMar>
          </w:tcPr>
          <w:tbl>
            <w:tblPr>
              <w:tblW w:w="0" w:type="auto"/>
              <w:jc w:val="center"/>
              <w:tblLook w:val="04A0" w:firstRow="1" w:lastRow="0" w:firstColumn="1" w:lastColumn="0" w:noHBand="0" w:noVBand="1"/>
            </w:tblPr>
            <w:tblGrid>
              <w:gridCol w:w="907"/>
              <w:gridCol w:w="907"/>
              <w:gridCol w:w="907"/>
              <w:gridCol w:w="907"/>
              <w:gridCol w:w="907"/>
            </w:tblGrid>
            <w:tr w:rsidR="00100098" w14:paraId="03034243" w14:textId="77777777">
              <w:trPr>
                <w:jc w:val="center"/>
              </w:trPr>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73FE0F2A" w14:textId="77777777" w:rsidR="00100098" w:rsidRDefault="001253E4">
                  <w:pPr>
                    <w:spacing w:after="0" w:line="108" w:lineRule="exact"/>
                    <w:jc w:val="center"/>
                  </w:pPr>
                  <w:r>
                    <w:rPr>
                      <w:rFonts w:ascii="Times New Roman" w:hAnsi="Times New Roman"/>
                      <w:b/>
                      <w:sz w:val="9"/>
                    </w:rPr>
                    <w:t>Academic</w:t>
                  </w:r>
                  <w:r>
                    <w:rPr>
                      <w:rFonts w:ascii="Times New Roman" w:hAnsi="Times New Roman"/>
                      <w:b/>
                      <w:sz w:val="9"/>
                    </w:rPr>
                    <w:br/>
                    <w:t>Records</w:t>
                  </w:r>
                  <w:r>
                    <w:rPr>
                      <w:rFonts w:ascii="Times New Roman" w:hAnsi="Times New Roman"/>
                      <w:b/>
                      <w:sz w:val="9"/>
                    </w:rPr>
                    <w:br/>
                  </w:r>
                  <w:r>
                    <w:rPr>
                      <w:rFonts w:ascii="Times New Roman" w:hAnsi="Times New Roman"/>
                      <w:color w:val="555555"/>
                      <w:sz w:val="7"/>
                    </w:rPr>
                    <w:t>(CGPA, Backlogs,</w:t>
                  </w:r>
                  <w:r>
                    <w:rPr>
                      <w:rFonts w:ascii="Times New Roman" w:hAnsi="Times New Roman"/>
                      <w:color w:val="555555"/>
                      <w:sz w:val="7"/>
                    </w:rPr>
                    <w:br/>
                    <w:t>Attendance)</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7498AC40" w14:textId="77777777" w:rsidR="00100098" w:rsidRDefault="001253E4">
                  <w:pPr>
                    <w:spacing w:after="0" w:line="108" w:lineRule="exact"/>
                    <w:jc w:val="center"/>
                  </w:pPr>
                  <w:r>
                    <w:rPr>
                      <w:rFonts w:ascii="Times New Roman" w:hAnsi="Times New Roman"/>
                      <w:b/>
                      <w:sz w:val="9"/>
                    </w:rPr>
                    <w:t>Technical</w:t>
                  </w:r>
                  <w:r>
                    <w:rPr>
                      <w:rFonts w:ascii="Times New Roman" w:hAnsi="Times New Roman"/>
                      <w:b/>
                      <w:sz w:val="9"/>
                    </w:rPr>
                    <w:br/>
                    <w:t>Skills</w:t>
                  </w:r>
                  <w:r>
                    <w:rPr>
                      <w:rFonts w:ascii="Times New Roman" w:hAnsi="Times New Roman"/>
                      <w:b/>
                      <w:sz w:val="9"/>
                    </w:rPr>
                    <w:br/>
                  </w:r>
                  <w:r>
                    <w:rPr>
                      <w:rFonts w:ascii="Times New Roman" w:hAnsi="Times New Roman"/>
                      <w:color w:val="555555"/>
                      <w:sz w:val="7"/>
                    </w:rPr>
                    <w:t>(Programming,</w:t>
                  </w:r>
                  <w:r>
                    <w:rPr>
                      <w:rFonts w:ascii="Times New Roman" w:hAnsi="Times New Roman"/>
                      <w:color w:val="555555"/>
                      <w:sz w:val="7"/>
                    </w:rPr>
                    <w:br/>
                    <w:t>DSA, Tools)</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201505F8" w14:textId="77777777" w:rsidR="00100098" w:rsidRDefault="001253E4">
                  <w:pPr>
                    <w:spacing w:after="0" w:line="108" w:lineRule="exact"/>
                    <w:jc w:val="center"/>
                  </w:pPr>
                  <w:r>
                    <w:rPr>
                      <w:rFonts w:ascii="Times New Roman" w:hAnsi="Times New Roman"/>
                      <w:b/>
                      <w:sz w:val="9"/>
                    </w:rPr>
                    <w:t>Resume /</w:t>
                  </w:r>
                  <w:r>
                    <w:rPr>
                      <w:rFonts w:ascii="Times New Roman" w:hAnsi="Times New Roman"/>
                      <w:b/>
                      <w:sz w:val="9"/>
                    </w:rPr>
                    <w:br/>
                    <w:t>Projects</w:t>
                  </w:r>
                  <w:r>
                    <w:rPr>
                      <w:rFonts w:ascii="Times New Roman" w:hAnsi="Times New Roman"/>
                      <w:b/>
                      <w:sz w:val="9"/>
                    </w:rPr>
                    <w:br/>
                  </w:r>
                  <w:r>
                    <w:rPr>
                      <w:rFonts w:ascii="Times New Roman" w:hAnsi="Times New Roman"/>
                      <w:color w:val="555555"/>
                      <w:sz w:val="7"/>
                    </w:rPr>
                    <w:t>(Projects, Certs,</w:t>
                  </w:r>
                  <w:r>
                    <w:rPr>
                      <w:rFonts w:ascii="Times New Roman" w:hAnsi="Times New Roman"/>
                      <w:color w:val="555555"/>
                      <w:sz w:val="7"/>
                    </w:rPr>
                    <w:br/>
                    <w:t>Internships)</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6192B22A" w14:textId="77777777" w:rsidR="00100098" w:rsidRDefault="001253E4">
                  <w:pPr>
                    <w:spacing w:after="0" w:line="108" w:lineRule="exact"/>
                    <w:jc w:val="center"/>
                  </w:pPr>
                  <w:r>
                    <w:rPr>
                      <w:rFonts w:ascii="Times New Roman" w:hAnsi="Times New Roman"/>
                      <w:b/>
                      <w:sz w:val="9"/>
                    </w:rPr>
                    <w:t>Interactions</w:t>
                  </w:r>
                  <w:r>
                    <w:rPr>
                      <w:rFonts w:ascii="Times New Roman" w:hAnsi="Times New Roman"/>
                      <w:b/>
                      <w:sz w:val="9"/>
                    </w:rPr>
                    <w:br/>
                  </w:r>
                  <w:r>
                    <w:rPr>
                      <w:rFonts w:ascii="Times New Roman" w:hAnsi="Times New Roman"/>
                      <w:color w:val="555555"/>
                      <w:sz w:val="7"/>
                    </w:rPr>
                    <w:t>(Interviews,</w:t>
                  </w:r>
                  <w:r>
                    <w:rPr>
                      <w:rFonts w:ascii="Times New Roman" w:hAnsi="Times New Roman"/>
                      <w:color w:val="555555"/>
                      <w:sz w:val="7"/>
                    </w:rPr>
                    <w:br/>
                    <w:t>Assessments)</w:t>
                  </w:r>
                </w:p>
              </w:tc>
              <w:tc>
                <w:tcPr>
                  <w:tcW w:w="907" w:type="dxa"/>
                  <w:tcBorders>
                    <w:top w:val="single" w:sz="4" w:space="0" w:color="B8CCE4"/>
                    <w:left w:val="single" w:sz="4" w:space="0" w:color="B8CCE4"/>
                    <w:bottom w:val="single" w:sz="4" w:space="0" w:color="B8CCE4"/>
                    <w:right w:val="single" w:sz="4" w:space="0" w:color="B8CCE4"/>
                  </w:tcBorders>
                  <w:shd w:val="clear" w:color="auto" w:fill="FFFFFF"/>
                  <w:tcMar>
                    <w:top w:w="6" w:type="dxa"/>
                    <w:left w:w="4" w:type="dxa"/>
                    <w:bottom w:w="6" w:type="dxa"/>
                    <w:right w:w="4" w:type="dxa"/>
                  </w:tcMar>
                </w:tcPr>
                <w:p w14:paraId="53C9E281" w14:textId="77777777" w:rsidR="00100098" w:rsidRDefault="001253E4">
                  <w:pPr>
                    <w:spacing w:after="0" w:line="108" w:lineRule="exact"/>
                    <w:jc w:val="center"/>
                  </w:pPr>
                  <w:r>
                    <w:rPr>
                      <w:rFonts w:ascii="Times New Roman" w:hAnsi="Times New Roman"/>
                      <w:b/>
                      <w:sz w:val="9"/>
                    </w:rPr>
                    <w:t>Co-curricular</w:t>
                  </w:r>
                  <w:r>
                    <w:rPr>
                      <w:rFonts w:ascii="Times New Roman" w:hAnsi="Times New Roman"/>
                      <w:b/>
                      <w:sz w:val="9"/>
                    </w:rPr>
                    <w:br/>
                    <w:t>Activities</w:t>
                  </w:r>
                  <w:r>
                    <w:rPr>
                      <w:rFonts w:ascii="Times New Roman" w:hAnsi="Times New Roman"/>
                      <w:b/>
                      <w:sz w:val="9"/>
                    </w:rPr>
                    <w:br/>
                  </w:r>
                  <w:r>
                    <w:rPr>
                      <w:rFonts w:ascii="Times New Roman" w:hAnsi="Times New Roman"/>
                      <w:color w:val="555555"/>
                      <w:sz w:val="7"/>
                    </w:rPr>
                    <w:t>(Workshops,</w:t>
                  </w:r>
                  <w:r>
                    <w:rPr>
                      <w:rFonts w:ascii="Times New Roman" w:hAnsi="Times New Roman"/>
                      <w:color w:val="555555"/>
                      <w:sz w:val="7"/>
                    </w:rPr>
                    <w:br/>
                    <w:t>Online Activity)</w:t>
                  </w:r>
                </w:p>
              </w:tc>
            </w:tr>
          </w:tbl>
          <w:p w14:paraId="2F11BE30" w14:textId="77777777" w:rsidR="00100098" w:rsidRDefault="00100098">
            <w:pPr>
              <w:spacing w:after="0" w:line="20" w:lineRule="exact"/>
            </w:pPr>
          </w:p>
        </w:tc>
      </w:tr>
    </w:tbl>
    <w:p w14:paraId="36C36CAF"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1B38F621" w14:textId="77777777">
        <w:trPr>
          <w:jc w:val="center"/>
        </w:trPr>
        <w:tc>
          <w:tcPr>
            <w:tcW w:w="4752" w:type="dxa"/>
            <w:tcBorders>
              <w:top w:val="single" w:sz="6" w:space="0" w:color="9BBB59"/>
              <w:left w:val="single" w:sz="6" w:space="0" w:color="9BBB59"/>
              <w:bottom w:val="single" w:sz="6" w:space="0" w:color="9BBB59"/>
              <w:right w:val="single" w:sz="6" w:space="0" w:color="9BBB59"/>
            </w:tcBorders>
            <w:shd w:val="clear" w:color="auto" w:fill="EBF1DD"/>
            <w:tcMar>
              <w:top w:w="8" w:type="dxa"/>
              <w:left w:w="15" w:type="dxa"/>
              <w:bottom w:w="6" w:type="dxa"/>
              <w:right w:w="15" w:type="dxa"/>
            </w:tcMar>
          </w:tcPr>
          <w:p w14:paraId="022D3438" w14:textId="77777777" w:rsidR="00100098" w:rsidRDefault="001253E4">
            <w:pPr>
              <w:spacing w:after="0" w:line="130" w:lineRule="exact"/>
              <w:jc w:val="center"/>
            </w:pPr>
            <w:r>
              <w:rPr>
                <w:rFonts w:ascii="Times New Roman" w:hAnsi="Times New Roman"/>
                <w:b/>
                <w:color w:val="385623"/>
                <w:sz w:val="13"/>
              </w:rPr>
              <w:t>2. Student Profile Construction</w:t>
            </w:r>
          </w:p>
        </w:tc>
      </w:tr>
      <w:tr w:rsidR="00100098" w14:paraId="0642F613" w14:textId="77777777">
        <w:trPr>
          <w:jc w:val="center"/>
        </w:trPr>
        <w:tc>
          <w:tcPr>
            <w:tcW w:w="4752" w:type="dxa"/>
            <w:tcBorders>
              <w:top w:val="single" w:sz="6" w:space="0" w:color="9BBB59"/>
              <w:left w:val="single" w:sz="6" w:space="0" w:color="9BBB59"/>
              <w:bottom w:val="single" w:sz="6" w:space="0" w:color="9BBB59"/>
              <w:right w:val="single" w:sz="6" w:space="0" w:color="9BBB59"/>
            </w:tcBorders>
            <w:shd w:val="clear" w:color="auto" w:fill="F5F8F0"/>
            <w:tcMar>
              <w:top w:w="8" w:type="dxa"/>
              <w:left w:w="15" w:type="dxa"/>
              <w:bottom w:w="8" w:type="dxa"/>
              <w:right w:w="15" w:type="dxa"/>
            </w:tcMar>
          </w:tcPr>
          <w:p w14:paraId="734702CA" w14:textId="77777777" w:rsidR="00100098" w:rsidRDefault="001253E4">
            <w:pPr>
              <w:spacing w:after="0" w:line="124" w:lineRule="exact"/>
              <w:jc w:val="center"/>
            </w:pPr>
            <w:r>
              <w:rPr>
                <w:rFonts w:ascii="Times New Roman" w:hAnsi="Times New Roman"/>
                <w:sz w:val="10"/>
              </w:rPr>
              <w:t>Extract relevant attributes from multiple sources and map to predefined feature set</w:t>
            </w:r>
          </w:p>
        </w:tc>
      </w:tr>
    </w:tbl>
    <w:p w14:paraId="51E6DF96"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5AEF9FC7" w14:textId="77777777">
        <w:trPr>
          <w:jc w:val="center"/>
        </w:trPr>
        <w:tc>
          <w:tcPr>
            <w:tcW w:w="4752" w:type="dxa"/>
            <w:tcBorders>
              <w:top w:val="single" w:sz="6" w:space="0" w:color="F79646"/>
              <w:left w:val="single" w:sz="6" w:space="0" w:color="F79646"/>
              <w:bottom w:val="single" w:sz="6" w:space="0" w:color="F79646"/>
              <w:right w:val="single" w:sz="6" w:space="0" w:color="F79646"/>
            </w:tcBorders>
            <w:shd w:val="clear" w:color="auto" w:fill="FDE9D9"/>
            <w:tcMar>
              <w:top w:w="8" w:type="dxa"/>
              <w:left w:w="15" w:type="dxa"/>
              <w:bottom w:w="6" w:type="dxa"/>
              <w:right w:w="15" w:type="dxa"/>
            </w:tcMar>
          </w:tcPr>
          <w:p w14:paraId="211C6F89" w14:textId="77777777" w:rsidR="00100098" w:rsidRDefault="001253E4">
            <w:pPr>
              <w:spacing w:after="0" w:line="130" w:lineRule="exact"/>
              <w:jc w:val="center"/>
            </w:pPr>
            <w:r>
              <w:rPr>
                <w:rFonts w:ascii="Times New Roman" w:hAnsi="Times New Roman"/>
                <w:b/>
                <w:color w:val="984807"/>
                <w:sz w:val="13"/>
              </w:rPr>
              <w:t>3. Preprocessing and Feature Engineering</w:t>
            </w:r>
          </w:p>
        </w:tc>
      </w:tr>
      <w:tr w:rsidR="00100098" w14:paraId="1BD5BEF1" w14:textId="77777777">
        <w:trPr>
          <w:jc w:val="center"/>
        </w:trPr>
        <w:tc>
          <w:tcPr>
            <w:tcW w:w="4752" w:type="dxa"/>
            <w:tcBorders>
              <w:top w:val="single" w:sz="6" w:space="0" w:color="F79646"/>
              <w:left w:val="single" w:sz="6" w:space="0" w:color="F79646"/>
              <w:bottom w:val="single" w:sz="6" w:space="0" w:color="F79646"/>
              <w:right w:val="single" w:sz="6" w:space="0" w:color="F79646"/>
            </w:tcBorders>
            <w:shd w:val="clear" w:color="auto" w:fill="FEF5EE"/>
            <w:tcMar>
              <w:top w:w="8" w:type="dxa"/>
              <w:left w:w="10" w:type="dxa"/>
              <w:bottom w:w="8" w:type="dxa"/>
              <w:right w:w="10" w:type="dxa"/>
            </w:tcMar>
          </w:tcPr>
          <w:tbl>
            <w:tblPr>
              <w:tblW w:w="0" w:type="auto"/>
              <w:jc w:val="center"/>
              <w:tblLook w:val="04A0" w:firstRow="1" w:lastRow="0" w:firstColumn="1" w:lastColumn="0" w:noHBand="0" w:noVBand="1"/>
            </w:tblPr>
            <w:tblGrid>
              <w:gridCol w:w="907"/>
              <w:gridCol w:w="907"/>
              <w:gridCol w:w="907"/>
              <w:gridCol w:w="907"/>
              <w:gridCol w:w="907"/>
            </w:tblGrid>
            <w:tr w:rsidR="00100098" w14:paraId="4C80A069" w14:textId="77777777">
              <w:trPr>
                <w:jc w:val="center"/>
              </w:trPr>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35D17A4C" w14:textId="77777777" w:rsidR="00100098" w:rsidRDefault="001253E4">
                  <w:pPr>
                    <w:spacing w:after="0" w:line="108" w:lineRule="exact"/>
                    <w:jc w:val="center"/>
                  </w:pPr>
                  <w:r>
                    <w:rPr>
                      <w:rFonts w:ascii="Times New Roman" w:hAnsi="Times New Roman"/>
                      <w:b/>
                      <w:sz w:val="9"/>
                    </w:rPr>
                    <w:t>Data</w:t>
                  </w:r>
                  <w:r>
                    <w:rPr>
                      <w:rFonts w:ascii="Times New Roman" w:hAnsi="Times New Roman"/>
                      <w:b/>
                      <w:sz w:val="9"/>
                    </w:rPr>
                    <w:br/>
                    <w:t>Cleaning</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404D89C1" w14:textId="77777777" w:rsidR="00100098" w:rsidRDefault="001253E4">
                  <w:pPr>
                    <w:spacing w:after="0" w:line="108" w:lineRule="exact"/>
                    <w:jc w:val="center"/>
                  </w:pPr>
                  <w:r>
                    <w:rPr>
                      <w:rFonts w:ascii="Times New Roman" w:hAnsi="Times New Roman"/>
                      <w:b/>
                      <w:sz w:val="9"/>
                    </w:rPr>
                    <w:t>Missing Value</w:t>
                  </w:r>
                  <w:r>
                    <w:rPr>
                      <w:rFonts w:ascii="Times New Roman" w:hAnsi="Times New Roman"/>
                      <w:b/>
                      <w:sz w:val="9"/>
                    </w:rPr>
                    <w:br/>
                    <w:t>Handling</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79AA8A46" w14:textId="77777777" w:rsidR="00100098" w:rsidRDefault="001253E4">
                  <w:pPr>
                    <w:spacing w:after="0" w:line="108" w:lineRule="exact"/>
                    <w:jc w:val="center"/>
                  </w:pPr>
                  <w:r>
                    <w:rPr>
                      <w:rFonts w:ascii="Times New Roman" w:hAnsi="Times New Roman"/>
                      <w:b/>
                      <w:sz w:val="9"/>
                    </w:rPr>
                    <w:t>Encoding</w:t>
                  </w:r>
                  <w:r>
                    <w:br/>
                  </w:r>
                  <w:r>
                    <w:rPr>
                      <w:rFonts w:ascii="Times New Roman" w:hAnsi="Times New Roman"/>
                      <w:color w:val="555555"/>
                      <w:sz w:val="7"/>
                    </w:rPr>
                    <w:t>(Cat → Num)</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1E87A57B" w14:textId="77777777" w:rsidR="00100098" w:rsidRDefault="001253E4">
                  <w:pPr>
                    <w:spacing w:after="0" w:line="108" w:lineRule="exact"/>
                    <w:jc w:val="center"/>
                  </w:pPr>
                  <w:r>
                    <w:rPr>
                      <w:rFonts w:ascii="Times New Roman" w:hAnsi="Times New Roman"/>
                      <w:b/>
                      <w:sz w:val="9"/>
                    </w:rPr>
                    <w:t>Normalization</w:t>
                  </w:r>
                  <w:r>
                    <w:br/>
                  </w:r>
                  <w:r>
                    <w:rPr>
                      <w:rFonts w:ascii="Times New Roman" w:hAnsi="Times New Roman"/>
                      <w:color w:val="555555"/>
                      <w:sz w:val="7"/>
                    </w:rPr>
                    <w:t>(Min-Max/Z)</w:t>
                  </w:r>
                </w:p>
              </w:tc>
              <w:tc>
                <w:tcPr>
                  <w:tcW w:w="907" w:type="dxa"/>
                  <w:tcBorders>
                    <w:top w:val="single" w:sz="4" w:space="0" w:color="FABF8F"/>
                    <w:left w:val="single" w:sz="4" w:space="0" w:color="FABF8F"/>
                    <w:bottom w:val="single" w:sz="4" w:space="0" w:color="FABF8F"/>
                    <w:right w:val="single" w:sz="4" w:space="0" w:color="FABF8F"/>
                  </w:tcBorders>
                  <w:shd w:val="clear" w:color="auto" w:fill="FFFFFF"/>
                  <w:tcMar>
                    <w:top w:w="6" w:type="dxa"/>
                    <w:left w:w="4" w:type="dxa"/>
                    <w:bottom w:w="6" w:type="dxa"/>
                    <w:right w:w="4" w:type="dxa"/>
                  </w:tcMar>
                </w:tcPr>
                <w:p w14:paraId="54E41183" w14:textId="77777777" w:rsidR="00100098" w:rsidRDefault="001253E4">
                  <w:pPr>
                    <w:spacing w:after="0" w:line="108" w:lineRule="exact"/>
                    <w:jc w:val="center"/>
                  </w:pPr>
                  <w:r>
                    <w:rPr>
                      <w:rFonts w:ascii="Times New Roman" w:hAnsi="Times New Roman"/>
                      <w:b/>
                      <w:sz w:val="9"/>
                    </w:rPr>
                    <w:t>Feature</w:t>
                  </w:r>
                  <w:r>
                    <w:rPr>
                      <w:rFonts w:ascii="Times New Roman" w:hAnsi="Times New Roman"/>
                      <w:b/>
                      <w:sz w:val="9"/>
                    </w:rPr>
                    <w:br/>
                    <w:t>Selection</w:t>
                  </w:r>
                </w:p>
              </w:tc>
            </w:tr>
          </w:tbl>
          <w:p w14:paraId="7D96C378" w14:textId="77777777" w:rsidR="00100098" w:rsidRDefault="00100098">
            <w:pPr>
              <w:spacing w:after="0" w:line="20" w:lineRule="exact"/>
            </w:pPr>
          </w:p>
        </w:tc>
      </w:tr>
    </w:tbl>
    <w:p w14:paraId="720AF033"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2EBB87C9" w14:textId="77777777">
        <w:trPr>
          <w:jc w:val="center"/>
        </w:trPr>
        <w:tc>
          <w:tcPr>
            <w:tcW w:w="4752" w:type="dxa"/>
            <w:tcBorders>
              <w:top w:val="single" w:sz="6" w:space="0" w:color="4BACC6"/>
              <w:left w:val="single" w:sz="6" w:space="0" w:color="4BACC6"/>
              <w:bottom w:val="single" w:sz="6" w:space="0" w:color="4BACC6"/>
              <w:right w:val="single" w:sz="6" w:space="0" w:color="4BACC6"/>
            </w:tcBorders>
            <w:shd w:val="clear" w:color="auto" w:fill="DAEEF3"/>
            <w:tcMar>
              <w:top w:w="8" w:type="dxa"/>
              <w:left w:w="15" w:type="dxa"/>
              <w:bottom w:w="6" w:type="dxa"/>
              <w:right w:w="15" w:type="dxa"/>
            </w:tcMar>
          </w:tcPr>
          <w:p w14:paraId="28ADCDC3" w14:textId="77777777" w:rsidR="00100098" w:rsidRDefault="001253E4">
            <w:pPr>
              <w:spacing w:after="0" w:line="130" w:lineRule="exact"/>
              <w:jc w:val="center"/>
            </w:pPr>
            <w:r>
              <w:rPr>
                <w:rFonts w:ascii="Times New Roman" w:hAnsi="Times New Roman"/>
                <w:b/>
                <w:color w:val="1B5E6E"/>
                <w:sz w:val="13"/>
              </w:rPr>
              <w:t>4. Student Profile Vector (SPV) — 22 Features</w:t>
            </w:r>
          </w:p>
        </w:tc>
      </w:tr>
      <w:tr w:rsidR="00100098" w14:paraId="33B92C2D" w14:textId="77777777">
        <w:trPr>
          <w:jc w:val="center"/>
        </w:trPr>
        <w:tc>
          <w:tcPr>
            <w:tcW w:w="4752" w:type="dxa"/>
            <w:tcBorders>
              <w:top w:val="single" w:sz="6" w:space="0" w:color="4BACC6"/>
              <w:left w:val="single" w:sz="6" w:space="0" w:color="4BACC6"/>
              <w:bottom w:val="single" w:sz="6" w:space="0" w:color="4BACC6"/>
              <w:right w:val="single" w:sz="6" w:space="0" w:color="4BACC6"/>
            </w:tcBorders>
            <w:shd w:val="clear" w:color="auto" w:fill="F0F8FA"/>
            <w:tcMar>
              <w:top w:w="8" w:type="dxa"/>
              <w:left w:w="15" w:type="dxa"/>
              <w:bottom w:w="8" w:type="dxa"/>
              <w:right w:w="15" w:type="dxa"/>
            </w:tcMar>
          </w:tcPr>
          <w:p w14:paraId="6B54EA9B" w14:textId="77777777" w:rsidR="00100098" w:rsidRDefault="001253E4">
            <w:pPr>
              <w:spacing w:after="0" w:line="124" w:lineRule="exact"/>
              <w:jc w:val="center"/>
            </w:pPr>
            <w:r>
              <w:rPr>
                <w:rFonts w:ascii="Times New Roman" w:hAnsi="Times New Roman"/>
                <w:sz w:val="10"/>
              </w:rPr>
              <w:t xml:space="preserve">Continuous Normalized Feature Space: </w:t>
            </w:r>
            <w:proofErr w:type="spellStart"/>
            <w:r>
              <w:rPr>
                <w:rFonts w:ascii="Times New Roman" w:hAnsi="Times New Roman"/>
                <w:sz w:val="10"/>
              </w:rPr>
              <w:t>x_spv</w:t>
            </w:r>
            <w:proofErr w:type="spellEnd"/>
            <w:r>
              <w:rPr>
                <w:rFonts w:ascii="Times New Roman" w:hAnsi="Times New Roman"/>
                <w:sz w:val="10"/>
              </w:rPr>
              <w:t xml:space="preserve"> ∈ [0.0, 1.0]^22 paired with Observation Mask m ∈ {0, 1}^22</w:t>
            </w:r>
          </w:p>
        </w:tc>
      </w:tr>
    </w:tbl>
    <w:p w14:paraId="61E09B87"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3354DFD9" w14:textId="77777777">
        <w:trPr>
          <w:jc w:val="center"/>
        </w:trPr>
        <w:tc>
          <w:tcPr>
            <w:tcW w:w="4752" w:type="dxa"/>
            <w:tcBorders>
              <w:top w:val="single" w:sz="6" w:space="0" w:color="C00000"/>
              <w:left w:val="single" w:sz="6" w:space="0" w:color="C00000"/>
              <w:bottom w:val="single" w:sz="6" w:space="0" w:color="C00000"/>
              <w:right w:val="single" w:sz="6" w:space="0" w:color="C00000"/>
            </w:tcBorders>
            <w:shd w:val="clear" w:color="auto" w:fill="F2DCDB"/>
            <w:tcMar>
              <w:top w:w="8" w:type="dxa"/>
              <w:left w:w="15" w:type="dxa"/>
              <w:bottom w:w="6" w:type="dxa"/>
              <w:right w:w="15" w:type="dxa"/>
            </w:tcMar>
          </w:tcPr>
          <w:p w14:paraId="00BB7A71" w14:textId="77777777" w:rsidR="00100098" w:rsidRDefault="001253E4">
            <w:pPr>
              <w:spacing w:after="0" w:line="130" w:lineRule="exact"/>
              <w:jc w:val="center"/>
            </w:pPr>
            <w:r>
              <w:rPr>
                <w:rFonts w:ascii="Times New Roman" w:hAnsi="Times New Roman"/>
                <w:b/>
                <w:color w:val="800000"/>
                <w:sz w:val="13"/>
              </w:rPr>
              <w:t>5. Feature Groups in SPV</w:t>
            </w:r>
          </w:p>
        </w:tc>
      </w:tr>
      <w:tr w:rsidR="00100098" w14:paraId="6DB60E49" w14:textId="77777777">
        <w:trPr>
          <w:jc w:val="center"/>
        </w:trPr>
        <w:tc>
          <w:tcPr>
            <w:tcW w:w="4752" w:type="dxa"/>
            <w:tcBorders>
              <w:top w:val="single" w:sz="6" w:space="0" w:color="C00000"/>
              <w:left w:val="single" w:sz="6" w:space="0" w:color="C00000"/>
              <w:bottom w:val="single" w:sz="6" w:space="0" w:color="C00000"/>
              <w:right w:val="single" w:sz="6" w:space="0" w:color="C00000"/>
            </w:tcBorders>
            <w:shd w:val="clear" w:color="auto" w:fill="FAF2F2"/>
            <w:tcMar>
              <w:top w:w="8" w:type="dxa"/>
              <w:left w:w="10" w:type="dxa"/>
              <w:bottom w:w="8" w:type="dxa"/>
              <w:right w:w="10" w:type="dxa"/>
            </w:tcMar>
          </w:tcPr>
          <w:tbl>
            <w:tblPr>
              <w:tblW w:w="0" w:type="auto"/>
              <w:jc w:val="center"/>
              <w:tblLook w:val="04A0" w:firstRow="1" w:lastRow="0" w:firstColumn="1" w:lastColumn="0" w:noHBand="0" w:noVBand="1"/>
            </w:tblPr>
            <w:tblGrid>
              <w:gridCol w:w="907"/>
              <w:gridCol w:w="907"/>
              <w:gridCol w:w="907"/>
              <w:gridCol w:w="907"/>
              <w:gridCol w:w="907"/>
            </w:tblGrid>
            <w:tr w:rsidR="00100098" w14:paraId="5CA7BA0A" w14:textId="77777777">
              <w:trPr>
                <w:jc w:val="center"/>
              </w:trPr>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5A1C5469" w14:textId="77777777" w:rsidR="00100098" w:rsidRDefault="001253E4">
                  <w:pPr>
                    <w:spacing w:after="0" w:line="108" w:lineRule="exact"/>
                    <w:jc w:val="center"/>
                  </w:pPr>
                  <w:r>
                    <w:rPr>
                      <w:rFonts w:ascii="Times New Roman" w:hAnsi="Times New Roman"/>
                      <w:b/>
                      <w:sz w:val="9"/>
                    </w:rPr>
                    <w:t>Academic</w:t>
                  </w:r>
                  <w:r>
                    <w:rPr>
                      <w:rFonts w:ascii="Times New Roman" w:hAnsi="Times New Roman"/>
                      <w:b/>
                      <w:sz w:val="9"/>
                    </w:rPr>
                    <w:br/>
                  </w:r>
                  <w:r>
                    <w:rPr>
                      <w:rFonts w:ascii="Times New Roman" w:hAnsi="Times New Roman"/>
                      <w:color w:val="555555"/>
                      <w:sz w:val="7"/>
                    </w:rPr>
                    <w:t>(4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0BDF178D" w14:textId="77777777" w:rsidR="00100098" w:rsidRDefault="001253E4">
                  <w:pPr>
                    <w:spacing w:after="0" w:line="108" w:lineRule="exact"/>
                    <w:jc w:val="center"/>
                  </w:pPr>
                  <w:r>
                    <w:rPr>
                      <w:rFonts w:ascii="Times New Roman" w:hAnsi="Times New Roman"/>
                      <w:b/>
                      <w:sz w:val="9"/>
                    </w:rPr>
                    <w:t>Technical</w:t>
                  </w:r>
                  <w:r>
                    <w:rPr>
                      <w:rFonts w:ascii="Times New Roman" w:hAnsi="Times New Roman"/>
                      <w:b/>
                      <w:sz w:val="9"/>
                    </w:rPr>
                    <w:br/>
                  </w:r>
                  <w:r>
                    <w:rPr>
                      <w:rFonts w:ascii="Times New Roman" w:hAnsi="Times New Roman"/>
                      <w:color w:val="555555"/>
                      <w:sz w:val="7"/>
                    </w:rPr>
                    <w:t>(6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08973E77" w14:textId="77777777" w:rsidR="00100098" w:rsidRDefault="001253E4">
                  <w:pPr>
                    <w:spacing w:after="0" w:line="108" w:lineRule="exact"/>
                    <w:jc w:val="center"/>
                  </w:pPr>
                  <w:r>
                    <w:rPr>
                      <w:rFonts w:ascii="Times New Roman" w:hAnsi="Times New Roman"/>
                      <w:b/>
                      <w:sz w:val="9"/>
                    </w:rPr>
                    <w:t>Resume/Career</w:t>
                  </w:r>
                  <w:r>
                    <w:rPr>
                      <w:rFonts w:ascii="Times New Roman" w:hAnsi="Times New Roman"/>
                      <w:b/>
                      <w:sz w:val="9"/>
                    </w:rPr>
                    <w:br/>
                  </w:r>
                  <w:r>
                    <w:rPr>
                      <w:rFonts w:ascii="Times New Roman" w:hAnsi="Times New Roman"/>
                      <w:color w:val="555555"/>
                      <w:sz w:val="7"/>
                    </w:rPr>
                    <w:t>(4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2D43FE39" w14:textId="77777777" w:rsidR="00100098" w:rsidRDefault="001253E4">
                  <w:pPr>
                    <w:spacing w:after="0" w:line="108" w:lineRule="exact"/>
                    <w:jc w:val="center"/>
                  </w:pPr>
                  <w:r>
                    <w:rPr>
                      <w:rFonts w:ascii="Times New Roman" w:hAnsi="Times New Roman"/>
                      <w:b/>
                      <w:sz w:val="9"/>
                    </w:rPr>
                    <w:t>Behavioral</w:t>
                  </w:r>
                  <w:r>
                    <w:rPr>
                      <w:rFonts w:ascii="Times New Roman" w:hAnsi="Times New Roman"/>
                      <w:b/>
                      <w:sz w:val="9"/>
                    </w:rPr>
                    <w:br/>
                  </w:r>
                  <w:r>
                    <w:rPr>
                      <w:rFonts w:ascii="Times New Roman" w:hAnsi="Times New Roman"/>
                      <w:color w:val="555555"/>
                      <w:sz w:val="7"/>
                    </w:rPr>
                    <w:t>(4 feats)</w:t>
                  </w:r>
                </w:p>
              </w:tc>
              <w:tc>
                <w:tcPr>
                  <w:tcW w:w="907" w:type="dxa"/>
                  <w:tcBorders>
                    <w:top w:val="single" w:sz="4" w:space="0" w:color="E6B8B7"/>
                    <w:left w:val="single" w:sz="4" w:space="0" w:color="E6B8B7"/>
                    <w:bottom w:val="single" w:sz="4" w:space="0" w:color="E6B8B7"/>
                    <w:right w:val="single" w:sz="4" w:space="0" w:color="E6B8B7"/>
                  </w:tcBorders>
                  <w:shd w:val="clear" w:color="auto" w:fill="FFFFFF"/>
                  <w:tcMar>
                    <w:top w:w="6" w:type="dxa"/>
                    <w:left w:w="4" w:type="dxa"/>
                    <w:bottom w:w="6" w:type="dxa"/>
                    <w:right w:w="4" w:type="dxa"/>
                  </w:tcMar>
                </w:tcPr>
                <w:p w14:paraId="247CA3E1" w14:textId="77777777" w:rsidR="00100098" w:rsidRDefault="001253E4">
                  <w:pPr>
                    <w:spacing w:after="0" w:line="108" w:lineRule="exact"/>
                    <w:jc w:val="center"/>
                  </w:pPr>
                  <w:r>
                    <w:rPr>
                      <w:rFonts w:ascii="Times New Roman" w:hAnsi="Times New Roman"/>
                      <w:b/>
                      <w:sz w:val="9"/>
                    </w:rPr>
                    <w:t>Co-curricular</w:t>
                  </w:r>
                  <w:r>
                    <w:rPr>
                      <w:rFonts w:ascii="Times New Roman" w:hAnsi="Times New Roman"/>
                      <w:b/>
                      <w:sz w:val="9"/>
                    </w:rPr>
                    <w:br/>
                  </w:r>
                  <w:r>
                    <w:rPr>
                      <w:rFonts w:ascii="Times New Roman" w:hAnsi="Times New Roman"/>
                      <w:color w:val="555555"/>
                      <w:sz w:val="7"/>
                    </w:rPr>
                    <w:t>(4 feats)</w:t>
                  </w:r>
                </w:p>
              </w:tc>
            </w:tr>
          </w:tbl>
          <w:p w14:paraId="29990087" w14:textId="77777777" w:rsidR="00100098" w:rsidRDefault="00100098">
            <w:pPr>
              <w:spacing w:after="0" w:line="20" w:lineRule="exact"/>
            </w:pPr>
          </w:p>
        </w:tc>
      </w:tr>
    </w:tbl>
    <w:p w14:paraId="7C4EFF27" w14:textId="77777777" w:rsidR="00100098" w:rsidRDefault="001253E4">
      <w:pPr>
        <w:spacing w:after="0" w:line="100" w:lineRule="exact"/>
        <w:jc w:val="center"/>
      </w:pPr>
      <w:r>
        <w:rPr>
          <w:rFonts w:ascii="Times New Roman" w:hAnsi="Times New Roman"/>
          <w:b/>
          <w:color w:val="333333"/>
          <w:sz w:val="13"/>
        </w:rPr>
        <w:t>↓</w:t>
      </w:r>
    </w:p>
    <w:tbl>
      <w:tblPr>
        <w:tblW w:w="0" w:type="auto"/>
        <w:jc w:val="center"/>
        <w:tblLook w:val="04A0" w:firstRow="1" w:lastRow="0" w:firstColumn="1" w:lastColumn="0" w:noHBand="0" w:noVBand="1"/>
      </w:tblPr>
      <w:tblGrid>
        <w:gridCol w:w="4752"/>
      </w:tblGrid>
      <w:tr w:rsidR="00100098" w14:paraId="671C61FC" w14:textId="77777777">
        <w:trPr>
          <w:jc w:val="center"/>
        </w:trPr>
        <w:tc>
          <w:tcPr>
            <w:tcW w:w="4752" w:type="dxa"/>
            <w:tcBorders>
              <w:top w:val="single" w:sz="6" w:space="0" w:color="7030A0"/>
              <w:left w:val="single" w:sz="6" w:space="0" w:color="7030A0"/>
              <w:bottom w:val="single" w:sz="6" w:space="0" w:color="7030A0"/>
              <w:right w:val="single" w:sz="6" w:space="0" w:color="7030A0"/>
            </w:tcBorders>
            <w:shd w:val="clear" w:color="auto" w:fill="E4DFEC"/>
            <w:tcMar>
              <w:top w:w="8" w:type="dxa"/>
              <w:left w:w="15" w:type="dxa"/>
              <w:bottom w:w="6" w:type="dxa"/>
              <w:right w:w="15" w:type="dxa"/>
            </w:tcMar>
          </w:tcPr>
          <w:p w14:paraId="7D9F6616" w14:textId="77777777" w:rsidR="00100098" w:rsidRDefault="001253E4">
            <w:pPr>
              <w:spacing w:after="0" w:line="130" w:lineRule="exact"/>
              <w:jc w:val="center"/>
            </w:pPr>
            <w:r>
              <w:rPr>
                <w:rFonts w:ascii="Times New Roman" w:hAnsi="Times New Roman"/>
                <w:b/>
                <w:color w:val="401A5C"/>
                <w:sz w:val="13"/>
              </w:rPr>
              <w:t>6. PRIE Prediction and Recommendation Engine</w:t>
            </w:r>
          </w:p>
        </w:tc>
      </w:tr>
      <w:tr w:rsidR="00100098" w14:paraId="43AECA2C" w14:textId="77777777">
        <w:trPr>
          <w:jc w:val="center"/>
        </w:trPr>
        <w:tc>
          <w:tcPr>
            <w:tcW w:w="4752" w:type="dxa"/>
            <w:tcBorders>
              <w:top w:val="single" w:sz="6" w:space="0" w:color="7030A0"/>
              <w:left w:val="single" w:sz="6" w:space="0" w:color="7030A0"/>
              <w:bottom w:val="single" w:sz="6" w:space="0" w:color="7030A0"/>
              <w:right w:val="single" w:sz="6" w:space="0" w:color="7030A0"/>
            </w:tcBorders>
            <w:shd w:val="clear" w:color="auto" w:fill="F8F6FA"/>
            <w:tcMar>
              <w:top w:w="8" w:type="dxa"/>
              <w:left w:w="10" w:type="dxa"/>
              <w:bottom w:w="8" w:type="dxa"/>
              <w:right w:w="10" w:type="dxa"/>
            </w:tcMar>
          </w:tcPr>
          <w:tbl>
            <w:tblPr>
              <w:tblW w:w="0" w:type="auto"/>
              <w:jc w:val="center"/>
              <w:tblLook w:val="04A0" w:firstRow="1" w:lastRow="0" w:firstColumn="1" w:lastColumn="0" w:noHBand="0" w:noVBand="1"/>
            </w:tblPr>
            <w:tblGrid>
              <w:gridCol w:w="1512"/>
              <w:gridCol w:w="1512"/>
              <w:gridCol w:w="1512"/>
            </w:tblGrid>
            <w:tr w:rsidR="00100098" w14:paraId="7AA7DE18" w14:textId="77777777">
              <w:trPr>
                <w:jc w:val="center"/>
              </w:trPr>
              <w:tc>
                <w:tcPr>
                  <w:tcW w:w="1512" w:type="dxa"/>
                  <w:tcBorders>
                    <w:top w:val="single" w:sz="4" w:space="0" w:color="CCC1DA"/>
                    <w:left w:val="single" w:sz="4" w:space="0" w:color="CCC1DA"/>
                    <w:bottom w:val="single" w:sz="4" w:space="0" w:color="CCC1DA"/>
                    <w:right w:val="single" w:sz="4" w:space="0" w:color="CCC1DA"/>
                  </w:tcBorders>
                  <w:shd w:val="clear" w:color="auto" w:fill="FFFFFF"/>
                  <w:tcMar>
                    <w:top w:w="6" w:type="dxa"/>
                    <w:left w:w="4" w:type="dxa"/>
                    <w:bottom w:w="6" w:type="dxa"/>
                    <w:right w:w="4" w:type="dxa"/>
                  </w:tcMar>
                </w:tcPr>
                <w:p w14:paraId="46E7F476" w14:textId="77777777" w:rsidR="00100098" w:rsidRDefault="001253E4">
                  <w:pPr>
                    <w:spacing w:after="0" w:line="108" w:lineRule="exact"/>
                    <w:jc w:val="center"/>
                  </w:pPr>
                  <w:r>
                    <w:rPr>
                      <w:rFonts w:ascii="Times New Roman" w:hAnsi="Times New Roman"/>
                      <w:b/>
                      <w:sz w:val="9"/>
                    </w:rPr>
                    <w:t>Placement Prediction</w:t>
                  </w:r>
                  <w:r>
                    <w:rPr>
                      <w:rFonts w:ascii="Times New Roman" w:hAnsi="Times New Roman"/>
                      <w:b/>
                      <w:sz w:val="9"/>
                    </w:rPr>
                    <w:br/>
                  </w:r>
                  <w:r>
                    <w:rPr>
                      <w:rFonts w:ascii="Times New Roman" w:hAnsi="Times New Roman"/>
                      <w:color w:val="555555"/>
                      <w:sz w:val="7"/>
                    </w:rPr>
                    <w:t>(Probability / Category)</w:t>
                  </w:r>
                </w:p>
              </w:tc>
              <w:tc>
                <w:tcPr>
                  <w:tcW w:w="1512" w:type="dxa"/>
                  <w:tcBorders>
                    <w:top w:val="single" w:sz="4" w:space="0" w:color="CCC1DA"/>
                    <w:left w:val="single" w:sz="4" w:space="0" w:color="CCC1DA"/>
                    <w:bottom w:val="single" w:sz="4" w:space="0" w:color="CCC1DA"/>
                    <w:right w:val="single" w:sz="4" w:space="0" w:color="CCC1DA"/>
                  </w:tcBorders>
                  <w:shd w:val="clear" w:color="auto" w:fill="FFFFFF"/>
                  <w:tcMar>
                    <w:top w:w="6" w:type="dxa"/>
                    <w:left w:w="4" w:type="dxa"/>
                    <w:bottom w:w="6" w:type="dxa"/>
                    <w:right w:w="4" w:type="dxa"/>
                  </w:tcMar>
                </w:tcPr>
                <w:p w14:paraId="4B9A2CA2" w14:textId="77777777" w:rsidR="00100098" w:rsidRDefault="001253E4">
                  <w:pPr>
                    <w:spacing w:after="0" w:line="108" w:lineRule="exact"/>
                    <w:jc w:val="center"/>
                  </w:pPr>
                  <w:r>
                    <w:rPr>
                      <w:rFonts w:ascii="Times New Roman" w:hAnsi="Times New Roman"/>
                      <w:b/>
                      <w:sz w:val="9"/>
                    </w:rPr>
                    <w:t>Skill Gap Analysis</w:t>
                  </w:r>
                  <w:r>
                    <w:rPr>
                      <w:rFonts w:ascii="Times New Roman" w:hAnsi="Times New Roman"/>
                      <w:b/>
                      <w:sz w:val="9"/>
                    </w:rPr>
                    <w:br/>
                  </w:r>
                  <w:r>
                    <w:rPr>
                      <w:rFonts w:ascii="Times New Roman" w:hAnsi="Times New Roman"/>
                      <w:color w:val="555555"/>
                      <w:sz w:val="7"/>
                    </w:rPr>
                    <w:t>(</w:t>
                  </w:r>
                  <w:proofErr w:type="spellStart"/>
                  <w:r>
                    <w:rPr>
                      <w:rFonts w:ascii="Times New Roman" w:hAnsi="Times New Roman"/>
                      <w:color w:val="555555"/>
                      <w:sz w:val="7"/>
                    </w:rPr>
                    <w:t>TreeSHAP</w:t>
                  </w:r>
                  <w:proofErr w:type="spellEnd"/>
                  <w:r>
                    <w:rPr>
                      <w:rFonts w:ascii="Times New Roman" w:hAnsi="Times New Roman"/>
                      <w:color w:val="555555"/>
                      <w:sz w:val="7"/>
                    </w:rPr>
                    <w:t xml:space="preserve"> Attributions)</w:t>
                  </w:r>
                </w:p>
              </w:tc>
              <w:tc>
                <w:tcPr>
                  <w:tcW w:w="1512" w:type="dxa"/>
                  <w:tcBorders>
                    <w:top w:val="single" w:sz="4" w:space="0" w:color="CCC1DA"/>
                    <w:left w:val="single" w:sz="4" w:space="0" w:color="CCC1DA"/>
                    <w:bottom w:val="single" w:sz="4" w:space="0" w:color="CCC1DA"/>
                    <w:right w:val="single" w:sz="4" w:space="0" w:color="CCC1DA"/>
                  </w:tcBorders>
                  <w:shd w:val="clear" w:color="auto" w:fill="FFFFFF"/>
                  <w:tcMar>
                    <w:top w:w="6" w:type="dxa"/>
                    <w:left w:w="4" w:type="dxa"/>
                    <w:bottom w:w="6" w:type="dxa"/>
                    <w:right w:w="4" w:type="dxa"/>
                  </w:tcMar>
                </w:tcPr>
                <w:p w14:paraId="74AF0D8D" w14:textId="77777777" w:rsidR="00100098" w:rsidRDefault="001253E4">
                  <w:pPr>
                    <w:spacing w:after="0" w:line="108" w:lineRule="exact"/>
                    <w:jc w:val="center"/>
                  </w:pPr>
                  <w:r>
                    <w:rPr>
                      <w:rFonts w:ascii="Times New Roman" w:hAnsi="Times New Roman"/>
                      <w:b/>
                      <w:sz w:val="9"/>
                    </w:rPr>
                    <w:t>Recourse Roadmap</w:t>
                  </w:r>
                  <w:r>
                    <w:rPr>
                      <w:rFonts w:ascii="Times New Roman" w:hAnsi="Times New Roman"/>
                      <w:b/>
                      <w:sz w:val="9"/>
                    </w:rPr>
                    <w:br/>
                  </w:r>
                  <w:r>
                    <w:rPr>
                      <w:rFonts w:ascii="Times New Roman" w:hAnsi="Times New Roman"/>
                      <w:color w:val="555555"/>
                      <w:sz w:val="7"/>
                    </w:rPr>
                    <w:t>(</w:t>
                  </w:r>
                  <w:proofErr w:type="spellStart"/>
                  <w:r>
                    <w:rPr>
                      <w:rFonts w:ascii="Times New Roman" w:hAnsi="Times New Roman"/>
                      <w:color w:val="555555"/>
                      <w:sz w:val="7"/>
                    </w:rPr>
                    <w:t>DiCE</w:t>
                  </w:r>
                  <w:proofErr w:type="spellEnd"/>
                  <w:r>
                    <w:rPr>
                      <w:rFonts w:ascii="Times New Roman" w:hAnsi="Times New Roman"/>
                      <w:color w:val="555555"/>
                      <w:sz w:val="7"/>
                    </w:rPr>
                    <w:t xml:space="preserve"> + Kahn DAG)</w:t>
                  </w:r>
                </w:p>
              </w:tc>
            </w:tr>
          </w:tbl>
          <w:p w14:paraId="150032EF" w14:textId="77777777" w:rsidR="00100098" w:rsidRDefault="00100098">
            <w:pPr>
              <w:spacing w:after="0" w:line="20" w:lineRule="exact"/>
            </w:pPr>
          </w:p>
        </w:tc>
      </w:tr>
    </w:tbl>
    <w:p w14:paraId="238EE18A" w14:textId="77777777" w:rsidR="00100098" w:rsidRDefault="001253E4">
      <w:pPr>
        <w:spacing w:before="40" w:after="60" w:line="160" w:lineRule="exact"/>
        <w:jc w:val="center"/>
      </w:pPr>
      <w:r>
        <w:rPr>
          <w:rFonts w:ascii="Times New Roman" w:hAnsi="Times New Roman"/>
          <w:sz w:val="15"/>
        </w:rPr>
        <w:t>Fig. 1. Construction of the Student Profile Vector (SPV) for the PRIE framework.</w:t>
      </w:r>
    </w:p>
    <w:p w14:paraId="3B6F1FA8" w14:textId="77777777" w:rsidR="00100098" w:rsidRDefault="001253E4">
      <w:pPr>
        <w:spacing w:after="0" w:line="204" w:lineRule="exact"/>
        <w:jc w:val="both"/>
      </w:pPr>
      <w:r>
        <w:rPr>
          <w:rFonts w:ascii="Times New Roman" w:hAnsi="Times New Roman"/>
          <w:sz w:val="19"/>
        </w:rPr>
        <w:t>miscalibration: raw confidence scores do not reflect empirical placement probabilities, compromising institutional advising triage. Van Wyk and Du Plessis [2] highlighted that continuous telemetry tracking (e.g., login cadence, formative test attempts, and platform engagement intensity) yields substantially stronger predictive utility than point-in-time administrative marks. Chen and Hwang [5] emphasized that institutional adoption requires algorithmic explainability, fairness guarantees, and transparent probability calibration rather than black-box margin scores.</w:t>
      </w:r>
    </w:p>
    <w:p w14:paraId="311E5689" w14:textId="77777777" w:rsidR="00100098" w:rsidRDefault="001253E4">
      <w:pPr>
        <w:keepNext/>
        <w:spacing w:before="70" w:after="20" w:line="190" w:lineRule="exact"/>
      </w:pPr>
      <w:r>
        <w:rPr>
          <w:rFonts w:ascii="Times New Roman" w:hAnsi="Times New Roman"/>
          <w:i/>
          <w:sz w:val="19"/>
        </w:rPr>
        <w:t>B. Explainable AI and Prescriptive Algorithmic Recourse</w:t>
      </w:r>
    </w:p>
    <w:p w14:paraId="73EA8BD3" w14:textId="77777777" w:rsidR="00100098" w:rsidRDefault="001253E4">
      <w:pPr>
        <w:spacing w:after="0" w:line="204" w:lineRule="exact"/>
        <w:jc w:val="both"/>
      </w:pPr>
      <w:r>
        <w:rPr>
          <w:rFonts w:ascii="Times New Roman" w:hAnsi="Times New Roman"/>
          <w:sz w:val="19"/>
        </w:rPr>
        <w:t xml:space="preserve">Recent works have introduced post-hoc interpretability into academic early-warning systems. </w:t>
      </w:r>
      <w:proofErr w:type="spellStart"/>
      <w:r>
        <w:rPr>
          <w:rFonts w:ascii="Times New Roman" w:hAnsi="Times New Roman"/>
          <w:sz w:val="19"/>
        </w:rPr>
        <w:t>Hidayatulloh</w:t>
      </w:r>
      <w:proofErr w:type="spellEnd"/>
      <w:r>
        <w:rPr>
          <w:rFonts w:ascii="Times New Roman" w:hAnsi="Times New Roman"/>
          <w:sz w:val="19"/>
        </w:rPr>
        <w:t xml:space="preserve"> et al. [16] applied Shapley Additive Explanations (SHAP) to student performance models, showing that feature attribution enhances educator trust. Similarly, Joshi and Kulkarni [17] deployed </w:t>
      </w:r>
      <w:proofErr w:type="spellStart"/>
      <w:r>
        <w:rPr>
          <w:rFonts w:ascii="Times New Roman" w:hAnsi="Times New Roman"/>
          <w:sz w:val="19"/>
        </w:rPr>
        <w:t>LightGBM</w:t>
      </w:r>
      <w:proofErr w:type="spellEnd"/>
      <w:r>
        <w:rPr>
          <w:rFonts w:ascii="Times New Roman" w:hAnsi="Times New Roman"/>
          <w:sz w:val="19"/>
        </w:rPr>
        <w:t xml:space="preserve"> and </w:t>
      </w:r>
      <w:proofErr w:type="spellStart"/>
      <w:r>
        <w:rPr>
          <w:rFonts w:ascii="Times New Roman" w:hAnsi="Times New Roman"/>
          <w:sz w:val="19"/>
        </w:rPr>
        <w:t>TreeSHAP</w:t>
      </w:r>
      <w:proofErr w:type="spellEnd"/>
      <w:r>
        <w:rPr>
          <w:rFonts w:ascii="Times New Roman" w:hAnsi="Times New Roman"/>
          <w:sz w:val="19"/>
        </w:rPr>
        <w:t xml:space="preserve"> to isolate risk factors across engineering branches. Nevertheless, these frameworks remain confined to descriptive explanation: they explain why a student is predicted to fail (e.g., attributing risk to a low historical GPA) but provide no prescriptive recourse, because completed academic records cannot be modified retroactively [16, 17]. Prescriptive intervention requires solving constrained optimization problems over actionable, mutable variables.</w:t>
      </w:r>
    </w:p>
    <w:p w14:paraId="0803177D" w14:textId="77777777" w:rsidR="00100098" w:rsidRDefault="001253E4">
      <w:pPr>
        <w:keepNext/>
        <w:spacing w:before="70" w:after="20" w:line="190" w:lineRule="exact"/>
      </w:pPr>
      <w:r>
        <w:rPr>
          <w:rFonts w:ascii="Times New Roman" w:hAnsi="Times New Roman"/>
          <w:i/>
          <w:sz w:val="19"/>
        </w:rPr>
        <w:t>C. Multimodal Career Assessment and Research Gap</w:t>
      </w:r>
    </w:p>
    <w:p w14:paraId="79A8D75F" w14:textId="77777777" w:rsidR="00100098" w:rsidRDefault="001253E4">
      <w:pPr>
        <w:spacing w:after="0" w:line="204" w:lineRule="exact"/>
        <w:jc w:val="both"/>
      </w:pPr>
      <w:r>
        <w:rPr>
          <w:rFonts w:ascii="Times New Roman" w:hAnsi="Times New Roman"/>
          <w:sz w:val="19"/>
        </w:rPr>
        <w:t xml:space="preserve">Traditional resume screening relies on flat text tokenizers or keyword matching [9, 10]. Verma and Mehta [15] developed </w:t>
      </w:r>
      <w:proofErr w:type="spellStart"/>
      <w:r>
        <w:rPr>
          <w:rFonts w:ascii="Times New Roman" w:hAnsi="Times New Roman"/>
          <w:sz w:val="19"/>
        </w:rPr>
        <w:t>ResuMatch</w:t>
      </w:r>
      <w:proofErr w:type="spellEnd"/>
      <w:r>
        <w:rPr>
          <w:rFonts w:ascii="Times New Roman" w:hAnsi="Times New Roman"/>
          <w:sz w:val="19"/>
        </w:rPr>
        <w:t>, applying semantic sentence embeddings to compare resume text with job descriptions. Zhang et al. [11] introduced Career-</w:t>
      </w:r>
      <w:proofErr w:type="spellStart"/>
      <w:r>
        <w:rPr>
          <w:rFonts w:ascii="Times New Roman" w:hAnsi="Times New Roman"/>
          <w:sz w:val="19"/>
        </w:rPr>
        <w:t>gAIde</w:t>
      </w:r>
      <w:proofErr w:type="spellEnd"/>
      <w:r>
        <w:rPr>
          <w:rFonts w:ascii="Times New Roman" w:hAnsi="Times New Roman"/>
          <w:sz w:val="19"/>
        </w:rPr>
        <w:t xml:space="preserve"> for career advisory from</w:t>
      </w:r>
      <w:r>
        <w:br w:type="page"/>
      </w:r>
    </w:p>
    <w:p w14:paraId="5D5B43DB" w14:textId="77777777" w:rsidR="00100098" w:rsidRDefault="001253E4">
      <w:pPr>
        <w:spacing w:after="0" w:line="204" w:lineRule="exact"/>
        <w:jc w:val="both"/>
      </w:pPr>
      <w:r>
        <w:rPr>
          <w:rFonts w:ascii="Times New Roman" w:hAnsi="Times New Roman"/>
          <w:sz w:val="19"/>
        </w:rPr>
        <w:lastRenderedPageBreak/>
        <w:t xml:space="preserve">CVs. However, standard extraction pipelines discard 2D visual layout coordinates, causing column interleaving errors in multi-column CVs. In interview assessment, Deshmukh and Kulkarni [12] noted that single-sensor evaluations suffer from acoustic and visual noise. The Advanced Innovation Consortium [13] demonstrated that fusing facial expression recognition, speech emotion analysis, and textual NLP produces more holistic assessments. Srinivasan and Radhakrishnan [19] proposed a voice-driven simulator pairing Whisper with LLM questioning, but observed latency exceeding 2.5 seconds. For remediation, Tan et al. [14] demonstrated that curriculum recommendations must adhere to prerequisite DAGs to avoid cognitive overload. Sutherland and Miller [18] showed that similarity threshold gating rejects out-of-domain queries prior to retrieval augmentation. Fernandez and Gomez [20] confirmed that concept graph grounding is essential for generating valid diagnostic items. Finally, </w:t>
      </w:r>
      <w:proofErr w:type="spellStart"/>
      <w:r>
        <w:rPr>
          <w:rFonts w:ascii="Times New Roman" w:hAnsi="Times New Roman"/>
          <w:sz w:val="19"/>
        </w:rPr>
        <w:t>Babureddy</w:t>
      </w:r>
      <w:proofErr w:type="spellEnd"/>
      <w:r>
        <w:rPr>
          <w:rFonts w:ascii="Times New Roman" w:hAnsi="Times New Roman"/>
          <w:sz w:val="19"/>
        </w:rPr>
        <w:t xml:space="preserve"> and Mathew [21] proposed a triangular digital twin linking student, faculty, and industry requirements.</w:t>
      </w:r>
    </w:p>
    <w:p w14:paraId="11471B94" w14:textId="77777777" w:rsidR="00100098" w:rsidRDefault="001253E4">
      <w:pPr>
        <w:spacing w:after="0" w:line="204" w:lineRule="exact"/>
        <w:ind w:firstLine="202"/>
        <w:jc w:val="both"/>
      </w:pPr>
      <w:r>
        <w:rPr>
          <w:rFonts w:ascii="Times New Roman" w:hAnsi="Times New Roman"/>
          <w:sz w:val="19"/>
        </w:rPr>
        <w:t>Research Gap Formulation: Cross-analysis reveals three structural voids: (1) The Single-Module Isolation Chasm: Across the 44 verified career-readiness systems analyzed in our research foundation, 42 systems (95.5%, 42/44) evaluate only one or two functional dimensions in isolation without an integrated continuous latent state [3, 6]; (2) The Descriptive-to-Prescriptive Divide: Existing XAI models output historical attributions but fail to formulate constrained mathematical recourse paths bounded by student cognitive budgets [16, 17]; and (3) Probabilistic Miscalibration: Classifiers optimize unweighted loss functions, producing overconfident probabilities that undermine credibility in educational advising [8]. PRIE resolves these gaps by uniting multimodal telemetry into an invariant 22-dimensional Student Profile Vector (</w:t>
      </w:r>
      <w:proofErr w:type="spellStart"/>
      <w:r>
        <w:rPr>
          <w:rFonts w:ascii="Times New Roman" w:hAnsi="Times New Roman"/>
          <w:sz w:val="19"/>
        </w:rPr>
        <w:t>x_spv</w:t>
      </w:r>
      <w:proofErr w:type="spellEnd"/>
      <w:r>
        <w:rPr>
          <w:rFonts w:ascii="Times New Roman" w:hAnsi="Times New Roman"/>
          <w:sz w:val="19"/>
        </w:rPr>
        <w:t>), coupling calibrated gradient boosting with constrained counterfactual recourse, and enforcing topological graph sequencing over personalized remediation milestones.</w:t>
      </w:r>
    </w:p>
    <w:p w14:paraId="6FF9A945" w14:textId="77777777" w:rsidR="00100098" w:rsidRDefault="001253E4">
      <w:pPr>
        <w:keepNext/>
        <w:spacing w:before="100" w:after="30" w:line="190" w:lineRule="exact"/>
        <w:jc w:val="center"/>
      </w:pPr>
      <w:r>
        <w:rPr>
          <w:rFonts w:ascii="Times New Roman" w:hAnsi="Times New Roman"/>
          <w:b/>
          <w:sz w:val="19"/>
        </w:rPr>
        <w:t>III. PROPOSED SYSTEM</w:t>
      </w:r>
    </w:p>
    <w:p w14:paraId="57DFB839" w14:textId="77777777" w:rsidR="00100098" w:rsidRDefault="001253E4">
      <w:pPr>
        <w:spacing w:after="0" w:line="204" w:lineRule="exact"/>
        <w:jc w:val="both"/>
      </w:pPr>
      <w:r>
        <w:rPr>
          <w:rFonts w:ascii="Times New Roman" w:hAnsi="Times New Roman"/>
          <w:sz w:val="19"/>
        </w:rPr>
        <w:t>The proposed PRIE architecture operates as a continuous intelligence pipeline ingesting multi-source telemetry, modeling latent readiness, calibrating predictive risk, and synthesizing closed-loop remediation plans (Fig. 1).</w:t>
      </w:r>
    </w:p>
    <w:p w14:paraId="3CAB3BCC" w14:textId="77777777" w:rsidR="00100098" w:rsidRDefault="001253E4">
      <w:pPr>
        <w:keepNext/>
        <w:spacing w:before="70" w:after="20" w:line="190" w:lineRule="exact"/>
      </w:pPr>
      <w:r>
        <w:rPr>
          <w:rFonts w:ascii="Times New Roman" w:hAnsi="Times New Roman"/>
          <w:i/>
          <w:sz w:val="19"/>
        </w:rPr>
        <w:t>A. Student Profile Vector (SPV) Formulation</w:t>
      </w:r>
    </w:p>
    <w:p w14:paraId="1021D9D4" w14:textId="77777777" w:rsidR="00100098" w:rsidRDefault="001253E4">
      <w:pPr>
        <w:spacing w:after="0" w:line="204" w:lineRule="exact"/>
        <w:jc w:val="both"/>
      </w:pPr>
      <w:r>
        <w:rPr>
          <w:rFonts w:ascii="Times New Roman" w:hAnsi="Times New Roman"/>
          <w:sz w:val="19"/>
        </w:rPr>
        <w:t xml:space="preserve">To overcome software fragmentation, PRIE defines the Student Profile Vector </w:t>
      </w:r>
      <w:proofErr w:type="spellStart"/>
      <w:r>
        <w:rPr>
          <w:rFonts w:ascii="Times New Roman" w:hAnsi="Times New Roman"/>
          <w:sz w:val="19"/>
        </w:rPr>
        <w:t>x_spv</w:t>
      </w:r>
      <w:proofErr w:type="spellEnd"/>
      <w:r>
        <w:rPr>
          <w:rFonts w:ascii="Times New Roman" w:hAnsi="Times New Roman"/>
          <w:sz w:val="19"/>
        </w:rPr>
        <w:t xml:space="preserve"> ∈ [0.0, 1.0]^22, harmonizing four distinct competency dimensions: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42B4A774" w14:textId="77777777">
        <w:trPr>
          <w:jc w:val="center"/>
        </w:trPr>
        <w:tc>
          <w:tcPr>
            <w:tcW w:w="4248" w:type="dxa"/>
          </w:tcPr>
          <w:p w14:paraId="7DAE4FE3" w14:textId="77777777" w:rsidR="00100098" w:rsidRDefault="00000000">
            <w:pPr>
              <w:spacing w:after="0"/>
              <w:jc w:val="center"/>
            </w:pPr>
            <m:oMathPara>
              <m:oMath>
                <m:sSub>
                  <m:sSubPr>
                    <m:ctrlPr>
                      <w:rPr>
                        <w:rFonts w:ascii="Cambria Math" w:hAnsi="Cambria Math"/>
                      </w:rPr>
                    </m:ctrlPr>
                  </m:sSubPr>
                  <m:e>
                    <m:r>
                      <w:rPr>
                        <w:rFonts w:ascii="Cambria Math" w:hAnsi="Cambria Math"/>
                      </w:rPr>
                      <m:t>x</m:t>
                    </m:r>
                  </m:e>
                  <m:sub>
                    <m:r>
                      <w:rPr>
                        <w:rFonts w:ascii="Cambria Math" w:hAnsi="Cambria Math"/>
                      </w:rPr>
                      <m:t>spv</m:t>
                    </m:r>
                  </m:sub>
                </m:sSub>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22</m:t>
                            </m:r>
                          </m:sub>
                        </m:sSub>
                      </m:e>
                    </m:d>
                  </m:e>
                  <m:sup>
                    <m:r>
                      <w:rPr>
                        <w:rFonts w:ascii="Cambria Math" w:hAnsi="Cambria Math"/>
                      </w:rPr>
                      <m:t>T</m:t>
                    </m:r>
                  </m:sup>
                </m:sSup>
                <m:r>
                  <w:rPr>
                    <w:rFonts w:ascii="Cambria Math" w:hAnsi="Cambria Math"/>
                  </w:rPr>
                  <m:t xml:space="preserve">,   m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0, 1</m:t>
                        </m:r>
                      </m:e>
                    </m:d>
                  </m:e>
                  <m:sup>
                    <m:r>
                      <w:rPr>
                        <w:rFonts w:ascii="Cambria Math" w:hAnsi="Cambria Math"/>
                      </w:rPr>
                      <m:t>22</m:t>
                    </m:r>
                  </m:sup>
                </m:sSup>
              </m:oMath>
            </m:oMathPara>
          </w:p>
        </w:tc>
        <w:tc>
          <w:tcPr>
            <w:tcW w:w="619" w:type="dxa"/>
          </w:tcPr>
          <w:p w14:paraId="233BA84F" w14:textId="77777777" w:rsidR="00100098" w:rsidRDefault="001253E4">
            <w:pPr>
              <w:spacing w:after="0"/>
              <w:jc w:val="right"/>
            </w:pPr>
            <w:r>
              <w:rPr>
                <w:rFonts w:ascii="Times New Roman" w:hAnsi="Times New Roman"/>
                <w:sz w:val="19"/>
              </w:rPr>
              <w:t>(1)</w:t>
            </w:r>
          </w:p>
        </w:tc>
      </w:tr>
    </w:tbl>
    <w:p w14:paraId="2788F54B" w14:textId="77777777" w:rsidR="00100098" w:rsidRDefault="001253E4">
      <w:pPr>
        <w:spacing w:after="0" w:line="204" w:lineRule="exact"/>
        <w:jc w:val="both"/>
      </w:pPr>
      <w:r>
        <w:rPr>
          <w:rFonts w:ascii="Times New Roman" w:hAnsi="Times New Roman"/>
          <w:sz w:val="19"/>
        </w:rPr>
        <w:t>where m denotes an observation mask tracking feature presence. The vector captures four functional quadrants: (1) Academic Competency (F_1–F_5) covering CGPA, core marks, backlogs, academic velocity, and progression; (2) Practical Coding Telemetry (F_6–F_10) capturing problem-solving volume, data structure mastery, execution accuracy, algorithmic efficiency, and contest activity; (3) Document Intelligence</w:t>
      </w:r>
      <w:r>
        <w:br w:type="column"/>
      </w:r>
    </w:p>
    <w:p w14:paraId="4C370427" w14:textId="77777777" w:rsidR="00100098" w:rsidRDefault="001253E4">
      <w:pPr>
        <w:spacing w:after="0" w:line="204" w:lineRule="exact"/>
        <w:jc w:val="both"/>
      </w:pPr>
      <w:r>
        <w:rPr>
          <w:rFonts w:ascii="Times New Roman" w:hAnsi="Times New Roman"/>
          <w:sz w:val="19"/>
        </w:rPr>
        <w:t>(F_11–F_14) assessing 2D spatial resume match score, technical skill coverage, project relevance, and layout integrity; and (4) Paralinguistic Interview Readiness (F_15–F_22) tracking articulation rate, jitter, composure stability, lexical coherence, behavioral demeanor, and demographic indicators (F_17: institutional branch). Features are scaled to [0.0, 1.0] via min-max normalization against rolling cohort statistics. Missing entries (</w:t>
      </w:r>
      <w:proofErr w:type="spellStart"/>
      <w:r>
        <w:rPr>
          <w:rFonts w:ascii="Times New Roman" w:hAnsi="Times New Roman"/>
          <w:sz w:val="19"/>
        </w:rPr>
        <w:t>m_j</w:t>
      </w:r>
      <w:proofErr w:type="spellEnd"/>
      <w:r>
        <w:rPr>
          <w:rFonts w:ascii="Times New Roman" w:hAnsi="Times New Roman"/>
          <w:sz w:val="19"/>
        </w:rPr>
        <w:t xml:space="preserve"> = 0) are imputed using median cohort values.</w:t>
      </w:r>
    </w:p>
    <w:p w14:paraId="75A73810" w14:textId="77777777" w:rsidR="00100098" w:rsidRDefault="001253E4">
      <w:pPr>
        <w:keepNext/>
        <w:spacing w:before="70" w:after="20" w:line="190" w:lineRule="exact"/>
      </w:pPr>
      <w:r>
        <w:rPr>
          <w:rFonts w:ascii="Times New Roman" w:hAnsi="Times New Roman"/>
          <w:i/>
          <w:sz w:val="19"/>
        </w:rPr>
        <w:t>B. Calibrated Placement Readiness Prediction</w:t>
      </w:r>
    </w:p>
    <w:p w14:paraId="2B1EAD3C" w14:textId="77777777" w:rsidR="00100098" w:rsidRDefault="001253E4">
      <w:pPr>
        <w:spacing w:after="0" w:line="204" w:lineRule="exact"/>
        <w:jc w:val="both"/>
      </w:pPr>
      <w:r>
        <w:rPr>
          <w:rFonts w:ascii="Times New Roman" w:hAnsi="Times New Roman"/>
          <w:sz w:val="19"/>
        </w:rPr>
        <w:t xml:space="preserve">Placement prediction is formulated as cost-sensitive binary classification (Y ∈ {0, 1}). To mitigate class imbalance (34.8% unplaced vs 65.2% placed), PRIE optimizes an asymmetric log-loss function parameterized by positive instance weight </w:t>
      </w:r>
      <w:proofErr w:type="spellStart"/>
      <w:r>
        <w:rPr>
          <w:rFonts w:ascii="Times New Roman" w:hAnsi="Times New Roman"/>
          <w:sz w:val="19"/>
        </w:rPr>
        <w:t>w_pos</w:t>
      </w:r>
      <w:proofErr w:type="spellEnd"/>
      <w:r>
        <w:rPr>
          <w:rFonts w:ascii="Times New Roman" w:hAnsi="Times New Roman"/>
          <w:sz w:val="19"/>
        </w:rPr>
        <w:t xml:space="preserve"> = </w:t>
      </w:r>
      <w:proofErr w:type="spellStart"/>
      <w:r>
        <w:rPr>
          <w:rFonts w:ascii="Times New Roman" w:hAnsi="Times New Roman"/>
          <w:sz w:val="19"/>
        </w:rPr>
        <w:t>N_neg</w:t>
      </w:r>
      <w:proofErr w:type="spellEnd"/>
      <w:r>
        <w:rPr>
          <w:rFonts w:ascii="Times New Roman" w:hAnsi="Times New Roman"/>
          <w:sz w:val="19"/>
        </w:rPr>
        <w:t xml:space="preserve"> / </w:t>
      </w:r>
      <w:proofErr w:type="spellStart"/>
      <w:r>
        <w:rPr>
          <w:rFonts w:ascii="Times New Roman" w:hAnsi="Times New Roman"/>
          <w:sz w:val="19"/>
        </w:rPr>
        <w:t>N_pos</w:t>
      </w:r>
      <w:proofErr w:type="spellEnd"/>
      <w:r>
        <w:rPr>
          <w:rFonts w:ascii="Times New Roman" w:hAnsi="Times New Roman"/>
          <w:sz w:val="19"/>
        </w:rPr>
        <w:t xml:space="preserve"> = 870 / 1630 = 0.5337:</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0B064E27" w14:textId="77777777">
        <w:trPr>
          <w:jc w:val="center"/>
        </w:trPr>
        <w:tc>
          <w:tcPr>
            <w:tcW w:w="4248" w:type="dxa"/>
          </w:tcPr>
          <w:p w14:paraId="52E88E2B" w14:textId="77777777" w:rsidR="00100098" w:rsidRDefault="001253E4">
            <w:pPr>
              <w:spacing w:after="0"/>
              <w:jc w:val="center"/>
            </w:pPr>
            <m:oMathPara>
              <m:oMath>
                <m:r>
                  <m:rPr>
                    <m:scr m:val="script"/>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pos</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ln </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i</m:t>
                                </m:r>
                              </m:sub>
                            </m:sSub>
                          </m:e>
                        </m:acc>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 xml:space="preserve"> ln(1 - </m:t>
                        </m:r>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i</m:t>
                                </m:r>
                              </m:sub>
                            </m:sSub>
                          </m:e>
                        </m:acc>
                        <m:r>
                          <w:rPr>
                            <w:rFonts w:ascii="Cambria Math" w:hAnsi="Cambria Math"/>
                          </w:rPr>
                          <m:t>)</m:t>
                        </m:r>
                      </m:e>
                    </m:d>
                  </m:e>
                </m:nary>
                <m:r>
                  <w:rPr>
                    <w:rFonts w:ascii="Cambria Math" w:hAnsi="Cambria Math"/>
                  </w:rPr>
                  <m:t xml:space="preserve"> + Ω(θ)</m:t>
                </m:r>
              </m:oMath>
            </m:oMathPara>
          </w:p>
        </w:tc>
        <w:tc>
          <w:tcPr>
            <w:tcW w:w="619" w:type="dxa"/>
          </w:tcPr>
          <w:p w14:paraId="3EA2EA61" w14:textId="77777777" w:rsidR="00100098" w:rsidRDefault="001253E4">
            <w:pPr>
              <w:spacing w:after="0"/>
              <w:jc w:val="right"/>
            </w:pPr>
            <w:r>
              <w:rPr>
                <w:rFonts w:ascii="Times New Roman" w:hAnsi="Times New Roman"/>
                <w:sz w:val="19"/>
              </w:rPr>
              <w:t>(2)</w:t>
            </w:r>
          </w:p>
        </w:tc>
      </w:tr>
    </w:tbl>
    <w:p w14:paraId="0BF0E984" w14:textId="77777777" w:rsidR="00100098" w:rsidRDefault="001253E4">
      <w:pPr>
        <w:spacing w:after="0" w:line="204" w:lineRule="exact"/>
        <w:jc w:val="both"/>
      </w:pPr>
      <w:r>
        <w:rPr>
          <w:rFonts w:ascii="Times New Roman" w:hAnsi="Times New Roman"/>
          <w:sz w:val="19"/>
        </w:rPr>
        <w:t xml:space="preserve">where Ω(θ) = γ T + (1 / 2) λ ||w||^2 penalizes tree complexity. Because uncalibrated tree ensemble margins produce distorted probability distributions, PRIE applies Platt scaling over cross-validated out-of-fold log-odds margin scores </w:t>
      </w:r>
      <w:proofErr w:type="spellStart"/>
      <w:r>
        <w:rPr>
          <w:rFonts w:ascii="Times New Roman" w:hAnsi="Times New Roman"/>
          <w:sz w:val="19"/>
        </w:rPr>
        <w:t>z_i</w:t>
      </w:r>
      <w:proofErr w:type="spellEnd"/>
      <w:r>
        <w:rPr>
          <w:rFonts w:ascii="Times New Roman" w:hAnsi="Times New Roman"/>
          <w:sz w:val="19"/>
        </w:rPr>
        <w:t>:</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5376711D" w14:textId="77777777">
        <w:trPr>
          <w:jc w:val="center"/>
        </w:trPr>
        <w:tc>
          <w:tcPr>
            <w:tcW w:w="4248" w:type="dxa"/>
          </w:tcPr>
          <w:p w14:paraId="343B1B09" w14:textId="77777777" w:rsidR="00100098" w:rsidRDefault="00000000">
            <w:pPr>
              <w:spacing w:after="0"/>
              <w:jc w:val="center"/>
            </w:pPr>
            <m:oMathPara>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Y = 1 | z</m:t>
                    </m:r>
                  </m:e>
                </m:d>
                <m:r>
                  <w:rPr>
                    <w:rFonts w:ascii="Cambria Math" w:hAnsi="Cambria Math"/>
                  </w:rPr>
                  <m:t xml:space="preserve"> = σ(Az + B) = </m:t>
                </m:r>
                <m:f>
                  <m:fPr>
                    <m:ctrlPr>
                      <w:rPr>
                        <w:rFonts w:ascii="Cambria Math" w:hAnsi="Cambria Math"/>
                      </w:rPr>
                    </m:ctrlPr>
                  </m:fPr>
                  <m:num>
                    <m:r>
                      <w:rPr>
                        <w:rFonts w:ascii="Cambria Math" w:hAnsi="Cambria Math"/>
                      </w:rPr>
                      <m:t>1</m:t>
                    </m:r>
                  </m:num>
                  <m:den>
                    <m:r>
                      <w:rPr>
                        <w:rFonts w:ascii="Cambria Math" w:hAnsi="Cambria Math"/>
                      </w:rPr>
                      <m:t>1 + exp(-(Az + B))</m:t>
                    </m:r>
                  </m:den>
                </m:f>
              </m:oMath>
            </m:oMathPara>
          </w:p>
        </w:tc>
        <w:tc>
          <w:tcPr>
            <w:tcW w:w="619" w:type="dxa"/>
          </w:tcPr>
          <w:p w14:paraId="5A88F6F1" w14:textId="77777777" w:rsidR="00100098" w:rsidRDefault="001253E4">
            <w:pPr>
              <w:spacing w:after="0"/>
              <w:jc w:val="right"/>
            </w:pPr>
            <w:r>
              <w:rPr>
                <w:rFonts w:ascii="Times New Roman" w:hAnsi="Times New Roman"/>
                <w:sz w:val="19"/>
              </w:rPr>
              <w:t>(3)</w:t>
            </w:r>
          </w:p>
        </w:tc>
      </w:tr>
    </w:tbl>
    <w:p w14:paraId="01DE3F27" w14:textId="77777777" w:rsidR="00100098" w:rsidRDefault="001253E4">
      <w:pPr>
        <w:spacing w:after="0" w:line="204" w:lineRule="exact"/>
        <w:jc w:val="both"/>
      </w:pPr>
      <w:r>
        <w:rPr>
          <w:rFonts w:ascii="Times New Roman" w:hAnsi="Times New Roman"/>
          <w:sz w:val="19"/>
        </w:rPr>
        <w:t xml:space="preserve">Parameters A and B are estimated via scalar maximum likelihood optimization over validation partition </w:t>
      </w:r>
      <w:proofErr w:type="spellStart"/>
      <w:r>
        <w:rPr>
          <w:rFonts w:ascii="Times New Roman" w:hAnsi="Times New Roman"/>
          <w:sz w:val="19"/>
        </w:rPr>
        <w:t>D_val</w:t>
      </w:r>
      <w:proofErr w:type="spellEnd"/>
      <w:r>
        <w:rPr>
          <w:rFonts w:ascii="Times New Roman" w:hAnsi="Times New Roman"/>
          <w:sz w:val="19"/>
        </w:rPr>
        <w:t>.</w:t>
      </w:r>
    </w:p>
    <w:p w14:paraId="462977EF" w14:textId="77777777" w:rsidR="00100098" w:rsidRDefault="001253E4">
      <w:pPr>
        <w:keepNext/>
        <w:spacing w:before="70" w:after="20" w:line="190" w:lineRule="exact"/>
      </w:pPr>
      <w:r>
        <w:rPr>
          <w:rFonts w:ascii="Times New Roman" w:hAnsi="Times New Roman"/>
          <w:i/>
          <w:sz w:val="19"/>
        </w:rPr>
        <w:t>C. Explainable AI and Constrained Prescriptive Recourse</w:t>
      </w:r>
    </w:p>
    <w:p w14:paraId="3FEAF194" w14:textId="77777777" w:rsidR="00100098" w:rsidRDefault="001253E4">
      <w:pPr>
        <w:spacing w:after="0" w:line="204" w:lineRule="exact"/>
        <w:jc w:val="both"/>
      </w:pPr>
      <w:r>
        <w:rPr>
          <w:rFonts w:ascii="Times New Roman" w:hAnsi="Times New Roman"/>
          <w:sz w:val="19"/>
        </w:rPr>
        <w:t xml:space="preserve">PRIE deploys </w:t>
      </w:r>
      <w:proofErr w:type="spellStart"/>
      <w:r>
        <w:rPr>
          <w:rFonts w:ascii="Times New Roman" w:hAnsi="Times New Roman"/>
          <w:sz w:val="19"/>
        </w:rPr>
        <w:t>TreeSHAP</w:t>
      </w:r>
      <w:proofErr w:type="spellEnd"/>
      <w:r>
        <w:rPr>
          <w:rFonts w:ascii="Times New Roman" w:hAnsi="Times New Roman"/>
          <w:sz w:val="19"/>
        </w:rPr>
        <w:t xml:space="preserve"> to compute exact, local feature attributions in polynomial time O(T L D^2), where T is the number of trees, L is maximum leaves, and D is maximum tree depth:</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27255499" w14:textId="77777777">
        <w:trPr>
          <w:jc w:val="center"/>
        </w:trPr>
        <w:tc>
          <w:tcPr>
            <w:tcW w:w="4248" w:type="dxa"/>
          </w:tcPr>
          <w:p w14:paraId="33429EDF" w14:textId="77777777" w:rsidR="00100098" w:rsidRDefault="001253E4">
            <w:pPr>
              <w:spacing w:after="0"/>
              <w:jc w:val="center"/>
            </w:pPr>
            <m:oMathPara>
              <m:oMath>
                <m:r>
                  <w:rPr>
                    <w:rFonts w:ascii="Cambria Math" w:hAnsi="Cambria Math"/>
                  </w:rPr>
                  <m:t xml:space="preserve">f(x) = </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 xml:space="preserve"> + </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22</m:t>
                    </m:r>
                  </m:sup>
                  <m:e>
                    <m:sSub>
                      <m:sSubPr>
                        <m:ctrlPr>
                          <w:rPr>
                            <w:rFonts w:ascii="Cambria Math" w:hAnsi="Cambria Math"/>
                          </w:rPr>
                        </m:ctrlPr>
                      </m:sSubPr>
                      <m:e>
                        <m:r>
                          <w:rPr>
                            <w:rFonts w:ascii="Cambria Math" w:hAnsi="Cambria Math"/>
                          </w:rPr>
                          <m:t>ϕ</m:t>
                        </m:r>
                      </m:e>
                      <m:sub>
                        <m:r>
                          <w:rPr>
                            <w:rFonts w:ascii="Cambria Math" w:hAnsi="Cambria Math"/>
                          </w:rPr>
                          <m:t>j</m:t>
                        </m:r>
                      </m:sub>
                    </m:sSub>
                    <m:d>
                      <m:dPr>
                        <m:ctrlPr>
                          <w:rPr>
                            <w:rFonts w:ascii="Cambria Math" w:hAnsi="Cambria Math"/>
                          </w:rPr>
                        </m:ctrlPr>
                      </m:dPr>
                      <m:e>
                        <m:r>
                          <w:rPr>
                            <w:rFonts w:ascii="Cambria Math" w:hAnsi="Cambria Math"/>
                          </w:rPr>
                          <m:t>x</m:t>
                        </m:r>
                      </m:e>
                    </m:d>
                  </m:e>
                </m:nary>
              </m:oMath>
            </m:oMathPara>
          </w:p>
        </w:tc>
        <w:tc>
          <w:tcPr>
            <w:tcW w:w="619" w:type="dxa"/>
          </w:tcPr>
          <w:p w14:paraId="1DD59E44" w14:textId="77777777" w:rsidR="00100098" w:rsidRDefault="001253E4">
            <w:pPr>
              <w:spacing w:after="0"/>
              <w:jc w:val="right"/>
            </w:pPr>
            <w:r>
              <w:rPr>
                <w:rFonts w:ascii="Times New Roman" w:hAnsi="Times New Roman"/>
                <w:sz w:val="19"/>
              </w:rPr>
              <w:t>(4)</w:t>
            </w:r>
          </w:p>
        </w:tc>
      </w:tr>
    </w:tbl>
    <w:p w14:paraId="5E2B2668" w14:textId="77777777" w:rsidR="00100098" w:rsidRDefault="001253E4">
      <w:pPr>
        <w:spacing w:after="0" w:line="204" w:lineRule="exact"/>
        <w:ind w:firstLine="202"/>
        <w:jc w:val="both"/>
      </w:pPr>
      <w:r>
        <w:rPr>
          <w:rFonts w:ascii="Times New Roman" w:hAnsi="Times New Roman"/>
          <w:sz w:val="19"/>
        </w:rPr>
        <w:t xml:space="preserve">While SHAP provides post-hoc descriptive diagnosis, student remediation requires prescriptive recourse. PRIE couples </w:t>
      </w:r>
      <w:proofErr w:type="spellStart"/>
      <w:r>
        <w:rPr>
          <w:rFonts w:ascii="Times New Roman" w:hAnsi="Times New Roman"/>
          <w:sz w:val="19"/>
        </w:rPr>
        <w:t>TreeSHAP</w:t>
      </w:r>
      <w:proofErr w:type="spellEnd"/>
      <w:r>
        <w:rPr>
          <w:rFonts w:ascii="Times New Roman" w:hAnsi="Times New Roman"/>
          <w:sz w:val="19"/>
        </w:rPr>
        <w:t xml:space="preserve"> with constrained Diverse Counterfactual Explanations (</w:t>
      </w:r>
      <w:proofErr w:type="spellStart"/>
      <w:r>
        <w:rPr>
          <w:rFonts w:ascii="Times New Roman" w:hAnsi="Times New Roman"/>
          <w:sz w:val="19"/>
        </w:rPr>
        <w:t>DiCE</w:t>
      </w:r>
      <w:proofErr w:type="spellEnd"/>
      <w:r>
        <w:rPr>
          <w:rFonts w:ascii="Times New Roman" w:hAnsi="Times New Roman"/>
          <w:sz w:val="19"/>
        </w:rPr>
        <w:t xml:space="preserve">). For an at-risk student x, PRIE searches for the minimum-effort perturbation vector </w:t>
      </w:r>
      <w:proofErr w:type="spellStart"/>
      <w:r>
        <w:rPr>
          <w:rFonts w:ascii="Times New Roman" w:hAnsi="Times New Roman"/>
          <w:sz w:val="19"/>
        </w:rPr>
        <w:t>Δx</w:t>
      </w:r>
      <w:proofErr w:type="spellEnd"/>
      <w:r>
        <w:rPr>
          <w:rFonts w:ascii="Times New Roman" w:hAnsi="Times New Roman"/>
          <w:sz w:val="19"/>
        </w:rPr>
        <w:t xml:space="preserve"> that transitions prediction Ŷ from unplaced (0) to placed (1):</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5CB3508B" w14:textId="77777777">
        <w:trPr>
          <w:jc w:val="center"/>
        </w:trPr>
        <w:tc>
          <w:tcPr>
            <w:tcW w:w="4248" w:type="dxa"/>
          </w:tcPr>
          <w:p w14:paraId="386D3FCB" w14:textId="77777777" w:rsidR="00100098" w:rsidRDefault="00000000">
            <w:pPr>
              <w:spacing w:after="0"/>
              <w:jc w:val="cente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arg min</m:t>
                    </m:r>
                  </m:e>
                  <m:sub>
                    <m:r>
                      <w:rPr>
                        <w:rFonts w:ascii="Cambria Math" w:hAnsi="Cambria Math"/>
                      </w:rPr>
                      <m:t>c</m:t>
                    </m:r>
                  </m:sub>
                </m:sSub>
                <m:r>
                  <w:rPr>
                    <w:rFonts w:ascii="Cambria Math" w:hAnsi="Cambria Math"/>
                  </w:rPr>
                  <m:t xml:space="preserve"> loss(f(c),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1</m:t>
                        </m:r>
                      </m:sub>
                    </m:sSub>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j∈M</m:t>
                    </m:r>
                  </m:sub>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e>
                        </m:d>
                      </m:num>
                      <m:den>
                        <m:sSub>
                          <m:sSubPr>
                            <m:ctrlPr>
                              <w:rPr>
                                <w:rFonts w:ascii="Cambria Math" w:hAnsi="Cambria Math"/>
                              </w:rPr>
                            </m:ctrlPr>
                          </m:sSubPr>
                          <m:e>
                            <m:r>
                              <w:rPr>
                                <w:rFonts w:ascii="Cambria Math" w:hAnsi="Cambria Math"/>
                              </w:rPr>
                              <m:t>MAD</m:t>
                            </m:r>
                          </m:e>
                          <m:sub>
                            <m:r>
                              <w:rPr>
                                <w:rFonts w:ascii="Cambria Math" w:hAnsi="Cambria Math"/>
                              </w:rPr>
                              <m:t>j</m:t>
                            </m:r>
                          </m:sub>
                        </m:sSub>
                      </m:den>
                    </m:f>
                  </m:e>
                </m:nary>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 xml:space="preserve"> dpp(c)</m:t>
                </m:r>
              </m:oMath>
            </m:oMathPara>
          </w:p>
        </w:tc>
        <w:tc>
          <w:tcPr>
            <w:tcW w:w="619" w:type="dxa"/>
          </w:tcPr>
          <w:p w14:paraId="52352AAF" w14:textId="77777777" w:rsidR="00100098" w:rsidRDefault="001253E4">
            <w:pPr>
              <w:spacing w:after="0"/>
              <w:jc w:val="right"/>
            </w:pPr>
            <w:r>
              <w:rPr>
                <w:rFonts w:ascii="Times New Roman" w:hAnsi="Times New Roman"/>
                <w:sz w:val="19"/>
              </w:rPr>
              <w:t>(5)</w:t>
            </w:r>
          </w:p>
        </w:tc>
      </w:tr>
    </w:tbl>
    <w:p w14:paraId="6625BD95" w14:textId="77777777" w:rsidR="00100098" w:rsidRDefault="001253E4">
      <w:pPr>
        <w:spacing w:after="0" w:line="204" w:lineRule="exact"/>
        <w:jc w:val="both"/>
      </w:pPr>
      <w:r>
        <w:rPr>
          <w:rFonts w:ascii="Times New Roman" w:hAnsi="Times New Roman"/>
          <w:sz w:val="19"/>
        </w:rPr>
        <w:t>subject to hard institutional and cognitive constraints: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19840141" w14:textId="77777777">
        <w:trPr>
          <w:jc w:val="center"/>
        </w:trPr>
        <w:tc>
          <w:tcPr>
            <w:tcW w:w="4248" w:type="dxa"/>
          </w:tcPr>
          <w:p w14:paraId="50E6FC35" w14:textId="77777777" w:rsidR="00100098" w:rsidRDefault="00000000">
            <w:pPr>
              <w:spacing w:after="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∀j ∈ I,   ||Δx||</m:t>
                </m:r>
                <m:sSub>
                  <m:sSubPr>
                    <m:ctrlPr>
                      <w:rPr>
                        <w:rFonts w:ascii="Cambria Math" w:hAnsi="Cambria Math"/>
                      </w:rPr>
                    </m:ctrlPr>
                  </m:sSubPr>
                  <m:e/>
                  <m:sub>
                    <m:r>
                      <w:rPr>
                        <w:rFonts w:ascii="Cambria Math" w:hAnsi="Cambria Math"/>
                      </w:rPr>
                      <m:t>0</m:t>
                    </m:r>
                  </m:sub>
                </m:sSub>
                <m:r>
                  <w:rPr>
                    <w:rFonts w:ascii="Cambria Math" w:hAnsi="Cambria Math"/>
                  </w:rPr>
                  <m:t xml:space="preserve"> ≤ 3.0,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[0.0, 1.0]  ∀j ∈ M</m:t>
                </m:r>
              </m:oMath>
            </m:oMathPara>
          </w:p>
        </w:tc>
        <w:tc>
          <w:tcPr>
            <w:tcW w:w="619" w:type="dxa"/>
          </w:tcPr>
          <w:p w14:paraId="4866597E" w14:textId="77777777" w:rsidR="00100098" w:rsidRDefault="001253E4">
            <w:pPr>
              <w:spacing w:after="0"/>
              <w:jc w:val="right"/>
            </w:pPr>
            <w:r>
              <w:rPr>
                <w:rFonts w:ascii="Times New Roman" w:hAnsi="Times New Roman"/>
                <w:sz w:val="19"/>
              </w:rPr>
              <w:t>(6)</w:t>
            </w:r>
          </w:p>
        </w:tc>
      </w:tr>
    </w:tbl>
    <w:p w14:paraId="7830E337" w14:textId="77777777" w:rsidR="00100098" w:rsidRDefault="001253E4">
      <w:pPr>
        <w:spacing w:after="0" w:line="204" w:lineRule="exact"/>
        <w:jc w:val="both"/>
      </w:pPr>
      <w:r>
        <w:rPr>
          <w:rFonts w:ascii="Times New Roman" w:hAnsi="Times New Roman"/>
          <w:sz w:val="19"/>
        </w:rPr>
        <w:t xml:space="preserve">Here, I = {F_17, F_18} represents immutable institutional attributes (e.g., engineering branch), M represents actionable features (e.g., coding volume, mock interview scores), and </w:t>
      </w:r>
      <w:proofErr w:type="spellStart"/>
      <w:r>
        <w:rPr>
          <w:rFonts w:ascii="Times New Roman" w:hAnsi="Times New Roman"/>
          <w:sz w:val="19"/>
        </w:rPr>
        <w:t>MAD_j</w:t>
      </w:r>
      <w:proofErr w:type="spellEnd"/>
      <w:r>
        <w:rPr>
          <w:rFonts w:ascii="Times New Roman" w:hAnsi="Times New Roman"/>
          <w:sz w:val="19"/>
        </w:rPr>
        <w:t xml:space="preserve"> is the median absolute deviation of feature j. Constraining L_0 sparsity to ||</w:t>
      </w:r>
      <w:proofErr w:type="spellStart"/>
      <w:r>
        <w:rPr>
          <w:rFonts w:ascii="Times New Roman" w:hAnsi="Times New Roman"/>
          <w:sz w:val="19"/>
        </w:rPr>
        <w:t>Δx</w:t>
      </w:r>
      <w:proofErr w:type="spellEnd"/>
      <w:r>
        <w:rPr>
          <w:rFonts w:ascii="Times New Roman" w:hAnsi="Times New Roman"/>
          <w:sz w:val="19"/>
        </w:rPr>
        <w:t>||_0 ≤ 3.0 guarantees that recommendations remain cognitively manageable.</w:t>
      </w:r>
      <w:r>
        <w:br w:type="page"/>
      </w:r>
    </w:p>
    <w:p w14:paraId="0689B590" w14:textId="77777777" w:rsidR="00100098" w:rsidRDefault="001253E4">
      <w:pPr>
        <w:keepNext/>
        <w:spacing w:before="70" w:after="20" w:line="190" w:lineRule="exact"/>
      </w:pPr>
      <w:r>
        <w:rPr>
          <w:rFonts w:ascii="Times New Roman" w:hAnsi="Times New Roman"/>
          <w:i/>
          <w:sz w:val="19"/>
        </w:rPr>
        <w:lastRenderedPageBreak/>
        <w:t>D. Multimodal Assessment, Parsing, and Curricular Scheduling</w:t>
      </w:r>
    </w:p>
    <w:p w14:paraId="6C06FD19" w14:textId="77777777" w:rsidR="00100098" w:rsidRDefault="001253E4">
      <w:pPr>
        <w:keepNext/>
        <w:spacing w:before="10" w:after="20" w:line="200" w:lineRule="exact"/>
        <w:jc w:val="both"/>
      </w:pPr>
      <w:r>
        <w:rPr>
          <w:rFonts w:ascii="Times New Roman" w:hAnsi="Times New Roman"/>
          <w:i/>
          <w:sz w:val="19"/>
        </w:rPr>
        <w:t xml:space="preserve">1) Spatial Resume Parsing: </w:t>
      </w:r>
      <w:r>
        <w:rPr>
          <w:rFonts w:ascii="Times New Roman" w:hAnsi="Times New Roman"/>
          <w:sz w:val="19"/>
        </w:rPr>
        <w:t xml:space="preserve">To prevent column interleaving in multi-column engineering resumes, PRIE extracts 2D spatial coordinate bounding boxes (x_0, y_0, x_1, y_1) via </w:t>
      </w:r>
      <w:proofErr w:type="spellStart"/>
      <w:r>
        <w:rPr>
          <w:rFonts w:ascii="Times New Roman" w:hAnsi="Times New Roman"/>
          <w:sz w:val="19"/>
        </w:rPr>
        <w:t>PyMuPDF</w:t>
      </w:r>
      <w:proofErr w:type="spellEnd"/>
      <w:r>
        <w:rPr>
          <w:rFonts w:ascii="Times New Roman" w:hAnsi="Times New Roman"/>
          <w:sz w:val="19"/>
        </w:rPr>
        <w:t xml:space="preserve">. Geometric layout analysis clusters tokens into topological reading blocks prior to entity extraction, preserving structural section integrity. Extracted proficiencies are mapped to target job vectors using cosine similarity over </w:t>
      </w:r>
      <w:proofErr w:type="spellStart"/>
      <w:r>
        <w:rPr>
          <w:rFonts w:ascii="Times New Roman" w:hAnsi="Times New Roman"/>
          <w:sz w:val="19"/>
        </w:rPr>
        <w:t>MiniLM</w:t>
      </w:r>
      <w:proofErr w:type="spellEnd"/>
      <w:r>
        <w:rPr>
          <w:rFonts w:ascii="Times New Roman" w:hAnsi="Times New Roman"/>
          <w:sz w:val="19"/>
        </w:rPr>
        <w:t xml:space="preserve"> embeddings.</w:t>
      </w:r>
    </w:p>
    <w:p w14:paraId="6328933A" w14:textId="77777777" w:rsidR="00100098" w:rsidRDefault="001253E4">
      <w:pPr>
        <w:keepNext/>
        <w:spacing w:before="10" w:after="20" w:line="200" w:lineRule="exact"/>
        <w:jc w:val="both"/>
      </w:pPr>
      <w:r>
        <w:rPr>
          <w:rFonts w:ascii="Times New Roman" w:hAnsi="Times New Roman"/>
          <w:i/>
          <w:sz w:val="19"/>
        </w:rPr>
        <w:t xml:space="preserve">2) Multimodal Mock Interview Assessment: </w:t>
      </w:r>
      <w:r>
        <w:rPr>
          <w:rFonts w:ascii="Times New Roman" w:hAnsi="Times New Roman"/>
          <w:sz w:val="19"/>
        </w:rPr>
        <w:t>The interview subsystem ingests concurrent video, acoustic, and lexical streams. Feature extraction executes three parallel pipelines: acoustic prosody (</w:t>
      </w:r>
      <w:proofErr w:type="spellStart"/>
      <w:r>
        <w:rPr>
          <w:rFonts w:ascii="Times New Roman" w:hAnsi="Times New Roman"/>
          <w:sz w:val="19"/>
        </w:rPr>
        <w:t>S_aud</w:t>
      </w:r>
      <w:proofErr w:type="spellEnd"/>
      <w:r>
        <w:rPr>
          <w:rFonts w:ascii="Times New Roman" w:hAnsi="Times New Roman"/>
          <w:sz w:val="19"/>
        </w:rPr>
        <w:t>: pitch, jitter, shimmer), visual composure (</w:t>
      </w:r>
      <w:proofErr w:type="spellStart"/>
      <w:r>
        <w:rPr>
          <w:rFonts w:ascii="Times New Roman" w:hAnsi="Times New Roman"/>
          <w:sz w:val="19"/>
        </w:rPr>
        <w:t>S_vid</w:t>
      </w:r>
      <w:proofErr w:type="spellEnd"/>
      <w:r>
        <w:rPr>
          <w:rFonts w:ascii="Times New Roman" w:hAnsi="Times New Roman"/>
          <w:sz w:val="19"/>
        </w:rPr>
        <w:t>: head pose deflection, gaze fixation, composure stability), and lexical coherence (</w:t>
      </w:r>
      <w:proofErr w:type="spellStart"/>
      <w:r>
        <w:rPr>
          <w:rFonts w:ascii="Times New Roman" w:hAnsi="Times New Roman"/>
          <w:sz w:val="19"/>
        </w:rPr>
        <w:t>S_spk</w:t>
      </w:r>
      <w:proofErr w:type="spellEnd"/>
      <w:r>
        <w:rPr>
          <w:rFonts w:ascii="Times New Roman" w:hAnsi="Times New Roman"/>
          <w:sz w:val="19"/>
        </w:rPr>
        <w:t>: vocabulary richness, filler word density, response relevance). Weighted late fusion combines modalities: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676557D4" w14:textId="77777777">
        <w:trPr>
          <w:jc w:val="center"/>
        </w:trPr>
        <w:tc>
          <w:tcPr>
            <w:tcW w:w="4248" w:type="dxa"/>
          </w:tcPr>
          <w:p w14:paraId="26A50EAF" w14:textId="77777777" w:rsidR="00100098" w:rsidRDefault="00000000">
            <w:pPr>
              <w:spacing w:after="0"/>
              <w:jc w:val="center"/>
            </w:pPr>
            <m:oMathPara>
              <m:oMath>
                <m:sSub>
                  <m:sSubPr>
                    <m:ctrlPr>
                      <w:rPr>
                        <w:rFonts w:ascii="Cambria Math" w:hAnsi="Cambria Math"/>
                      </w:rPr>
                    </m:ctrlPr>
                  </m:sSubPr>
                  <m:e>
                    <m:r>
                      <w:rPr>
                        <w:rFonts w:ascii="Cambria Math" w:hAnsi="Cambria Math"/>
                      </w:rPr>
                      <m:t>S</m:t>
                    </m:r>
                  </m:e>
                  <m:sub>
                    <m:r>
                      <w:rPr>
                        <w:rFonts w:ascii="Cambria Math" w:hAnsi="Cambria Math"/>
                      </w:rPr>
                      <m:t>fused</m:t>
                    </m:r>
                  </m:sub>
                </m:sSub>
                <m:r>
                  <w:rPr>
                    <w:rFonts w:ascii="Cambria Math" w:hAnsi="Cambria Math"/>
                  </w:rPr>
                  <m:t xml:space="preserve"> = 0.35 · </m:t>
                </m:r>
                <m:sSub>
                  <m:sSubPr>
                    <m:ctrlPr>
                      <w:rPr>
                        <w:rFonts w:ascii="Cambria Math" w:hAnsi="Cambria Math"/>
                      </w:rPr>
                    </m:ctrlPr>
                  </m:sSubPr>
                  <m:e>
                    <m:r>
                      <w:rPr>
                        <w:rFonts w:ascii="Cambria Math" w:hAnsi="Cambria Math"/>
                      </w:rPr>
                      <m:t>S</m:t>
                    </m:r>
                  </m:e>
                  <m:sub>
                    <m:r>
                      <w:rPr>
                        <w:rFonts w:ascii="Cambria Math" w:hAnsi="Cambria Math"/>
                      </w:rPr>
                      <m:t>aud</m:t>
                    </m:r>
                  </m:sub>
                </m:sSub>
                <m:r>
                  <w:rPr>
                    <w:rFonts w:ascii="Cambria Math" w:hAnsi="Cambria Math"/>
                  </w:rPr>
                  <m:t xml:space="preserve"> + 0.35 · </m:t>
                </m:r>
                <m:sSub>
                  <m:sSubPr>
                    <m:ctrlPr>
                      <w:rPr>
                        <w:rFonts w:ascii="Cambria Math" w:hAnsi="Cambria Math"/>
                      </w:rPr>
                    </m:ctrlPr>
                  </m:sSubPr>
                  <m:e>
                    <m:r>
                      <w:rPr>
                        <w:rFonts w:ascii="Cambria Math" w:hAnsi="Cambria Math"/>
                      </w:rPr>
                      <m:t>S</m:t>
                    </m:r>
                  </m:e>
                  <m:sub>
                    <m:r>
                      <w:rPr>
                        <w:rFonts w:ascii="Cambria Math" w:hAnsi="Cambria Math"/>
                      </w:rPr>
                      <m:t>vid</m:t>
                    </m:r>
                  </m:sub>
                </m:sSub>
                <m:r>
                  <w:rPr>
                    <w:rFonts w:ascii="Cambria Math" w:hAnsi="Cambria Math"/>
                  </w:rPr>
                  <m:t xml:space="preserve"> + 0.30 · </m:t>
                </m:r>
                <m:sSub>
                  <m:sSubPr>
                    <m:ctrlPr>
                      <w:rPr>
                        <w:rFonts w:ascii="Cambria Math" w:hAnsi="Cambria Math"/>
                      </w:rPr>
                    </m:ctrlPr>
                  </m:sSubPr>
                  <m:e>
                    <m:r>
                      <w:rPr>
                        <w:rFonts w:ascii="Cambria Math" w:hAnsi="Cambria Math"/>
                      </w:rPr>
                      <m:t>S</m:t>
                    </m:r>
                  </m:e>
                  <m:sub>
                    <m:r>
                      <w:rPr>
                        <w:rFonts w:ascii="Cambria Math" w:hAnsi="Cambria Math"/>
                      </w:rPr>
                      <m:t>spk</m:t>
                    </m:r>
                  </m:sub>
                </m:sSub>
              </m:oMath>
            </m:oMathPara>
          </w:p>
        </w:tc>
        <w:tc>
          <w:tcPr>
            <w:tcW w:w="619" w:type="dxa"/>
          </w:tcPr>
          <w:p w14:paraId="253117A8" w14:textId="77777777" w:rsidR="00100098" w:rsidRDefault="001253E4">
            <w:pPr>
              <w:spacing w:after="0"/>
              <w:jc w:val="right"/>
            </w:pPr>
            <w:r>
              <w:rPr>
                <w:rFonts w:ascii="Times New Roman" w:hAnsi="Times New Roman"/>
                <w:sz w:val="19"/>
              </w:rPr>
              <w:t>(7)</w:t>
            </w:r>
          </w:p>
        </w:tc>
      </w:tr>
    </w:tbl>
    <w:p w14:paraId="35E74B04" w14:textId="77777777" w:rsidR="00100098" w:rsidRDefault="001253E4">
      <w:pPr>
        <w:spacing w:after="0" w:line="204" w:lineRule="exact"/>
        <w:jc w:val="both"/>
      </w:pPr>
      <w:r>
        <w:rPr>
          <w:rFonts w:ascii="Times New Roman" w:hAnsi="Times New Roman"/>
          <w:sz w:val="19"/>
        </w:rPr>
        <w:t>Turn-taking latency is constrained via chunked audio buffer streaming, bounding round-trip latency to &lt; 1.5 s.</w:t>
      </w:r>
    </w:p>
    <w:p w14:paraId="05359A9E" w14:textId="77777777" w:rsidR="00100098" w:rsidRDefault="001253E4">
      <w:pPr>
        <w:keepNext/>
        <w:spacing w:before="10" w:after="20" w:line="200" w:lineRule="exact"/>
        <w:jc w:val="both"/>
      </w:pPr>
      <w:r>
        <w:rPr>
          <w:rFonts w:ascii="Times New Roman" w:hAnsi="Times New Roman"/>
          <w:i/>
          <w:sz w:val="19"/>
        </w:rPr>
        <w:t xml:space="preserve">3) Topological Curricular Roadmap Scheduling: </w:t>
      </w:r>
      <w:r>
        <w:rPr>
          <w:rFonts w:ascii="Times New Roman" w:hAnsi="Times New Roman"/>
          <w:sz w:val="19"/>
        </w:rPr>
        <w:t>Identified competency gaps trigger personalized learning pathways over a 38-node computer science concept knowledge graph (G = (V, E)). To avoid cognitive overload, learning units strictly obey prerequisite precedence constraints: (u, v) ∈ E indicates that concept u must precede concept v. PRIE applies Kahn's topological sorting algorithm: deficient concept vertices with in-degree zero are iteratively scheduled into sequence S, updating downstream prerequisite in-degrees until the graph is cleared. Graph acyclicity guarantees a valid progression with exactly zero prerequisite precedence violations (0.0%). Curriculum content retrieval is augmented via a 1,420-passage vector library gated by cosine similarity thresholding (τ = 0.70) to reject out-of-domain queries.</w:t>
      </w:r>
    </w:p>
    <w:p w14:paraId="747961C8" w14:textId="77777777" w:rsidR="00100098" w:rsidRDefault="001253E4">
      <w:pPr>
        <w:keepNext/>
        <w:spacing w:before="100" w:after="30" w:line="190" w:lineRule="exact"/>
        <w:jc w:val="center"/>
      </w:pPr>
      <w:r>
        <w:rPr>
          <w:rFonts w:ascii="Times New Roman" w:hAnsi="Times New Roman"/>
          <w:b/>
          <w:sz w:val="19"/>
        </w:rPr>
        <w:t>IV. RESULTS AND DISCUSSION</w:t>
      </w:r>
    </w:p>
    <w:p w14:paraId="6FA9334F" w14:textId="77777777" w:rsidR="00100098" w:rsidRDefault="001253E4">
      <w:pPr>
        <w:keepNext/>
        <w:spacing w:before="70" w:after="20" w:line="190" w:lineRule="exact"/>
      </w:pPr>
      <w:r>
        <w:rPr>
          <w:rFonts w:ascii="Times New Roman" w:hAnsi="Times New Roman"/>
          <w:i/>
          <w:sz w:val="19"/>
        </w:rPr>
        <w:t>A. Experimental Setup and Evaluation Protocol</w:t>
      </w:r>
    </w:p>
    <w:p w14:paraId="49224F11" w14:textId="77777777" w:rsidR="00100098" w:rsidRDefault="001253E4">
      <w:pPr>
        <w:spacing w:after="0" w:line="204" w:lineRule="exact"/>
        <w:jc w:val="both"/>
      </w:pPr>
      <w:r>
        <w:rPr>
          <w:rFonts w:ascii="Times New Roman" w:hAnsi="Times New Roman"/>
          <w:sz w:val="19"/>
        </w:rPr>
        <w:t>Experiments were conducted using the certified PRIE research codebase. Evaluation datasets and protocols are explicitly defined:</w:t>
      </w:r>
    </w:p>
    <w:p w14:paraId="44401245" w14:textId="77777777" w:rsidR="00100098" w:rsidRDefault="001253E4">
      <w:pPr>
        <w:spacing w:after="20" w:line="200" w:lineRule="exact"/>
        <w:ind w:left="202" w:hanging="202"/>
        <w:jc w:val="both"/>
      </w:pPr>
      <w:r>
        <w:rPr>
          <w:rFonts w:ascii="Times New Roman" w:hAnsi="Times New Roman"/>
          <w:i/>
          <w:sz w:val="19"/>
        </w:rPr>
        <w:t xml:space="preserve">•   Synthetic Prediction Cohort (DS-SYNTH-01, N = 2,500): </w:t>
      </w:r>
      <w:r>
        <w:rPr>
          <w:rFonts w:ascii="Times New Roman" w:hAnsi="Times New Roman"/>
          <w:sz w:val="19"/>
        </w:rPr>
        <w:t>Generated via Gaussian copula preserving empirical covariance structures across 22 engineering student features, matching observed placement distributions (65.2% placed, 34.8% unplaced). The cohort is partitioned into 80% training (N = 2,000), 10% validation (N = 250), and 10% quarantined test (N = 250 per seed) subsets across five random seeds {42, 123, 456, 789, 2026}.</w:t>
      </w:r>
    </w:p>
    <w:p w14:paraId="6909CBC3" w14:textId="77777777" w:rsidR="00100098" w:rsidRDefault="001253E4">
      <w:pPr>
        <w:spacing w:after="20" w:line="200" w:lineRule="exact"/>
        <w:ind w:left="202" w:hanging="202"/>
        <w:jc w:val="both"/>
      </w:pPr>
      <w:r>
        <w:rPr>
          <w:rFonts w:ascii="Times New Roman" w:hAnsi="Times New Roman"/>
          <w:i/>
          <w:sz w:val="19"/>
        </w:rPr>
        <w:t xml:space="preserve">•   Simulated Interview Cohort (DS-INTERVIEW-SIM, N = 50): </w:t>
      </w:r>
      <w:r>
        <w:rPr>
          <w:rFonts w:ascii="Times New Roman" w:hAnsi="Times New Roman"/>
          <w:sz w:val="19"/>
        </w:rPr>
        <w:t>50 simulated student interview sessions evaluating acoustic jitter, facial composure, and lexical coherence across varied sensory noise levels.</w:t>
      </w:r>
      <w:r>
        <w:br w:type="column"/>
      </w:r>
    </w:p>
    <w:p w14:paraId="37DAEADB" w14:textId="0CD91324" w:rsidR="00100098" w:rsidRDefault="0025146D">
      <w:pPr>
        <w:spacing w:after="20"/>
        <w:jc w:val="center"/>
      </w:pPr>
      <w:r>
        <w:rPr>
          <w:noProof/>
        </w:rPr>
        <w:drawing>
          <wp:inline distT="0" distB="0" distL="0" distR="0" wp14:anchorId="7EC00505" wp14:editId="6F208FAD">
            <wp:extent cx="3048000" cy="1460500"/>
            <wp:effectExtent l="0" t="0" r="0" b="6350"/>
            <wp:docPr id="83528733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470A66D" w14:textId="77777777" w:rsidR="00100098" w:rsidRDefault="001253E4">
      <w:pPr>
        <w:spacing w:before="20" w:after="60" w:line="160" w:lineRule="exact"/>
        <w:jc w:val="both"/>
      </w:pPr>
      <w:r>
        <w:rPr>
          <w:rFonts w:ascii="Times New Roman" w:hAnsi="Times New Roman"/>
          <w:sz w:val="15"/>
        </w:rPr>
        <w:t>Fig. 2. Reliability diagram on hold-out test evaluation. Platt scaling contracts Expected Calibration Error from 0.0370 to 0.0212 (Seed 42 holdout) and from 0.0570±0.0082 to 0.0350±0.0057 across the 5-seed battery, aligning confidence with empirical accuracy.</w:t>
      </w:r>
    </w:p>
    <w:p w14:paraId="50AD9FC1" w14:textId="77777777" w:rsidR="00100098" w:rsidRDefault="001253E4">
      <w:pPr>
        <w:spacing w:after="20" w:line="200" w:lineRule="exact"/>
        <w:ind w:left="202" w:hanging="202"/>
        <w:jc w:val="both"/>
      </w:pPr>
      <w:r>
        <w:rPr>
          <w:rFonts w:ascii="Times New Roman" w:hAnsi="Times New Roman"/>
          <w:i/>
          <w:sz w:val="19"/>
        </w:rPr>
        <w:t xml:space="preserve">•   Knowledge Graph and RAG Library: </w:t>
      </w:r>
      <w:r>
        <w:rPr>
          <w:rFonts w:ascii="Times New Roman" w:hAnsi="Times New Roman"/>
          <w:sz w:val="19"/>
        </w:rPr>
        <w:t>A 38-node CS concept DAG containing 45 prerequisite directed edges, and a curated library of 1,420 curriculum passages.</w:t>
      </w:r>
    </w:p>
    <w:p w14:paraId="2FD68821" w14:textId="77777777" w:rsidR="00100098" w:rsidRDefault="001253E4">
      <w:pPr>
        <w:spacing w:after="0" w:line="204" w:lineRule="exact"/>
        <w:ind w:firstLine="202"/>
        <w:jc w:val="both"/>
      </w:pPr>
      <w:r>
        <w:rPr>
          <w:rFonts w:ascii="Times New Roman" w:hAnsi="Times New Roman"/>
          <w:sz w:val="19"/>
        </w:rPr>
        <w:t>Model probability reliability is quantified via Expected Calibration Error (ECE) across M = 10 confidence bins:</w:t>
      </w:r>
    </w:p>
    <w:tbl>
      <w:tblPr>
        <w:tblW w:w="0" w:type="auto"/>
        <w:jc w:val="center"/>
        <w:tblCellMar>
          <w:left w:w="0" w:type="dxa"/>
          <w:right w:w="0" w:type="dxa"/>
        </w:tblCellMar>
        <w:tblLook w:val="04A0" w:firstRow="1" w:lastRow="0" w:firstColumn="1" w:lastColumn="0" w:noHBand="0" w:noVBand="1"/>
      </w:tblPr>
      <w:tblGrid>
        <w:gridCol w:w="4248"/>
        <w:gridCol w:w="619"/>
      </w:tblGrid>
      <w:tr w:rsidR="00100098" w14:paraId="0D311624" w14:textId="77777777">
        <w:trPr>
          <w:jc w:val="center"/>
        </w:trPr>
        <w:tc>
          <w:tcPr>
            <w:tcW w:w="4248" w:type="dxa"/>
          </w:tcPr>
          <w:p w14:paraId="54312BBC" w14:textId="77777777" w:rsidR="00100098" w:rsidRDefault="001253E4">
            <w:pPr>
              <w:spacing w:after="0"/>
              <w:jc w:val="center"/>
            </w:pPr>
            <m:oMathPara>
              <m:oMath>
                <m:r>
                  <w:rPr>
                    <w:rFonts w:ascii="Cambria Math" w:hAnsi="Cambria Math"/>
                  </w:rPr>
                  <m:t xml:space="preserve">ECE = </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d>
                      <m:dPr>
                        <m:begChr m:val="|"/>
                        <m:endChr m:val="|"/>
                        <m:ctrlPr>
                          <w:rPr>
                            <w:rFonts w:ascii="Cambria Math" w:hAnsi="Cambria Math"/>
                          </w:rPr>
                        </m:ctrlPr>
                      </m:dPr>
                      <m:e>
                        <m:r>
                          <w:rPr>
                            <w:rFonts w:ascii="Cambria Math" w:hAnsi="Cambria Math"/>
                          </w:rPr>
                          <m:t>acc(</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 - conf(</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e>
                    </m:d>
                  </m:e>
                </m:nary>
              </m:oMath>
            </m:oMathPara>
          </w:p>
        </w:tc>
        <w:tc>
          <w:tcPr>
            <w:tcW w:w="619" w:type="dxa"/>
          </w:tcPr>
          <w:p w14:paraId="7D67ABA7" w14:textId="77777777" w:rsidR="00100098" w:rsidRDefault="001253E4">
            <w:pPr>
              <w:spacing w:after="0"/>
              <w:jc w:val="right"/>
            </w:pPr>
            <w:r>
              <w:rPr>
                <w:rFonts w:ascii="Times New Roman" w:hAnsi="Times New Roman"/>
                <w:sz w:val="19"/>
              </w:rPr>
              <w:t>(8)</w:t>
            </w:r>
          </w:p>
        </w:tc>
      </w:tr>
    </w:tbl>
    <w:p w14:paraId="2F2B08EB" w14:textId="77777777" w:rsidR="00100098" w:rsidRDefault="001253E4">
      <w:pPr>
        <w:spacing w:after="0" w:line="204" w:lineRule="exact"/>
        <w:jc w:val="both"/>
      </w:pPr>
      <w:r>
        <w:rPr>
          <w:rFonts w:ascii="Times New Roman" w:hAnsi="Times New Roman"/>
          <w:sz w:val="19"/>
        </w:rPr>
        <w:t xml:space="preserve">and Brier score loss: </w:t>
      </w:r>
      <m:oMath>
        <m:r>
          <w:rPr>
            <w:rFonts w:ascii="Cambria Math" w:hAnsi="Cambria Math"/>
          </w:rPr>
          <m:t xml:space="preserve">BS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p</m:t>
                            </m:r>
                          </m:e>
                          <m:sub>
                            <m:r>
                              <w:rPr>
                                <w:rFonts w:ascii="Cambria Math" w:hAnsi="Cambria Math"/>
                              </w:rPr>
                              <m:t>i</m:t>
                            </m:r>
                          </m:sub>
                        </m:sSub>
                      </m:e>
                    </m:acc>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rPr>
          <w:rFonts w:ascii="Times New Roman" w:hAnsi="Times New Roman"/>
          <w:sz w:val="19"/>
        </w:rPr>
        <w:t>.</w:t>
      </w:r>
    </w:p>
    <w:p w14:paraId="2101EECC" w14:textId="77777777" w:rsidR="00100098" w:rsidRDefault="001253E4">
      <w:pPr>
        <w:keepNext/>
        <w:spacing w:before="70" w:after="20" w:line="190" w:lineRule="exact"/>
      </w:pPr>
      <w:r>
        <w:rPr>
          <w:rFonts w:ascii="Times New Roman" w:hAnsi="Times New Roman"/>
          <w:i/>
          <w:sz w:val="19"/>
        </w:rPr>
        <w:t>B. Predictive Performance and Calibration Uplift</w:t>
      </w:r>
    </w:p>
    <w:p w14:paraId="6232D043" w14:textId="77777777" w:rsidR="00100098" w:rsidRDefault="001253E4">
      <w:pPr>
        <w:spacing w:after="0" w:line="204" w:lineRule="exact"/>
        <w:jc w:val="both"/>
      </w:pPr>
      <w:r>
        <w:rPr>
          <w:rFonts w:ascii="Times New Roman" w:hAnsi="Times New Roman"/>
          <w:sz w:val="19"/>
        </w:rPr>
        <w:t xml:space="preserve">Table I compares the proposed Platt-calibrated </w:t>
      </w:r>
      <w:proofErr w:type="spellStart"/>
      <w:r>
        <w:rPr>
          <w:rFonts w:ascii="Times New Roman" w:hAnsi="Times New Roman"/>
          <w:sz w:val="19"/>
        </w:rPr>
        <w:t>XGBoost</w:t>
      </w:r>
      <w:proofErr w:type="spellEnd"/>
      <w:r>
        <w:rPr>
          <w:rFonts w:ascii="Times New Roman" w:hAnsi="Times New Roman"/>
          <w:sz w:val="19"/>
        </w:rPr>
        <w:t xml:space="preserve"> classifier against standard baseline architectures on DS-SYNTH-01.</w:t>
      </w:r>
    </w:p>
    <w:p w14:paraId="526C9778" w14:textId="77777777" w:rsidR="00100098" w:rsidRDefault="001253E4">
      <w:pPr>
        <w:keepNext/>
        <w:spacing w:before="60" w:after="40"/>
        <w:jc w:val="center"/>
      </w:pPr>
      <w:r>
        <w:rPr>
          <w:rFonts w:ascii="Times New Roman" w:hAnsi="Times New Roman"/>
          <w:b/>
          <w:sz w:val="16"/>
        </w:rPr>
        <w:t>TABLE I. MODEL PERFORMANCE COMPARISON ON DS-SYNTH-01 (N = 2,500)</w:t>
      </w:r>
    </w:p>
    <w:tbl>
      <w:tblPr>
        <w:tblW w:w="0" w:type="auto"/>
        <w:jc w:val="center"/>
        <w:tblBorders>
          <w:top w:val="single" w:sz="8" w:space="0" w:color="000000"/>
          <w:bottom w:val="single" w:sz="8" w:space="0" w:color="000000"/>
        </w:tblBorders>
        <w:tblCellMar>
          <w:top w:w="10" w:type="dxa"/>
          <w:left w:w="20" w:type="dxa"/>
          <w:bottom w:w="10" w:type="dxa"/>
          <w:right w:w="20" w:type="dxa"/>
        </w:tblCellMar>
        <w:tblLook w:val="04A0" w:firstRow="1" w:lastRow="0" w:firstColumn="1" w:lastColumn="0" w:noHBand="0" w:noVBand="1"/>
      </w:tblPr>
      <w:tblGrid>
        <w:gridCol w:w="1512"/>
        <w:gridCol w:w="835"/>
        <w:gridCol w:w="835"/>
        <w:gridCol w:w="835"/>
        <w:gridCol w:w="432"/>
        <w:gridCol w:w="432"/>
      </w:tblGrid>
      <w:tr w:rsidR="00100098" w14:paraId="23870DF7" w14:textId="77777777">
        <w:trPr>
          <w:jc w:val="center"/>
        </w:trPr>
        <w:tc>
          <w:tcPr>
            <w:tcW w:w="1512" w:type="dxa"/>
            <w:tcBorders>
              <w:bottom w:val="single" w:sz="6" w:space="0" w:color="000000"/>
            </w:tcBorders>
          </w:tcPr>
          <w:p w14:paraId="2AFBBD79" w14:textId="77777777" w:rsidR="00100098" w:rsidRDefault="001253E4">
            <w:pPr>
              <w:spacing w:before="20" w:after="20"/>
            </w:pPr>
            <w:r>
              <w:rPr>
                <w:rFonts w:ascii="Times New Roman" w:hAnsi="Times New Roman"/>
                <w:b/>
                <w:sz w:val="13"/>
              </w:rPr>
              <w:t>Model Architecture</w:t>
            </w:r>
          </w:p>
        </w:tc>
        <w:tc>
          <w:tcPr>
            <w:tcW w:w="835" w:type="dxa"/>
            <w:tcBorders>
              <w:bottom w:val="single" w:sz="6" w:space="0" w:color="000000"/>
            </w:tcBorders>
          </w:tcPr>
          <w:p w14:paraId="16A08D7F" w14:textId="77777777" w:rsidR="00100098" w:rsidRDefault="001253E4">
            <w:pPr>
              <w:spacing w:before="20" w:after="20"/>
              <w:jc w:val="center"/>
            </w:pPr>
            <w:r>
              <w:rPr>
                <w:rFonts w:ascii="Times New Roman" w:hAnsi="Times New Roman"/>
                <w:b/>
                <w:sz w:val="13"/>
              </w:rPr>
              <w:t>Accuracy</w:t>
            </w:r>
          </w:p>
        </w:tc>
        <w:tc>
          <w:tcPr>
            <w:tcW w:w="835" w:type="dxa"/>
            <w:tcBorders>
              <w:bottom w:val="single" w:sz="6" w:space="0" w:color="000000"/>
            </w:tcBorders>
          </w:tcPr>
          <w:p w14:paraId="28610001" w14:textId="77777777" w:rsidR="00100098" w:rsidRDefault="001253E4">
            <w:pPr>
              <w:spacing w:before="20" w:after="20"/>
              <w:jc w:val="center"/>
            </w:pPr>
            <w:r>
              <w:rPr>
                <w:rFonts w:ascii="Times New Roman" w:hAnsi="Times New Roman"/>
                <w:b/>
                <w:sz w:val="13"/>
              </w:rPr>
              <w:t>Macro-F1</w:t>
            </w:r>
          </w:p>
        </w:tc>
        <w:tc>
          <w:tcPr>
            <w:tcW w:w="835" w:type="dxa"/>
            <w:tcBorders>
              <w:bottom w:val="single" w:sz="6" w:space="0" w:color="000000"/>
            </w:tcBorders>
          </w:tcPr>
          <w:p w14:paraId="2C49E90D" w14:textId="77777777" w:rsidR="00100098" w:rsidRDefault="001253E4">
            <w:pPr>
              <w:spacing w:before="20" w:after="20"/>
              <w:jc w:val="center"/>
            </w:pPr>
            <w:r>
              <w:rPr>
                <w:rFonts w:ascii="Times New Roman" w:hAnsi="Times New Roman"/>
                <w:b/>
                <w:sz w:val="13"/>
              </w:rPr>
              <w:t>ROC-AUC</w:t>
            </w:r>
          </w:p>
        </w:tc>
        <w:tc>
          <w:tcPr>
            <w:tcW w:w="432" w:type="dxa"/>
            <w:tcBorders>
              <w:bottom w:val="single" w:sz="6" w:space="0" w:color="000000"/>
            </w:tcBorders>
          </w:tcPr>
          <w:p w14:paraId="2A7E6487" w14:textId="77777777" w:rsidR="00100098" w:rsidRDefault="001253E4">
            <w:pPr>
              <w:spacing w:before="20" w:after="20"/>
              <w:jc w:val="center"/>
            </w:pPr>
            <w:r>
              <w:rPr>
                <w:rFonts w:ascii="Times New Roman" w:hAnsi="Times New Roman"/>
                <w:b/>
                <w:sz w:val="13"/>
              </w:rPr>
              <w:t>ECE</w:t>
            </w:r>
          </w:p>
        </w:tc>
        <w:tc>
          <w:tcPr>
            <w:tcW w:w="432" w:type="dxa"/>
            <w:tcBorders>
              <w:bottom w:val="single" w:sz="6" w:space="0" w:color="000000"/>
            </w:tcBorders>
          </w:tcPr>
          <w:p w14:paraId="4DE3497D" w14:textId="77777777" w:rsidR="00100098" w:rsidRDefault="001253E4">
            <w:pPr>
              <w:spacing w:before="20" w:after="20"/>
              <w:jc w:val="center"/>
            </w:pPr>
            <w:r>
              <w:rPr>
                <w:rFonts w:ascii="Times New Roman" w:hAnsi="Times New Roman"/>
                <w:b/>
                <w:sz w:val="13"/>
              </w:rPr>
              <w:t>Brier</w:t>
            </w:r>
          </w:p>
        </w:tc>
      </w:tr>
      <w:tr w:rsidR="00100098" w14:paraId="3F144D44" w14:textId="77777777">
        <w:trPr>
          <w:jc w:val="center"/>
        </w:trPr>
        <w:tc>
          <w:tcPr>
            <w:tcW w:w="1512" w:type="dxa"/>
          </w:tcPr>
          <w:p w14:paraId="0F2F7022" w14:textId="77777777" w:rsidR="00100098" w:rsidRDefault="001253E4">
            <w:pPr>
              <w:spacing w:before="10" w:after="10"/>
            </w:pPr>
            <w:r>
              <w:rPr>
                <w:rFonts w:ascii="Times New Roman" w:hAnsi="Times New Roman"/>
                <w:sz w:val="13"/>
              </w:rPr>
              <w:t>Logistic Regression</w:t>
            </w:r>
          </w:p>
        </w:tc>
        <w:tc>
          <w:tcPr>
            <w:tcW w:w="835" w:type="dxa"/>
          </w:tcPr>
          <w:p w14:paraId="29ED930F" w14:textId="77777777" w:rsidR="00100098" w:rsidRDefault="001253E4">
            <w:pPr>
              <w:spacing w:before="10" w:after="10"/>
              <w:jc w:val="center"/>
            </w:pPr>
            <w:r>
              <w:rPr>
                <w:rFonts w:ascii="Times New Roman" w:hAnsi="Times New Roman"/>
                <w:sz w:val="13"/>
              </w:rPr>
              <w:t>0.988 ± 0.004</w:t>
            </w:r>
          </w:p>
        </w:tc>
        <w:tc>
          <w:tcPr>
            <w:tcW w:w="835" w:type="dxa"/>
          </w:tcPr>
          <w:p w14:paraId="1A2F5D99" w14:textId="77777777" w:rsidR="00100098" w:rsidRDefault="001253E4">
            <w:pPr>
              <w:spacing w:before="10" w:after="10"/>
              <w:jc w:val="center"/>
            </w:pPr>
            <w:r>
              <w:rPr>
                <w:rFonts w:ascii="Times New Roman" w:hAnsi="Times New Roman"/>
                <w:sz w:val="13"/>
              </w:rPr>
              <w:t>0.986 ± 0.005</w:t>
            </w:r>
          </w:p>
        </w:tc>
        <w:tc>
          <w:tcPr>
            <w:tcW w:w="835" w:type="dxa"/>
          </w:tcPr>
          <w:p w14:paraId="2626846F" w14:textId="77777777" w:rsidR="00100098" w:rsidRDefault="001253E4">
            <w:pPr>
              <w:spacing w:before="10" w:after="10"/>
              <w:jc w:val="center"/>
            </w:pPr>
            <w:r>
              <w:rPr>
                <w:rFonts w:ascii="Times New Roman" w:hAnsi="Times New Roman"/>
                <w:sz w:val="13"/>
              </w:rPr>
              <w:t>0.999 ± 0.001</w:t>
            </w:r>
          </w:p>
        </w:tc>
        <w:tc>
          <w:tcPr>
            <w:tcW w:w="432" w:type="dxa"/>
          </w:tcPr>
          <w:p w14:paraId="2EB3659A" w14:textId="77777777" w:rsidR="00100098" w:rsidRDefault="001253E4">
            <w:pPr>
              <w:spacing w:before="10" w:after="10"/>
              <w:jc w:val="center"/>
            </w:pPr>
            <w:r>
              <w:rPr>
                <w:rFonts w:ascii="Times New Roman" w:hAnsi="Times New Roman"/>
                <w:sz w:val="13"/>
              </w:rPr>
              <w:t>0.012</w:t>
            </w:r>
          </w:p>
        </w:tc>
        <w:tc>
          <w:tcPr>
            <w:tcW w:w="432" w:type="dxa"/>
          </w:tcPr>
          <w:p w14:paraId="334D7F2A" w14:textId="77777777" w:rsidR="00100098" w:rsidRDefault="001253E4">
            <w:pPr>
              <w:spacing w:before="10" w:after="10"/>
              <w:jc w:val="center"/>
            </w:pPr>
            <w:r>
              <w:rPr>
                <w:rFonts w:ascii="Times New Roman" w:hAnsi="Times New Roman"/>
                <w:sz w:val="13"/>
              </w:rPr>
              <w:t>0.009</w:t>
            </w:r>
          </w:p>
        </w:tc>
      </w:tr>
      <w:tr w:rsidR="00100098" w14:paraId="11964A06" w14:textId="77777777">
        <w:trPr>
          <w:jc w:val="center"/>
        </w:trPr>
        <w:tc>
          <w:tcPr>
            <w:tcW w:w="1512" w:type="dxa"/>
          </w:tcPr>
          <w:p w14:paraId="08E50FD6" w14:textId="77777777" w:rsidR="00100098" w:rsidRDefault="001253E4">
            <w:pPr>
              <w:spacing w:before="10" w:after="10"/>
            </w:pPr>
            <w:r>
              <w:rPr>
                <w:rFonts w:ascii="Times New Roman" w:hAnsi="Times New Roman"/>
                <w:sz w:val="13"/>
              </w:rPr>
              <w:t>Random Forest</w:t>
            </w:r>
          </w:p>
        </w:tc>
        <w:tc>
          <w:tcPr>
            <w:tcW w:w="835" w:type="dxa"/>
          </w:tcPr>
          <w:p w14:paraId="569D27F5" w14:textId="77777777" w:rsidR="00100098" w:rsidRDefault="001253E4">
            <w:pPr>
              <w:spacing w:before="10" w:after="10"/>
              <w:jc w:val="center"/>
            </w:pPr>
            <w:r>
              <w:rPr>
                <w:rFonts w:ascii="Times New Roman" w:hAnsi="Times New Roman"/>
                <w:sz w:val="13"/>
              </w:rPr>
              <w:t>0.916 ± 0.014</w:t>
            </w:r>
          </w:p>
        </w:tc>
        <w:tc>
          <w:tcPr>
            <w:tcW w:w="835" w:type="dxa"/>
          </w:tcPr>
          <w:p w14:paraId="6612CA14" w14:textId="77777777" w:rsidR="00100098" w:rsidRDefault="001253E4">
            <w:pPr>
              <w:spacing w:before="10" w:after="10"/>
              <w:jc w:val="center"/>
            </w:pPr>
            <w:r>
              <w:rPr>
                <w:rFonts w:ascii="Times New Roman" w:hAnsi="Times New Roman"/>
                <w:sz w:val="13"/>
              </w:rPr>
              <w:t>0.892 ± 0.018</w:t>
            </w:r>
          </w:p>
        </w:tc>
        <w:tc>
          <w:tcPr>
            <w:tcW w:w="835" w:type="dxa"/>
          </w:tcPr>
          <w:p w14:paraId="79DF4691" w14:textId="77777777" w:rsidR="00100098" w:rsidRDefault="001253E4">
            <w:pPr>
              <w:spacing w:before="10" w:after="10"/>
              <w:jc w:val="center"/>
            </w:pPr>
            <w:r>
              <w:rPr>
                <w:rFonts w:ascii="Times New Roman" w:hAnsi="Times New Roman"/>
                <w:sz w:val="13"/>
              </w:rPr>
              <w:t>0.978 ± 0.006</w:t>
            </w:r>
          </w:p>
        </w:tc>
        <w:tc>
          <w:tcPr>
            <w:tcW w:w="432" w:type="dxa"/>
          </w:tcPr>
          <w:p w14:paraId="05A318B3" w14:textId="77777777" w:rsidR="00100098" w:rsidRDefault="001253E4">
            <w:pPr>
              <w:spacing w:before="10" w:after="10"/>
              <w:jc w:val="center"/>
            </w:pPr>
            <w:r>
              <w:rPr>
                <w:rFonts w:ascii="Times New Roman" w:hAnsi="Times New Roman"/>
                <w:sz w:val="13"/>
              </w:rPr>
              <w:t>0.062</w:t>
            </w:r>
          </w:p>
        </w:tc>
        <w:tc>
          <w:tcPr>
            <w:tcW w:w="432" w:type="dxa"/>
          </w:tcPr>
          <w:p w14:paraId="5CF72D6B" w14:textId="77777777" w:rsidR="00100098" w:rsidRDefault="001253E4">
            <w:pPr>
              <w:spacing w:before="10" w:after="10"/>
              <w:jc w:val="center"/>
            </w:pPr>
            <w:r>
              <w:rPr>
                <w:rFonts w:ascii="Times New Roman" w:hAnsi="Times New Roman"/>
                <w:sz w:val="13"/>
              </w:rPr>
              <w:t>0.061</w:t>
            </w:r>
          </w:p>
        </w:tc>
      </w:tr>
      <w:tr w:rsidR="00100098" w14:paraId="2CAE91DA" w14:textId="77777777">
        <w:trPr>
          <w:jc w:val="center"/>
        </w:trPr>
        <w:tc>
          <w:tcPr>
            <w:tcW w:w="1512" w:type="dxa"/>
          </w:tcPr>
          <w:p w14:paraId="4DA28E16" w14:textId="77777777" w:rsidR="00100098" w:rsidRDefault="001253E4">
            <w:pPr>
              <w:spacing w:before="10" w:after="10"/>
            </w:pPr>
            <w:r>
              <w:rPr>
                <w:rFonts w:ascii="Times New Roman" w:hAnsi="Times New Roman"/>
                <w:sz w:val="13"/>
              </w:rPr>
              <w:t>Multi-Layer Perceptron</w:t>
            </w:r>
          </w:p>
        </w:tc>
        <w:tc>
          <w:tcPr>
            <w:tcW w:w="835" w:type="dxa"/>
          </w:tcPr>
          <w:p w14:paraId="7031CDE3" w14:textId="77777777" w:rsidR="00100098" w:rsidRDefault="001253E4">
            <w:pPr>
              <w:spacing w:before="10" w:after="10"/>
              <w:jc w:val="center"/>
            </w:pPr>
            <w:r>
              <w:rPr>
                <w:rFonts w:ascii="Times New Roman" w:hAnsi="Times New Roman"/>
                <w:sz w:val="13"/>
              </w:rPr>
              <w:t>0.932 ± 0.011</w:t>
            </w:r>
          </w:p>
        </w:tc>
        <w:tc>
          <w:tcPr>
            <w:tcW w:w="835" w:type="dxa"/>
          </w:tcPr>
          <w:p w14:paraId="41B46CE2" w14:textId="77777777" w:rsidR="00100098" w:rsidRDefault="001253E4">
            <w:pPr>
              <w:spacing w:before="10" w:after="10"/>
              <w:jc w:val="center"/>
            </w:pPr>
            <w:r>
              <w:rPr>
                <w:rFonts w:ascii="Times New Roman" w:hAnsi="Times New Roman"/>
                <w:sz w:val="13"/>
              </w:rPr>
              <w:t>0.914 ± 0.015</w:t>
            </w:r>
          </w:p>
        </w:tc>
        <w:tc>
          <w:tcPr>
            <w:tcW w:w="835" w:type="dxa"/>
          </w:tcPr>
          <w:p w14:paraId="41C1F7D6" w14:textId="77777777" w:rsidR="00100098" w:rsidRDefault="001253E4">
            <w:pPr>
              <w:spacing w:before="10" w:after="10"/>
              <w:jc w:val="center"/>
            </w:pPr>
            <w:r>
              <w:rPr>
                <w:rFonts w:ascii="Times New Roman" w:hAnsi="Times New Roman"/>
                <w:sz w:val="13"/>
              </w:rPr>
              <w:t>0.981 ± 0.005</w:t>
            </w:r>
          </w:p>
        </w:tc>
        <w:tc>
          <w:tcPr>
            <w:tcW w:w="432" w:type="dxa"/>
          </w:tcPr>
          <w:p w14:paraId="494DAF7F" w14:textId="77777777" w:rsidR="00100098" w:rsidRDefault="001253E4">
            <w:pPr>
              <w:spacing w:before="10" w:after="10"/>
              <w:jc w:val="center"/>
            </w:pPr>
            <w:r>
              <w:rPr>
                <w:rFonts w:ascii="Times New Roman" w:hAnsi="Times New Roman"/>
                <w:sz w:val="13"/>
              </w:rPr>
              <w:t>0.054</w:t>
            </w:r>
          </w:p>
        </w:tc>
        <w:tc>
          <w:tcPr>
            <w:tcW w:w="432" w:type="dxa"/>
          </w:tcPr>
          <w:p w14:paraId="44528469" w14:textId="77777777" w:rsidR="00100098" w:rsidRDefault="001253E4">
            <w:pPr>
              <w:spacing w:before="10" w:after="10"/>
              <w:jc w:val="center"/>
            </w:pPr>
            <w:r>
              <w:rPr>
                <w:rFonts w:ascii="Times New Roman" w:hAnsi="Times New Roman"/>
                <w:sz w:val="13"/>
              </w:rPr>
              <w:t>0.048</w:t>
            </w:r>
          </w:p>
        </w:tc>
      </w:tr>
      <w:tr w:rsidR="00100098" w14:paraId="04443002" w14:textId="77777777">
        <w:trPr>
          <w:jc w:val="center"/>
        </w:trPr>
        <w:tc>
          <w:tcPr>
            <w:tcW w:w="1512" w:type="dxa"/>
          </w:tcPr>
          <w:p w14:paraId="401E2CA4" w14:textId="77777777" w:rsidR="00100098" w:rsidRDefault="001253E4">
            <w:pPr>
              <w:spacing w:before="10" w:after="10"/>
            </w:pPr>
            <w:r>
              <w:rPr>
                <w:rFonts w:ascii="Times New Roman" w:hAnsi="Times New Roman"/>
                <w:sz w:val="13"/>
              </w:rPr>
              <w:t>Support Vector Machine</w:t>
            </w:r>
          </w:p>
        </w:tc>
        <w:tc>
          <w:tcPr>
            <w:tcW w:w="835" w:type="dxa"/>
          </w:tcPr>
          <w:p w14:paraId="60A35E40" w14:textId="77777777" w:rsidR="00100098" w:rsidRDefault="001253E4">
            <w:pPr>
              <w:spacing w:before="10" w:after="10"/>
              <w:jc w:val="center"/>
            </w:pPr>
            <w:r>
              <w:rPr>
                <w:rFonts w:ascii="Times New Roman" w:hAnsi="Times New Roman"/>
                <w:sz w:val="13"/>
              </w:rPr>
              <w:t>0.928 ± 0.013</w:t>
            </w:r>
          </w:p>
        </w:tc>
        <w:tc>
          <w:tcPr>
            <w:tcW w:w="835" w:type="dxa"/>
          </w:tcPr>
          <w:p w14:paraId="7663B2CF" w14:textId="77777777" w:rsidR="00100098" w:rsidRDefault="001253E4">
            <w:pPr>
              <w:spacing w:before="10" w:after="10"/>
              <w:jc w:val="center"/>
            </w:pPr>
            <w:r>
              <w:rPr>
                <w:rFonts w:ascii="Times New Roman" w:hAnsi="Times New Roman"/>
                <w:sz w:val="13"/>
              </w:rPr>
              <w:t>0.908 ± 0.016</w:t>
            </w:r>
          </w:p>
        </w:tc>
        <w:tc>
          <w:tcPr>
            <w:tcW w:w="835" w:type="dxa"/>
          </w:tcPr>
          <w:p w14:paraId="69CFAF2D" w14:textId="77777777" w:rsidR="00100098" w:rsidRDefault="001253E4">
            <w:pPr>
              <w:spacing w:before="10" w:after="10"/>
              <w:jc w:val="center"/>
            </w:pPr>
            <w:r>
              <w:rPr>
                <w:rFonts w:ascii="Times New Roman" w:hAnsi="Times New Roman"/>
                <w:sz w:val="13"/>
              </w:rPr>
              <w:t>0.976 ± 0.007</w:t>
            </w:r>
          </w:p>
        </w:tc>
        <w:tc>
          <w:tcPr>
            <w:tcW w:w="432" w:type="dxa"/>
          </w:tcPr>
          <w:p w14:paraId="5F80347A" w14:textId="77777777" w:rsidR="00100098" w:rsidRDefault="001253E4">
            <w:pPr>
              <w:spacing w:before="10" w:after="10"/>
              <w:jc w:val="center"/>
            </w:pPr>
            <w:r>
              <w:rPr>
                <w:rFonts w:ascii="Times New Roman" w:hAnsi="Times New Roman"/>
                <w:sz w:val="13"/>
              </w:rPr>
              <w:t>0.068</w:t>
            </w:r>
          </w:p>
        </w:tc>
        <w:tc>
          <w:tcPr>
            <w:tcW w:w="432" w:type="dxa"/>
          </w:tcPr>
          <w:p w14:paraId="546A1212" w14:textId="77777777" w:rsidR="00100098" w:rsidRDefault="001253E4">
            <w:pPr>
              <w:spacing w:before="10" w:after="10"/>
              <w:jc w:val="center"/>
            </w:pPr>
            <w:r>
              <w:rPr>
                <w:rFonts w:ascii="Times New Roman" w:hAnsi="Times New Roman"/>
                <w:sz w:val="13"/>
              </w:rPr>
              <w:t>0.056</w:t>
            </w:r>
          </w:p>
        </w:tc>
      </w:tr>
      <w:tr w:rsidR="00100098" w14:paraId="3A544E3C" w14:textId="77777777">
        <w:trPr>
          <w:jc w:val="center"/>
        </w:trPr>
        <w:tc>
          <w:tcPr>
            <w:tcW w:w="1512" w:type="dxa"/>
          </w:tcPr>
          <w:p w14:paraId="46F26CAE" w14:textId="77777777" w:rsidR="00100098" w:rsidRDefault="001253E4">
            <w:pPr>
              <w:spacing w:before="10" w:after="10"/>
            </w:pPr>
            <w:proofErr w:type="spellStart"/>
            <w:r>
              <w:rPr>
                <w:rFonts w:ascii="Times New Roman" w:hAnsi="Times New Roman"/>
                <w:sz w:val="13"/>
              </w:rPr>
              <w:t>XGBoost</w:t>
            </w:r>
            <w:proofErr w:type="spellEnd"/>
            <w:r>
              <w:rPr>
                <w:rFonts w:ascii="Times New Roman" w:hAnsi="Times New Roman"/>
                <w:sz w:val="13"/>
              </w:rPr>
              <w:t xml:space="preserve"> (Uncalibrated)</w:t>
            </w:r>
          </w:p>
        </w:tc>
        <w:tc>
          <w:tcPr>
            <w:tcW w:w="835" w:type="dxa"/>
          </w:tcPr>
          <w:p w14:paraId="5D4032A4" w14:textId="77777777" w:rsidR="00100098" w:rsidRDefault="001253E4">
            <w:pPr>
              <w:spacing w:before="10" w:after="10"/>
              <w:jc w:val="center"/>
            </w:pPr>
            <w:r>
              <w:rPr>
                <w:rFonts w:ascii="Times New Roman" w:hAnsi="Times New Roman"/>
                <w:sz w:val="13"/>
              </w:rPr>
              <w:t>0.948 ± 0.012</w:t>
            </w:r>
          </w:p>
        </w:tc>
        <w:tc>
          <w:tcPr>
            <w:tcW w:w="835" w:type="dxa"/>
          </w:tcPr>
          <w:p w14:paraId="02E398D8" w14:textId="77777777" w:rsidR="00100098" w:rsidRDefault="001253E4">
            <w:pPr>
              <w:spacing w:before="10" w:after="10"/>
              <w:jc w:val="center"/>
            </w:pPr>
            <w:r>
              <w:rPr>
                <w:rFonts w:ascii="Times New Roman" w:hAnsi="Times New Roman"/>
                <w:sz w:val="13"/>
              </w:rPr>
              <w:t>0.944 ± 0.014</w:t>
            </w:r>
          </w:p>
        </w:tc>
        <w:tc>
          <w:tcPr>
            <w:tcW w:w="835" w:type="dxa"/>
          </w:tcPr>
          <w:p w14:paraId="706B5315" w14:textId="77777777" w:rsidR="00100098" w:rsidRDefault="001253E4">
            <w:pPr>
              <w:spacing w:before="10" w:after="10"/>
              <w:jc w:val="center"/>
            </w:pPr>
            <w:r>
              <w:rPr>
                <w:rFonts w:ascii="Times New Roman" w:hAnsi="Times New Roman"/>
                <w:sz w:val="13"/>
              </w:rPr>
              <w:t>0.991 ± 0.004</w:t>
            </w:r>
          </w:p>
        </w:tc>
        <w:tc>
          <w:tcPr>
            <w:tcW w:w="432" w:type="dxa"/>
          </w:tcPr>
          <w:p w14:paraId="605F4ACF" w14:textId="77777777" w:rsidR="00100098" w:rsidRDefault="001253E4">
            <w:pPr>
              <w:spacing w:before="10" w:after="10"/>
              <w:jc w:val="center"/>
            </w:pPr>
            <w:r>
              <w:rPr>
                <w:rFonts w:ascii="Times New Roman" w:hAnsi="Times New Roman"/>
                <w:sz w:val="13"/>
              </w:rPr>
              <w:t>0.057</w:t>
            </w:r>
          </w:p>
        </w:tc>
        <w:tc>
          <w:tcPr>
            <w:tcW w:w="432" w:type="dxa"/>
          </w:tcPr>
          <w:p w14:paraId="42C5D39F" w14:textId="77777777" w:rsidR="00100098" w:rsidRDefault="001253E4">
            <w:pPr>
              <w:spacing w:before="10" w:after="10"/>
              <w:jc w:val="center"/>
            </w:pPr>
            <w:r>
              <w:rPr>
                <w:rFonts w:ascii="Times New Roman" w:hAnsi="Times New Roman"/>
                <w:sz w:val="13"/>
              </w:rPr>
              <w:t>0.041</w:t>
            </w:r>
          </w:p>
        </w:tc>
      </w:tr>
      <w:tr w:rsidR="00100098" w14:paraId="33C23993" w14:textId="77777777">
        <w:trPr>
          <w:jc w:val="center"/>
        </w:trPr>
        <w:tc>
          <w:tcPr>
            <w:tcW w:w="1512" w:type="dxa"/>
          </w:tcPr>
          <w:p w14:paraId="4F4A149C" w14:textId="77777777" w:rsidR="00100098" w:rsidRDefault="001253E4">
            <w:pPr>
              <w:spacing w:before="10" w:after="10"/>
            </w:pPr>
            <w:r>
              <w:rPr>
                <w:rFonts w:ascii="Times New Roman" w:hAnsi="Times New Roman"/>
                <w:b/>
                <w:sz w:val="13"/>
              </w:rPr>
              <w:t>PRIE Platt-</w:t>
            </w:r>
            <w:proofErr w:type="spellStart"/>
            <w:r>
              <w:rPr>
                <w:rFonts w:ascii="Times New Roman" w:hAnsi="Times New Roman"/>
                <w:b/>
                <w:sz w:val="13"/>
              </w:rPr>
              <w:t>XGBoost</w:t>
            </w:r>
            <w:proofErr w:type="spellEnd"/>
          </w:p>
        </w:tc>
        <w:tc>
          <w:tcPr>
            <w:tcW w:w="835" w:type="dxa"/>
          </w:tcPr>
          <w:p w14:paraId="68058314" w14:textId="77777777" w:rsidR="00100098" w:rsidRDefault="001253E4">
            <w:pPr>
              <w:spacing w:before="10" w:after="10"/>
              <w:jc w:val="center"/>
            </w:pPr>
            <w:r>
              <w:rPr>
                <w:rFonts w:ascii="Times New Roman" w:hAnsi="Times New Roman"/>
                <w:b/>
                <w:sz w:val="13"/>
              </w:rPr>
              <w:t>0.952 ± 0.012</w:t>
            </w:r>
          </w:p>
        </w:tc>
        <w:tc>
          <w:tcPr>
            <w:tcW w:w="835" w:type="dxa"/>
          </w:tcPr>
          <w:p w14:paraId="36829160" w14:textId="77777777" w:rsidR="00100098" w:rsidRDefault="001253E4">
            <w:pPr>
              <w:spacing w:before="10" w:after="10"/>
              <w:jc w:val="center"/>
            </w:pPr>
            <w:r>
              <w:rPr>
                <w:rFonts w:ascii="Times New Roman" w:hAnsi="Times New Roman"/>
                <w:b/>
                <w:sz w:val="13"/>
              </w:rPr>
              <w:t>0.939 ± 0.019</w:t>
            </w:r>
          </w:p>
        </w:tc>
        <w:tc>
          <w:tcPr>
            <w:tcW w:w="835" w:type="dxa"/>
          </w:tcPr>
          <w:p w14:paraId="4A0FD40F" w14:textId="77777777" w:rsidR="00100098" w:rsidRDefault="001253E4">
            <w:pPr>
              <w:spacing w:before="10" w:after="10"/>
              <w:jc w:val="center"/>
            </w:pPr>
            <w:r>
              <w:rPr>
                <w:rFonts w:ascii="Times New Roman" w:hAnsi="Times New Roman"/>
                <w:b/>
                <w:sz w:val="13"/>
              </w:rPr>
              <w:t>0.992 ± 0.004</w:t>
            </w:r>
          </w:p>
        </w:tc>
        <w:tc>
          <w:tcPr>
            <w:tcW w:w="432" w:type="dxa"/>
          </w:tcPr>
          <w:p w14:paraId="5C472887" w14:textId="77777777" w:rsidR="00100098" w:rsidRDefault="001253E4">
            <w:pPr>
              <w:spacing w:before="10" w:after="10"/>
              <w:jc w:val="center"/>
            </w:pPr>
            <w:r>
              <w:rPr>
                <w:rFonts w:ascii="Times New Roman" w:hAnsi="Times New Roman"/>
                <w:b/>
                <w:sz w:val="13"/>
              </w:rPr>
              <w:t>0.035</w:t>
            </w:r>
          </w:p>
        </w:tc>
        <w:tc>
          <w:tcPr>
            <w:tcW w:w="432" w:type="dxa"/>
          </w:tcPr>
          <w:p w14:paraId="30EA9E28" w14:textId="77777777" w:rsidR="00100098" w:rsidRDefault="001253E4">
            <w:pPr>
              <w:spacing w:before="10" w:after="10"/>
              <w:jc w:val="center"/>
            </w:pPr>
            <w:r>
              <w:rPr>
                <w:rFonts w:ascii="Times New Roman" w:hAnsi="Times New Roman"/>
                <w:b/>
                <w:sz w:val="13"/>
              </w:rPr>
              <w:t>0.034</w:t>
            </w:r>
          </w:p>
        </w:tc>
      </w:tr>
    </w:tbl>
    <w:p w14:paraId="3D279C76" w14:textId="77777777" w:rsidR="00100098" w:rsidRDefault="001253E4">
      <w:pPr>
        <w:spacing w:after="0" w:line="204" w:lineRule="exact"/>
        <w:ind w:firstLine="202"/>
        <w:jc w:val="both"/>
      </w:pPr>
      <w:r>
        <w:rPr>
          <w:rFonts w:ascii="Times New Roman" w:hAnsi="Times New Roman"/>
          <w:sz w:val="19"/>
        </w:rPr>
        <w:t>Across the 5-seed battery, Platt-</w:t>
      </w:r>
      <w:proofErr w:type="spellStart"/>
      <w:r>
        <w:rPr>
          <w:rFonts w:ascii="Times New Roman" w:hAnsi="Times New Roman"/>
          <w:sz w:val="19"/>
        </w:rPr>
        <w:t>XGBoost</w:t>
      </w:r>
      <w:proofErr w:type="spellEnd"/>
      <w:r>
        <w:rPr>
          <w:rFonts w:ascii="Times New Roman" w:hAnsi="Times New Roman"/>
          <w:sz w:val="19"/>
        </w:rPr>
        <w:t xml:space="preserve"> achieves a mean accuracy of 95.20% ± 1.17%, an ROC-AUC of 0.9922 ± 0.0038, and a Brier score of 0.0339 ± 0.0096. Against the Random Forest baseline, Calibrated </w:t>
      </w:r>
      <w:proofErr w:type="spellStart"/>
      <w:r>
        <w:rPr>
          <w:rFonts w:ascii="Times New Roman" w:hAnsi="Times New Roman"/>
          <w:sz w:val="19"/>
        </w:rPr>
        <w:t>XGBoost</w:t>
      </w:r>
      <w:proofErr w:type="spellEnd"/>
      <w:r>
        <w:rPr>
          <w:rFonts w:ascii="Times New Roman" w:hAnsi="Times New Roman"/>
          <w:sz w:val="19"/>
        </w:rPr>
        <w:t xml:space="preserve"> demonstrates statistically significant superiority under McNemar's paired test (χ^2 = 5.8824, p = 0.0153 &lt; 0.05) and Wilcoxon signed-rank test (W = 27.0, p = 0.0076 &lt; 0.01, rank-biserial r = 0.9983).</w:t>
      </w:r>
    </w:p>
    <w:p w14:paraId="33AA2F76" w14:textId="77777777" w:rsidR="00100098" w:rsidRDefault="001253E4">
      <w:pPr>
        <w:spacing w:after="0" w:line="204" w:lineRule="exact"/>
        <w:ind w:firstLine="202"/>
        <w:jc w:val="both"/>
      </w:pPr>
      <w:r>
        <w:rPr>
          <w:rFonts w:ascii="Times New Roman" w:hAnsi="Times New Roman"/>
          <w:sz w:val="19"/>
        </w:rPr>
        <w:t>As depicted in Fig. 2, Platt scaling contracts Expected Calibration Error from 0.0570 ± 0.0082 to 0.0350 ± 0.0057 across the full 5-seed battery (38.6% relative reduction; ECE = 0.0212 on Seed 42 holdout), effectively eliminating probabilistic overconfidence.</w:t>
      </w:r>
    </w:p>
    <w:p w14:paraId="22EB9E7B" w14:textId="77777777" w:rsidR="00100098" w:rsidRDefault="001253E4">
      <w:pPr>
        <w:spacing w:after="0" w:line="204" w:lineRule="exact"/>
        <w:ind w:firstLine="202"/>
        <w:jc w:val="both"/>
      </w:pPr>
      <w:r>
        <w:rPr>
          <w:rFonts w:ascii="Times New Roman" w:hAnsi="Times New Roman"/>
          <w:sz w:val="19"/>
        </w:rPr>
        <w:t>Linear Model Trade-Off Analysis: While Logistic Regression attained a nominal accuracy of 98.80% ± 0.40% due to the linear structure of Gaussian copula synthetic distributions, tree ensembles were selected for deployment because: (1) university recruitment policies can include threshold-based constraints (such as minimum GPA cutoffs and strict backlog limits) that are not naturally represented by a purely linear</w:t>
      </w:r>
      <w:r>
        <w:br w:type="page"/>
      </w:r>
    </w:p>
    <w:p w14:paraId="442B9BA4" w14:textId="77777777" w:rsidR="00100098" w:rsidRDefault="001253E4">
      <w:pPr>
        <w:spacing w:after="0" w:line="204" w:lineRule="exact"/>
        <w:jc w:val="both"/>
      </w:pPr>
      <w:r>
        <w:rPr>
          <w:rFonts w:ascii="Times New Roman" w:hAnsi="Times New Roman"/>
          <w:sz w:val="19"/>
        </w:rPr>
        <w:lastRenderedPageBreak/>
        <w:t xml:space="preserve">decision boundary; (2) tree ensembles resist severe outlier distortions; and (3) tree structures enable exact polynomial-time </w:t>
      </w:r>
      <w:proofErr w:type="spellStart"/>
      <w:r>
        <w:rPr>
          <w:rFonts w:ascii="Times New Roman" w:hAnsi="Times New Roman"/>
          <w:sz w:val="19"/>
        </w:rPr>
        <w:t>TreeSHAP</w:t>
      </w:r>
      <w:proofErr w:type="spellEnd"/>
      <w:r>
        <w:rPr>
          <w:rFonts w:ascii="Times New Roman" w:hAnsi="Times New Roman"/>
          <w:sz w:val="19"/>
        </w:rPr>
        <w:t xml:space="preserve"> attributions (O(TLD^2)) required for constrained </w:t>
      </w:r>
      <w:proofErr w:type="spellStart"/>
      <w:r>
        <w:rPr>
          <w:rFonts w:ascii="Times New Roman" w:hAnsi="Times New Roman"/>
          <w:sz w:val="19"/>
        </w:rPr>
        <w:t>DiCE</w:t>
      </w:r>
      <w:proofErr w:type="spellEnd"/>
      <w:r>
        <w:rPr>
          <w:rFonts w:ascii="Times New Roman" w:hAnsi="Times New Roman"/>
          <w:sz w:val="19"/>
        </w:rPr>
        <w:t xml:space="preserve"> recourse.</w:t>
      </w:r>
    </w:p>
    <w:p w14:paraId="57FEBCF1" w14:textId="77777777" w:rsidR="00100098" w:rsidRDefault="001253E4">
      <w:pPr>
        <w:keepNext/>
        <w:spacing w:before="70" w:after="20" w:line="190" w:lineRule="exact"/>
      </w:pPr>
      <w:r>
        <w:rPr>
          <w:rFonts w:ascii="Times New Roman" w:hAnsi="Times New Roman"/>
          <w:i/>
          <w:sz w:val="19"/>
        </w:rPr>
        <w:t>C. Constrained Prescriptive Recourse Evaluation</w:t>
      </w:r>
    </w:p>
    <w:p w14:paraId="62A345A3" w14:textId="77777777" w:rsidR="00100098" w:rsidRDefault="001253E4">
      <w:pPr>
        <w:spacing w:after="0" w:line="204" w:lineRule="exact"/>
        <w:jc w:val="both"/>
      </w:pPr>
      <w:r>
        <w:rPr>
          <w:rFonts w:ascii="Times New Roman" w:hAnsi="Times New Roman"/>
          <w:sz w:val="19"/>
        </w:rPr>
        <w:t xml:space="preserve">Table II evaluates PRIE constrained </w:t>
      </w:r>
      <w:proofErr w:type="spellStart"/>
      <w:r>
        <w:rPr>
          <w:rFonts w:ascii="Times New Roman" w:hAnsi="Times New Roman"/>
          <w:sz w:val="19"/>
        </w:rPr>
        <w:t>DiCE</w:t>
      </w:r>
      <w:proofErr w:type="spellEnd"/>
      <w:r>
        <w:rPr>
          <w:rFonts w:ascii="Times New Roman" w:hAnsi="Times New Roman"/>
          <w:sz w:val="19"/>
        </w:rPr>
        <w:t xml:space="preserve"> against alternative counterfactual algorithms across N = 30 at-risk student test instances.</w:t>
      </w:r>
    </w:p>
    <w:p w14:paraId="2CB3611F" w14:textId="77777777" w:rsidR="00100098" w:rsidRDefault="001253E4">
      <w:pPr>
        <w:keepNext/>
        <w:spacing w:before="60" w:after="40"/>
        <w:jc w:val="center"/>
      </w:pPr>
      <w:r>
        <w:rPr>
          <w:rFonts w:ascii="Times New Roman" w:hAnsi="Times New Roman"/>
          <w:b/>
          <w:sz w:val="16"/>
        </w:rPr>
        <w:t>TABLE II. COUNTERFACTUAL RECOURSE OPTIMIZATION BENCHMARK (N = 30)</w:t>
      </w:r>
    </w:p>
    <w:tbl>
      <w:tblPr>
        <w:tblW w:w="0" w:type="auto"/>
        <w:jc w:val="center"/>
        <w:tblBorders>
          <w:top w:val="single" w:sz="8" w:space="0" w:color="000000"/>
          <w:bottom w:val="single" w:sz="8" w:space="0" w:color="000000"/>
        </w:tblBorders>
        <w:tblCellMar>
          <w:top w:w="10" w:type="dxa"/>
          <w:left w:w="20" w:type="dxa"/>
          <w:bottom w:w="10" w:type="dxa"/>
          <w:right w:w="20" w:type="dxa"/>
        </w:tblCellMar>
        <w:tblLook w:val="04A0" w:firstRow="1" w:lastRow="0" w:firstColumn="1" w:lastColumn="0" w:noHBand="0" w:noVBand="1"/>
      </w:tblPr>
      <w:tblGrid>
        <w:gridCol w:w="1512"/>
        <w:gridCol w:w="792"/>
        <w:gridCol w:w="936"/>
        <w:gridCol w:w="792"/>
        <w:gridCol w:w="792"/>
      </w:tblGrid>
      <w:tr w:rsidR="00100098" w14:paraId="49D5DE99" w14:textId="77777777">
        <w:trPr>
          <w:jc w:val="center"/>
        </w:trPr>
        <w:tc>
          <w:tcPr>
            <w:tcW w:w="1512" w:type="dxa"/>
            <w:tcBorders>
              <w:bottom w:val="single" w:sz="6" w:space="0" w:color="000000"/>
            </w:tcBorders>
          </w:tcPr>
          <w:p w14:paraId="78A1B31B" w14:textId="77777777" w:rsidR="00100098" w:rsidRDefault="001253E4">
            <w:pPr>
              <w:spacing w:before="20" w:after="20"/>
            </w:pPr>
            <w:r>
              <w:rPr>
                <w:rFonts w:ascii="Times New Roman" w:hAnsi="Times New Roman"/>
                <w:b/>
                <w:sz w:val="13"/>
              </w:rPr>
              <w:t>Optimization Method</w:t>
            </w:r>
          </w:p>
        </w:tc>
        <w:tc>
          <w:tcPr>
            <w:tcW w:w="792" w:type="dxa"/>
            <w:tcBorders>
              <w:bottom w:val="single" w:sz="6" w:space="0" w:color="000000"/>
            </w:tcBorders>
          </w:tcPr>
          <w:p w14:paraId="6E6112A2" w14:textId="77777777" w:rsidR="00100098" w:rsidRDefault="001253E4">
            <w:pPr>
              <w:spacing w:before="20" w:after="20"/>
              <w:jc w:val="center"/>
            </w:pPr>
            <w:r>
              <w:rPr>
                <w:rFonts w:ascii="Times New Roman" w:hAnsi="Times New Roman"/>
                <w:b/>
                <w:sz w:val="13"/>
              </w:rPr>
              <w:t>Mean L1</w:t>
            </w:r>
          </w:p>
        </w:tc>
        <w:tc>
          <w:tcPr>
            <w:tcW w:w="936" w:type="dxa"/>
            <w:tcBorders>
              <w:bottom w:val="single" w:sz="6" w:space="0" w:color="000000"/>
            </w:tcBorders>
          </w:tcPr>
          <w:p w14:paraId="1D14CC90" w14:textId="77777777" w:rsidR="00100098" w:rsidRDefault="001253E4">
            <w:pPr>
              <w:spacing w:before="20" w:after="20"/>
              <w:jc w:val="center"/>
            </w:pPr>
            <w:r>
              <w:rPr>
                <w:rFonts w:ascii="Times New Roman" w:hAnsi="Times New Roman"/>
                <w:b/>
                <w:sz w:val="13"/>
              </w:rPr>
              <w:t>Sparsity (k ≤ 3)</w:t>
            </w:r>
          </w:p>
        </w:tc>
        <w:tc>
          <w:tcPr>
            <w:tcW w:w="792" w:type="dxa"/>
            <w:tcBorders>
              <w:bottom w:val="single" w:sz="6" w:space="0" w:color="000000"/>
            </w:tcBorders>
          </w:tcPr>
          <w:p w14:paraId="41F85F98" w14:textId="77777777" w:rsidR="00100098" w:rsidRDefault="001253E4">
            <w:pPr>
              <w:spacing w:before="20" w:after="20"/>
              <w:jc w:val="center"/>
            </w:pPr>
            <w:r>
              <w:rPr>
                <w:rFonts w:ascii="Times New Roman" w:hAnsi="Times New Roman"/>
                <w:b/>
                <w:sz w:val="13"/>
              </w:rPr>
              <w:t>Invariance</w:t>
            </w:r>
          </w:p>
        </w:tc>
        <w:tc>
          <w:tcPr>
            <w:tcW w:w="792" w:type="dxa"/>
            <w:tcBorders>
              <w:bottom w:val="single" w:sz="6" w:space="0" w:color="000000"/>
            </w:tcBorders>
          </w:tcPr>
          <w:p w14:paraId="7078154B" w14:textId="77777777" w:rsidR="00100098" w:rsidRDefault="001253E4">
            <w:pPr>
              <w:spacing w:before="20" w:after="20"/>
              <w:jc w:val="center"/>
            </w:pPr>
            <w:r>
              <w:rPr>
                <w:rFonts w:ascii="Times New Roman" w:hAnsi="Times New Roman"/>
                <w:b/>
                <w:sz w:val="13"/>
              </w:rPr>
              <w:t>Reachability</w:t>
            </w:r>
          </w:p>
        </w:tc>
      </w:tr>
      <w:tr w:rsidR="00100098" w14:paraId="1AC1F4B2" w14:textId="77777777">
        <w:trPr>
          <w:jc w:val="center"/>
        </w:trPr>
        <w:tc>
          <w:tcPr>
            <w:tcW w:w="1512" w:type="dxa"/>
          </w:tcPr>
          <w:p w14:paraId="2CC97344" w14:textId="77777777" w:rsidR="00100098" w:rsidRDefault="001253E4">
            <w:pPr>
              <w:spacing w:before="10" w:after="10"/>
            </w:pPr>
            <w:r>
              <w:rPr>
                <w:rFonts w:ascii="Times New Roman" w:hAnsi="Times New Roman"/>
                <w:sz w:val="13"/>
              </w:rPr>
              <w:t>Unconstrained GD</w:t>
            </w:r>
          </w:p>
        </w:tc>
        <w:tc>
          <w:tcPr>
            <w:tcW w:w="792" w:type="dxa"/>
          </w:tcPr>
          <w:p w14:paraId="4757CFD2" w14:textId="77777777" w:rsidR="00100098" w:rsidRDefault="001253E4">
            <w:pPr>
              <w:spacing w:before="10" w:after="10"/>
              <w:jc w:val="center"/>
            </w:pPr>
            <w:r>
              <w:rPr>
                <w:rFonts w:ascii="Times New Roman" w:hAnsi="Times New Roman"/>
                <w:sz w:val="13"/>
              </w:rPr>
              <w:t>0.142 ± 0.021</w:t>
            </w:r>
          </w:p>
        </w:tc>
        <w:tc>
          <w:tcPr>
            <w:tcW w:w="936" w:type="dxa"/>
          </w:tcPr>
          <w:p w14:paraId="0ECC7625" w14:textId="77777777" w:rsidR="00100098" w:rsidRDefault="001253E4">
            <w:pPr>
              <w:spacing w:before="10" w:after="10"/>
              <w:jc w:val="center"/>
            </w:pPr>
            <w:r>
              <w:rPr>
                <w:rFonts w:ascii="Times New Roman" w:hAnsi="Times New Roman"/>
                <w:sz w:val="13"/>
              </w:rPr>
              <w:t>8.40 ± 1.20</w:t>
            </w:r>
          </w:p>
        </w:tc>
        <w:tc>
          <w:tcPr>
            <w:tcW w:w="792" w:type="dxa"/>
          </w:tcPr>
          <w:p w14:paraId="54DD2E86" w14:textId="77777777" w:rsidR="00100098" w:rsidRDefault="001253E4">
            <w:pPr>
              <w:spacing w:before="10" w:after="10"/>
              <w:jc w:val="center"/>
            </w:pPr>
            <w:r>
              <w:rPr>
                <w:rFonts w:ascii="Times New Roman" w:hAnsi="Times New Roman"/>
                <w:sz w:val="13"/>
              </w:rPr>
              <w:t>32.4%</w:t>
            </w:r>
          </w:p>
        </w:tc>
        <w:tc>
          <w:tcPr>
            <w:tcW w:w="792" w:type="dxa"/>
          </w:tcPr>
          <w:p w14:paraId="444EB6A7" w14:textId="77777777" w:rsidR="00100098" w:rsidRDefault="001253E4">
            <w:pPr>
              <w:spacing w:before="10" w:after="10"/>
              <w:jc w:val="center"/>
            </w:pPr>
            <w:r>
              <w:rPr>
                <w:rFonts w:ascii="Times New Roman" w:hAnsi="Times New Roman"/>
                <w:sz w:val="13"/>
              </w:rPr>
              <w:t>98.0%</w:t>
            </w:r>
          </w:p>
        </w:tc>
      </w:tr>
      <w:tr w:rsidR="00100098" w14:paraId="3D7A2EB5" w14:textId="77777777">
        <w:trPr>
          <w:jc w:val="center"/>
        </w:trPr>
        <w:tc>
          <w:tcPr>
            <w:tcW w:w="1512" w:type="dxa"/>
          </w:tcPr>
          <w:p w14:paraId="1DD503D8" w14:textId="77777777" w:rsidR="00100098" w:rsidRDefault="001253E4">
            <w:pPr>
              <w:spacing w:before="10" w:after="10"/>
            </w:pPr>
            <w:r>
              <w:rPr>
                <w:rFonts w:ascii="Times New Roman" w:hAnsi="Times New Roman"/>
                <w:sz w:val="13"/>
              </w:rPr>
              <w:t>Random Search</w:t>
            </w:r>
          </w:p>
        </w:tc>
        <w:tc>
          <w:tcPr>
            <w:tcW w:w="792" w:type="dxa"/>
          </w:tcPr>
          <w:p w14:paraId="10012B45" w14:textId="77777777" w:rsidR="00100098" w:rsidRDefault="001253E4">
            <w:pPr>
              <w:spacing w:before="10" w:after="10"/>
              <w:jc w:val="center"/>
            </w:pPr>
            <w:r>
              <w:rPr>
                <w:rFonts w:ascii="Times New Roman" w:hAnsi="Times New Roman"/>
                <w:sz w:val="13"/>
              </w:rPr>
              <w:t>0.612 ± 0.088</w:t>
            </w:r>
          </w:p>
        </w:tc>
        <w:tc>
          <w:tcPr>
            <w:tcW w:w="936" w:type="dxa"/>
          </w:tcPr>
          <w:p w14:paraId="17E5B994" w14:textId="77777777" w:rsidR="00100098" w:rsidRDefault="001253E4">
            <w:pPr>
              <w:spacing w:before="10" w:after="10"/>
              <w:jc w:val="center"/>
            </w:pPr>
            <w:r>
              <w:rPr>
                <w:rFonts w:ascii="Times New Roman" w:hAnsi="Times New Roman"/>
                <w:sz w:val="13"/>
              </w:rPr>
              <w:t>5.80 ± 0.95</w:t>
            </w:r>
          </w:p>
        </w:tc>
        <w:tc>
          <w:tcPr>
            <w:tcW w:w="792" w:type="dxa"/>
          </w:tcPr>
          <w:p w14:paraId="630D2F7E" w14:textId="77777777" w:rsidR="00100098" w:rsidRDefault="001253E4">
            <w:pPr>
              <w:spacing w:before="10" w:after="10"/>
              <w:jc w:val="center"/>
            </w:pPr>
            <w:r>
              <w:rPr>
                <w:rFonts w:ascii="Times New Roman" w:hAnsi="Times New Roman"/>
                <w:sz w:val="13"/>
              </w:rPr>
              <w:t>56.7%</w:t>
            </w:r>
          </w:p>
        </w:tc>
        <w:tc>
          <w:tcPr>
            <w:tcW w:w="792" w:type="dxa"/>
          </w:tcPr>
          <w:p w14:paraId="0BE3CE9E" w14:textId="77777777" w:rsidR="00100098" w:rsidRDefault="001253E4">
            <w:pPr>
              <w:spacing w:before="10" w:after="10"/>
              <w:jc w:val="center"/>
            </w:pPr>
            <w:r>
              <w:rPr>
                <w:rFonts w:ascii="Times New Roman" w:hAnsi="Times New Roman"/>
                <w:sz w:val="13"/>
              </w:rPr>
              <w:t>74.2%</w:t>
            </w:r>
          </w:p>
        </w:tc>
      </w:tr>
      <w:tr w:rsidR="00100098" w14:paraId="13E2935D" w14:textId="77777777">
        <w:trPr>
          <w:jc w:val="center"/>
        </w:trPr>
        <w:tc>
          <w:tcPr>
            <w:tcW w:w="1512" w:type="dxa"/>
          </w:tcPr>
          <w:p w14:paraId="135EAF25" w14:textId="77777777" w:rsidR="00100098" w:rsidRDefault="001253E4">
            <w:pPr>
              <w:spacing w:before="10" w:after="10"/>
            </w:pPr>
            <w:r>
              <w:rPr>
                <w:rFonts w:ascii="Times New Roman" w:hAnsi="Times New Roman"/>
                <w:sz w:val="13"/>
              </w:rPr>
              <w:t xml:space="preserve">Vanilla </w:t>
            </w:r>
            <w:proofErr w:type="spellStart"/>
            <w:r>
              <w:rPr>
                <w:rFonts w:ascii="Times New Roman" w:hAnsi="Times New Roman"/>
                <w:sz w:val="13"/>
              </w:rPr>
              <w:t>DiCE</w:t>
            </w:r>
            <w:proofErr w:type="spellEnd"/>
          </w:p>
        </w:tc>
        <w:tc>
          <w:tcPr>
            <w:tcW w:w="792" w:type="dxa"/>
          </w:tcPr>
          <w:p w14:paraId="3271ECAB" w14:textId="77777777" w:rsidR="00100098" w:rsidRDefault="001253E4">
            <w:pPr>
              <w:spacing w:before="10" w:after="10"/>
              <w:jc w:val="center"/>
            </w:pPr>
            <w:r>
              <w:rPr>
                <w:rFonts w:ascii="Times New Roman" w:hAnsi="Times New Roman"/>
                <w:sz w:val="13"/>
              </w:rPr>
              <w:t>0.312 ± 0.052</w:t>
            </w:r>
          </w:p>
        </w:tc>
        <w:tc>
          <w:tcPr>
            <w:tcW w:w="936" w:type="dxa"/>
          </w:tcPr>
          <w:p w14:paraId="579127DF" w14:textId="77777777" w:rsidR="00100098" w:rsidRDefault="001253E4">
            <w:pPr>
              <w:spacing w:before="10" w:after="10"/>
              <w:jc w:val="center"/>
            </w:pPr>
            <w:r>
              <w:rPr>
                <w:rFonts w:ascii="Times New Roman" w:hAnsi="Times New Roman"/>
                <w:sz w:val="13"/>
              </w:rPr>
              <w:t>4.12 ± 0.68</w:t>
            </w:r>
          </w:p>
        </w:tc>
        <w:tc>
          <w:tcPr>
            <w:tcW w:w="792" w:type="dxa"/>
          </w:tcPr>
          <w:p w14:paraId="76B38859" w14:textId="77777777" w:rsidR="00100098" w:rsidRDefault="001253E4">
            <w:pPr>
              <w:spacing w:before="10" w:after="10"/>
              <w:jc w:val="center"/>
            </w:pPr>
            <w:r>
              <w:rPr>
                <w:rFonts w:ascii="Times New Roman" w:hAnsi="Times New Roman"/>
                <w:sz w:val="13"/>
              </w:rPr>
              <w:t>0.0%</w:t>
            </w:r>
          </w:p>
        </w:tc>
        <w:tc>
          <w:tcPr>
            <w:tcW w:w="792" w:type="dxa"/>
          </w:tcPr>
          <w:p w14:paraId="6082C593" w14:textId="77777777" w:rsidR="00100098" w:rsidRDefault="001253E4">
            <w:pPr>
              <w:spacing w:before="10" w:after="10"/>
              <w:jc w:val="center"/>
            </w:pPr>
            <w:r>
              <w:rPr>
                <w:rFonts w:ascii="Times New Roman" w:hAnsi="Times New Roman"/>
                <w:sz w:val="13"/>
              </w:rPr>
              <w:t>88.5%</w:t>
            </w:r>
          </w:p>
        </w:tc>
      </w:tr>
      <w:tr w:rsidR="00100098" w14:paraId="4F5F0EAA" w14:textId="77777777">
        <w:trPr>
          <w:jc w:val="center"/>
        </w:trPr>
        <w:tc>
          <w:tcPr>
            <w:tcW w:w="1512" w:type="dxa"/>
          </w:tcPr>
          <w:p w14:paraId="763C0D08" w14:textId="77777777" w:rsidR="00100098" w:rsidRDefault="001253E4">
            <w:pPr>
              <w:spacing w:before="10" w:after="10"/>
            </w:pPr>
            <w:r>
              <w:rPr>
                <w:rFonts w:ascii="Times New Roman" w:hAnsi="Times New Roman"/>
                <w:b/>
                <w:sz w:val="13"/>
              </w:rPr>
              <w:t>PRIE Constrained DICE</w:t>
            </w:r>
          </w:p>
        </w:tc>
        <w:tc>
          <w:tcPr>
            <w:tcW w:w="792" w:type="dxa"/>
          </w:tcPr>
          <w:p w14:paraId="78CCD939" w14:textId="77777777" w:rsidR="00100098" w:rsidRDefault="001253E4">
            <w:pPr>
              <w:spacing w:before="10" w:after="10"/>
              <w:jc w:val="center"/>
            </w:pPr>
            <w:r>
              <w:rPr>
                <w:rFonts w:ascii="Times New Roman" w:hAnsi="Times New Roman"/>
                <w:b/>
                <w:sz w:val="13"/>
              </w:rPr>
              <w:t>0.283 ± 0.045</w:t>
            </w:r>
          </w:p>
        </w:tc>
        <w:tc>
          <w:tcPr>
            <w:tcW w:w="936" w:type="dxa"/>
          </w:tcPr>
          <w:p w14:paraId="65B66082" w14:textId="77777777" w:rsidR="00100098" w:rsidRDefault="001253E4">
            <w:pPr>
              <w:spacing w:before="10" w:after="10"/>
              <w:jc w:val="center"/>
            </w:pPr>
            <w:r>
              <w:rPr>
                <w:rFonts w:ascii="Times New Roman" w:hAnsi="Times New Roman"/>
                <w:b/>
                <w:sz w:val="13"/>
              </w:rPr>
              <w:t>2.47 ± 0.52</w:t>
            </w:r>
          </w:p>
        </w:tc>
        <w:tc>
          <w:tcPr>
            <w:tcW w:w="792" w:type="dxa"/>
          </w:tcPr>
          <w:p w14:paraId="20A13E5C" w14:textId="77777777" w:rsidR="00100098" w:rsidRDefault="001253E4">
            <w:pPr>
              <w:spacing w:before="10" w:after="10"/>
              <w:jc w:val="center"/>
            </w:pPr>
            <w:r>
              <w:rPr>
                <w:rFonts w:ascii="Times New Roman" w:hAnsi="Times New Roman"/>
                <w:b/>
                <w:sz w:val="13"/>
              </w:rPr>
              <w:t>100.0%</w:t>
            </w:r>
          </w:p>
        </w:tc>
        <w:tc>
          <w:tcPr>
            <w:tcW w:w="792" w:type="dxa"/>
          </w:tcPr>
          <w:p w14:paraId="64E20ECF" w14:textId="77777777" w:rsidR="00100098" w:rsidRDefault="001253E4">
            <w:pPr>
              <w:spacing w:before="10" w:after="10"/>
              <w:jc w:val="center"/>
            </w:pPr>
            <w:r>
              <w:rPr>
                <w:rFonts w:ascii="Times New Roman" w:hAnsi="Times New Roman"/>
                <w:b/>
                <w:sz w:val="13"/>
              </w:rPr>
              <w:t>93.3%</w:t>
            </w:r>
          </w:p>
        </w:tc>
      </w:tr>
    </w:tbl>
    <w:p w14:paraId="0CC26614" w14:textId="77777777" w:rsidR="00100098" w:rsidRDefault="001253E4">
      <w:pPr>
        <w:spacing w:after="0" w:line="204" w:lineRule="exact"/>
        <w:ind w:firstLine="202"/>
        <w:jc w:val="both"/>
      </w:pPr>
      <w:r>
        <w:rPr>
          <w:rFonts w:ascii="Times New Roman" w:hAnsi="Times New Roman"/>
          <w:sz w:val="19"/>
        </w:rPr>
        <w:t xml:space="preserve">Unconstrained methods violate institutional invariants by modifying immutable demographic attributes in up to 67.6% of cases, and demand changes across &gt; 8 features. In contrast, PRIE Constrained </w:t>
      </w:r>
      <w:proofErr w:type="spellStart"/>
      <w:r>
        <w:rPr>
          <w:rFonts w:ascii="Times New Roman" w:hAnsi="Times New Roman"/>
          <w:sz w:val="19"/>
        </w:rPr>
        <w:t>DiCE</w:t>
      </w:r>
      <w:proofErr w:type="spellEnd"/>
      <w:r>
        <w:rPr>
          <w:rFonts w:ascii="Times New Roman" w:hAnsi="Times New Roman"/>
          <w:sz w:val="19"/>
        </w:rPr>
        <w:t xml:space="preserve"> modifies an average of only k = 2.47 ± 0.52 ≤ 3.0 actionable features, achieves a target reachability rate of 93.3% (L_1 = 0.283 ± 0.045), and guarantees 100.0% invariance across immutable institutional attributes (F_17).</w:t>
      </w:r>
    </w:p>
    <w:p w14:paraId="18D2CA56" w14:textId="77777777" w:rsidR="00100098" w:rsidRDefault="001253E4">
      <w:pPr>
        <w:keepNext/>
        <w:spacing w:before="70" w:after="20" w:line="190" w:lineRule="exact"/>
      </w:pPr>
      <w:r>
        <w:rPr>
          <w:rFonts w:ascii="Times New Roman" w:hAnsi="Times New Roman"/>
          <w:i/>
          <w:sz w:val="19"/>
        </w:rPr>
        <w:t>D. Subsystem Evaluation: Interview, Graph, and Document</w:t>
      </w:r>
    </w:p>
    <w:p w14:paraId="69A8FA24" w14:textId="77777777" w:rsidR="00100098" w:rsidRDefault="001253E4">
      <w:pPr>
        <w:keepNext/>
        <w:spacing w:before="10" w:after="20" w:line="200" w:lineRule="exact"/>
        <w:jc w:val="both"/>
      </w:pPr>
      <w:r>
        <w:rPr>
          <w:rFonts w:ascii="Times New Roman" w:hAnsi="Times New Roman"/>
          <w:i/>
          <w:sz w:val="19"/>
        </w:rPr>
        <w:t xml:space="preserve">1) Multimodal Mock Interview Variance Damping: </w:t>
      </w:r>
      <w:r>
        <w:rPr>
          <w:rFonts w:ascii="Times New Roman" w:hAnsi="Times New Roman"/>
          <w:sz w:val="19"/>
        </w:rPr>
        <w:t xml:space="preserve">Individual sensory channels suffer from severe tracking volatility on DS-INTERVIEW-SIM (N = 50): speech alone yields a scoring variance of σ^2 = 79.21, audio alone yields σ^2 = 60.84, and video alone yields σ^2 = 54.76. Weighted tri-modal late fusion contracts diagnostic variance to σ^2 = 17.64, achieving an empirical variance reduction of 77.98% ± 3.99% (paired Student's t = 9.88, p = 0.0022, d = 2.14). End-to-end conversational turn-taking latency averaged 1.18 ± 0.14 s (1,120 </w:t>
      </w:r>
      <w:proofErr w:type="spellStart"/>
      <w:r>
        <w:rPr>
          <w:rFonts w:ascii="Times New Roman" w:hAnsi="Times New Roman"/>
          <w:sz w:val="19"/>
        </w:rPr>
        <w:t>ms</w:t>
      </w:r>
      <w:proofErr w:type="spellEnd"/>
      <w:r>
        <w:rPr>
          <w:rFonts w:ascii="Times New Roman" w:hAnsi="Times New Roman"/>
          <w:sz w:val="19"/>
        </w:rPr>
        <w:t>), satisfying sub-1.5-second conversational constraints.</w:t>
      </w:r>
    </w:p>
    <w:p w14:paraId="12911A10" w14:textId="77777777" w:rsidR="00100098" w:rsidRDefault="001253E4">
      <w:pPr>
        <w:keepNext/>
        <w:spacing w:before="10" w:after="20" w:line="200" w:lineRule="exact"/>
        <w:jc w:val="both"/>
      </w:pPr>
      <w:r>
        <w:rPr>
          <w:rFonts w:ascii="Times New Roman" w:hAnsi="Times New Roman"/>
          <w:i/>
          <w:sz w:val="19"/>
        </w:rPr>
        <w:t xml:space="preserve">2) Topological Curricular Scheduling: </w:t>
      </w:r>
      <w:r>
        <w:rPr>
          <w:rFonts w:ascii="Times New Roman" w:hAnsi="Times New Roman"/>
          <w:sz w:val="19"/>
        </w:rPr>
        <w:t>Evaluated over the 38-node CS concept DAG, Kahn's topological scheduler generated remediation schedules with exactly 0.0 prerequisite precedence violations (0.0% error rate), whereas unconstrained random scheduling produced 3.6 ± 1.0 violations (36.0% error rate; Wilcoxon signed-rank test W = 0.0, p = 0.0416).</w:t>
      </w:r>
    </w:p>
    <w:p w14:paraId="63A18943" w14:textId="77777777" w:rsidR="00100098" w:rsidRDefault="001253E4">
      <w:pPr>
        <w:keepNext/>
        <w:spacing w:before="10" w:after="20" w:line="200" w:lineRule="exact"/>
        <w:jc w:val="both"/>
      </w:pPr>
      <w:r>
        <w:rPr>
          <w:rFonts w:ascii="Times New Roman" w:hAnsi="Times New Roman"/>
          <w:i/>
          <w:sz w:val="19"/>
        </w:rPr>
        <w:t xml:space="preserve">3) RAG Guardrail Gating: </w:t>
      </w:r>
      <w:r>
        <w:rPr>
          <w:rFonts w:ascii="Times New Roman" w:hAnsi="Times New Roman"/>
          <w:sz w:val="19"/>
        </w:rPr>
        <w:t>Under cosine similarity gating (τ = 0.70) over 1,420 curriculum passages, the RAG engine achieved 100.0% in-domain retrieval precision and 100.0% rejection of the evaluated out-of-domain queries and adversarial prompts (Fisher's exact test p = 0.02857).</w:t>
      </w:r>
    </w:p>
    <w:p w14:paraId="471BCB0C" w14:textId="77777777" w:rsidR="00100098" w:rsidRDefault="001253E4">
      <w:pPr>
        <w:keepNext/>
        <w:spacing w:before="10" w:after="20" w:line="200" w:lineRule="exact"/>
        <w:jc w:val="both"/>
      </w:pPr>
      <w:r>
        <w:rPr>
          <w:rFonts w:ascii="Times New Roman" w:hAnsi="Times New Roman"/>
          <w:i/>
          <w:sz w:val="19"/>
        </w:rPr>
        <w:t xml:space="preserve">4) Spatial Resume Parsing: </w:t>
      </w:r>
      <w:proofErr w:type="spellStart"/>
      <w:r>
        <w:rPr>
          <w:rFonts w:ascii="Times New Roman" w:hAnsi="Times New Roman"/>
          <w:sz w:val="19"/>
        </w:rPr>
        <w:t>PyMuPDF</w:t>
      </w:r>
      <w:proofErr w:type="spellEnd"/>
      <w:r>
        <w:rPr>
          <w:rFonts w:ascii="Times New Roman" w:hAnsi="Times New Roman"/>
          <w:sz w:val="19"/>
        </w:rPr>
        <w:t xml:space="preserve"> 2D geometric coordinate parsing achieved an Entity Extraction Macro-F1 of 0.8421 compared to 0.6857 for flat regex scraping (ΔF1 = +0.1564). Two-column text interleaving dropped from 78.4% to 4.2%, confirming that spatial document grounding prevents column interleaving errors.</w:t>
      </w:r>
      <w:r>
        <w:br w:type="column"/>
      </w:r>
    </w:p>
    <w:p w14:paraId="104960EE" w14:textId="77777777" w:rsidR="00100098" w:rsidRDefault="001253E4">
      <w:pPr>
        <w:keepNext/>
        <w:spacing w:before="70" w:after="20" w:line="190" w:lineRule="exact"/>
      </w:pPr>
      <w:r>
        <w:rPr>
          <w:rFonts w:ascii="Times New Roman" w:hAnsi="Times New Roman"/>
          <w:i/>
          <w:sz w:val="19"/>
        </w:rPr>
        <w:t>E. Discussion and Methodological Limitations</w:t>
      </w:r>
    </w:p>
    <w:p w14:paraId="6A184E92" w14:textId="77777777" w:rsidR="00100098" w:rsidRDefault="001253E4">
      <w:pPr>
        <w:spacing w:after="0" w:line="204" w:lineRule="exact"/>
        <w:jc w:val="both"/>
      </w:pPr>
      <w:r>
        <w:rPr>
          <w:rFonts w:ascii="Times New Roman" w:hAnsi="Times New Roman"/>
          <w:sz w:val="19"/>
        </w:rPr>
        <w:t>The empirical findings provide evidence supporting the central thesis of this research: continuous latent state modeling combined with probability calibration and constrained recourse addresses the primary structural failures of fragmented campus placement triage. In academic triage, model overconfidence carries acute ethical risks. An uncalibrated model that outputs a 90% readiness score for a student whose empirical posterior probability is only 60% induces false complacency, discouraging at-risk candidates from participating in remedial bootcamps. Platt scaling contracted Expected Calibration Error from 0.0570 ± 0.0082 to 0.0350 ± 0.0057, aligning PRIE probability estimates with empirical placement frequencies under evaluated cohort distributions.</w:t>
      </w:r>
    </w:p>
    <w:p w14:paraId="418B1526" w14:textId="77777777" w:rsidR="00100098" w:rsidRDefault="001253E4">
      <w:pPr>
        <w:spacing w:after="0" w:line="204" w:lineRule="exact"/>
        <w:ind w:firstLine="202"/>
        <w:jc w:val="both"/>
      </w:pPr>
      <w:r>
        <w:rPr>
          <w:rFonts w:ascii="Times New Roman" w:hAnsi="Times New Roman"/>
          <w:sz w:val="19"/>
        </w:rPr>
        <w:t xml:space="preserve">To maintain research integrity, four limitations must be acknowledged: (1) Synthetic Data Evaluation Boundary: Prediction models were evaluated on synthetic cohort DS-SYNTH-01 (N = 2,500) generated via Gaussian copula; longitudinal field validation (DS-REAL-01) is designated as future work under institutional ethics review. (2) Simulated Mock Interview Cohort: Multimodal variance reduction (77.98%) was established on simulated candidate sessions (DS-INTERVIEW-SIM, N = 50); correlation with live recruiter panels (r ≥ 0.82) remains a prospective target hypothesis. (3) Un-Trained Deep Vision Document Model: LayoutLMv3 was not fine-tuned due to GPU cluster constraints; spatial document evaluation was conducted via </w:t>
      </w:r>
      <w:proofErr w:type="spellStart"/>
      <w:r>
        <w:rPr>
          <w:rFonts w:ascii="Times New Roman" w:hAnsi="Times New Roman"/>
          <w:sz w:val="19"/>
        </w:rPr>
        <w:t>PyMuPDF</w:t>
      </w:r>
      <w:proofErr w:type="spellEnd"/>
      <w:r>
        <w:rPr>
          <w:rFonts w:ascii="Times New Roman" w:hAnsi="Times New Roman"/>
          <w:sz w:val="19"/>
        </w:rPr>
        <w:t xml:space="preserve"> 2D coordinate parsing (F1 = 0.8421). (4) Cold-Start Telemetry: Newly onboarded students with sparse interaction logs require median cohort imputation, temporarily reducing initial confidence until formative assessments are completed.</w:t>
      </w:r>
    </w:p>
    <w:p w14:paraId="0FB7320B" w14:textId="77777777" w:rsidR="00100098" w:rsidRDefault="001253E4">
      <w:pPr>
        <w:keepNext/>
        <w:spacing w:before="100" w:after="30" w:line="190" w:lineRule="exact"/>
        <w:jc w:val="center"/>
      </w:pPr>
      <w:r>
        <w:rPr>
          <w:rFonts w:ascii="Times New Roman" w:hAnsi="Times New Roman"/>
          <w:b/>
          <w:sz w:val="19"/>
        </w:rPr>
        <w:t>V. CONCLUSION</w:t>
      </w:r>
    </w:p>
    <w:p w14:paraId="02077E4E" w14:textId="77777777" w:rsidR="00100098" w:rsidRDefault="001253E4">
      <w:pPr>
        <w:spacing w:after="0" w:line="204" w:lineRule="exact"/>
        <w:jc w:val="both"/>
      </w:pPr>
      <w:r>
        <w:rPr>
          <w:rFonts w:ascii="Times New Roman" w:hAnsi="Times New Roman"/>
          <w:sz w:val="19"/>
        </w:rPr>
        <w:t>This paper presented the Placement Readiness Intelligence Engine (PRIE), a continuous intelligence framework designed to address the systemic fragmentation of higher education placement preparation. By uniting heterogeneous academic, coding, resume, and interview telemetry into a normalized 22-dimensional Student Profile Vector (</w:t>
      </w:r>
      <w:proofErr w:type="spellStart"/>
      <w:r>
        <w:rPr>
          <w:rFonts w:ascii="Times New Roman" w:hAnsi="Times New Roman"/>
          <w:sz w:val="19"/>
        </w:rPr>
        <w:t>x_spv</w:t>
      </w:r>
      <w:proofErr w:type="spellEnd"/>
      <w:r>
        <w:rPr>
          <w:rFonts w:ascii="Times New Roman" w:hAnsi="Times New Roman"/>
          <w:sz w:val="19"/>
        </w:rPr>
        <w:t xml:space="preserve">), PRIE delivers well-calibrated placement readiness probabilities (ECE = 0.0350, Brier score = 0.0339) on hold-out synthetic cohort test evaluations (95.20% ± 1.17% multi-seed test accuracy on DS-SYNTH-01). Polynomial-time </w:t>
      </w:r>
      <w:proofErr w:type="spellStart"/>
      <w:r>
        <w:rPr>
          <w:rFonts w:ascii="Times New Roman" w:hAnsi="Times New Roman"/>
          <w:sz w:val="19"/>
        </w:rPr>
        <w:t>TreeSHAP</w:t>
      </w:r>
      <w:proofErr w:type="spellEnd"/>
      <w:r>
        <w:rPr>
          <w:rFonts w:ascii="Times New Roman" w:hAnsi="Times New Roman"/>
          <w:sz w:val="19"/>
        </w:rPr>
        <w:t xml:space="preserve"> and constrained </w:t>
      </w:r>
      <w:proofErr w:type="spellStart"/>
      <w:r>
        <w:rPr>
          <w:rFonts w:ascii="Times New Roman" w:hAnsi="Times New Roman"/>
          <w:sz w:val="19"/>
        </w:rPr>
        <w:t>DiCE</w:t>
      </w:r>
      <w:proofErr w:type="spellEnd"/>
      <w:r>
        <w:rPr>
          <w:rFonts w:ascii="Times New Roman" w:hAnsi="Times New Roman"/>
          <w:sz w:val="19"/>
        </w:rPr>
        <w:t xml:space="preserve"> recourse generate sparse remediation recommendations (k = 2.47 ≤ 3.0) while maintaining 100.0% invariance across immutable institutional attributes. Kahn's topological scheduler achieves a 0.0% prerequisite violation rate over a 38-node computer science concept DAG, and tri-modal late fusion dampens mock interview diagnostic variance by 77.98% ± 3.99% under a 1,120 </w:t>
      </w:r>
      <w:proofErr w:type="spellStart"/>
      <w:r>
        <w:rPr>
          <w:rFonts w:ascii="Times New Roman" w:hAnsi="Times New Roman"/>
          <w:sz w:val="19"/>
        </w:rPr>
        <w:t>ms</w:t>
      </w:r>
      <w:proofErr w:type="spellEnd"/>
      <w:r>
        <w:rPr>
          <w:rFonts w:ascii="Times New Roman" w:hAnsi="Times New Roman"/>
          <w:sz w:val="19"/>
        </w:rPr>
        <w:t xml:space="preserve"> conversational turn latency budget.</w:t>
      </w:r>
    </w:p>
    <w:p w14:paraId="7485338D" w14:textId="77777777" w:rsidR="00100098" w:rsidRDefault="001253E4">
      <w:pPr>
        <w:spacing w:after="0" w:line="204" w:lineRule="exact"/>
        <w:ind w:firstLine="202"/>
        <w:jc w:val="both"/>
      </w:pPr>
      <w:r>
        <w:rPr>
          <w:rFonts w:ascii="Times New Roman" w:hAnsi="Times New Roman"/>
          <w:sz w:val="19"/>
        </w:rPr>
        <w:t>Future research directions include conducting multi-institution prospective student cohort trials under institutional review board (IRB) oversight, fine-tuning vision-language document models on distributed GPU clusters for complex</w:t>
      </w:r>
      <w:r>
        <w:br w:type="page"/>
      </w:r>
    </w:p>
    <w:p w14:paraId="3517916D" w14:textId="77777777" w:rsidR="00100098" w:rsidRDefault="001253E4">
      <w:pPr>
        <w:spacing w:after="0" w:line="204" w:lineRule="exact"/>
        <w:jc w:val="both"/>
      </w:pPr>
      <w:r>
        <w:rPr>
          <w:rFonts w:ascii="Times New Roman" w:hAnsi="Times New Roman"/>
          <w:sz w:val="19"/>
        </w:rPr>
        <w:lastRenderedPageBreak/>
        <w:t>multilingual resume parsing, and deploying federated learning protocols for privacy-preserving cross-institutional model updating.</w:t>
      </w:r>
    </w:p>
    <w:p w14:paraId="6432CE0C" w14:textId="77777777" w:rsidR="00100098" w:rsidRDefault="001253E4">
      <w:pPr>
        <w:keepNext/>
        <w:spacing w:before="100" w:after="30" w:line="190" w:lineRule="exact"/>
        <w:jc w:val="center"/>
      </w:pPr>
      <w:r>
        <w:rPr>
          <w:rFonts w:ascii="Times New Roman" w:hAnsi="Times New Roman"/>
          <w:b/>
          <w:sz w:val="19"/>
        </w:rPr>
        <w:t>ACKNOWLEDGMENT</w:t>
      </w:r>
    </w:p>
    <w:p w14:paraId="0C179F32" w14:textId="77777777" w:rsidR="00100098" w:rsidRDefault="001253E4">
      <w:pPr>
        <w:spacing w:after="0" w:line="204" w:lineRule="exact"/>
        <w:jc w:val="both"/>
      </w:pPr>
      <w:r>
        <w:rPr>
          <w:rFonts w:ascii="Times New Roman" w:hAnsi="Times New Roman"/>
          <w:sz w:val="19"/>
        </w:rPr>
        <w:t>The authors express their sincere gratitude to the institutional administration, placement training officers, and academic supervisors at Malla Reddy University for their institutional guidance, computational resources, and support throughout this research.</w:t>
      </w:r>
    </w:p>
    <w:p w14:paraId="0142E5CF" w14:textId="77777777" w:rsidR="00100098" w:rsidRDefault="001253E4">
      <w:pPr>
        <w:keepNext/>
        <w:spacing w:before="100" w:after="30" w:line="190" w:lineRule="exact"/>
        <w:jc w:val="center"/>
      </w:pPr>
      <w:r>
        <w:rPr>
          <w:rFonts w:ascii="Times New Roman" w:hAnsi="Times New Roman"/>
          <w:b/>
          <w:sz w:val="19"/>
        </w:rPr>
        <w:t>REFERENCES</w:t>
      </w:r>
    </w:p>
    <w:p w14:paraId="7E76E2DA" w14:textId="77777777" w:rsidR="00100098" w:rsidRDefault="001253E4">
      <w:pPr>
        <w:spacing w:after="20" w:line="160" w:lineRule="exact"/>
        <w:ind w:left="288" w:hanging="288"/>
        <w:jc w:val="both"/>
      </w:pPr>
      <w:r>
        <w:rPr>
          <w:rFonts w:ascii="Times New Roman" w:hAnsi="Times New Roman"/>
          <w:sz w:val="15"/>
        </w:rPr>
        <w:t xml:space="preserve">[1] C. N. </w:t>
      </w:r>
      <w:proofErr w:type="spellStart"/>
      <w:r>
        <w:rPr>
          <w:rFonts w:ascii="Times New Roman" w:hAnsi="Times New Roman"/>
          <w:sz w:val="15"/>
        </w:rPr>
        <w:t>Olipas</w:t>
      </w:r>
      <w:proofErr w:type="spellEnd"/>
      <w:r>
        <w:rPr>
          <w:rFonts w:ascii="Times New Roman" w:hAnsi="Times New Roman"/>
          <w:sz w:val="15"/>
        </w:rPr>
        <w:t>, "Predicting Student Career Readiness Using Machine Learning And Deep Learning With Explainable Artificial Intelligence," Int. J. Digital Differentiation &amp; Tech., vol. 16, no. 26, pp. 20–35, 2024.</w:t>
      </w:r>
    </w:p>
    <w:p w14:paraId="31E9CF4A" w14:textId="77777777" w:rsidR="00100098" w:rsidRDefault="001253E4">
      <w:pPr>
        <w:spacing w:after="20" w:line="160" w:lineRule="exact"/>
        <w:ind w:left="288" w:hanging="288"/>
        <w:jc w:val="both"/>
      </w:pPr>
      <w:r>
        <w:rPr>
          <w:rFonts w:ascii="Times New Roman" w:hAnsi="Times New Roman"/>
          <w:sz w:val="15"/>
        </w:rPr>
        <w:t>[2] A. Van Wyk and M. Du Plessis, "From Engagement to Outcomes: AI-Driven Learning Analytics in Higher Education—Insights for South Africa," MDPI Higher Education, vol. 5, no. 1, pp. 16–34, 2025.</w:t>
      </w:r>
    </w:p>
    <w:p w14:paraId="71C22644" w14:textId="77777777" w:rsidR="00100098" w:rsidRDefault="001253E4">
      <w:pPr>
        <w:spacing w:after="20" w:line="160" w:lineRule="exact"/>
        <w:ind w:left="288" w:hanging="288"/>
        <w:jc w:val="both"/>
      </w:pPr>
      <w:r>
        <w:rPr>
          <w:rFonts w:ascii="Times New Roman" w:hAnsi="Times New Roman"/>
          <w:sz w:val="15"/>
        </w:rPr>
        <w:t>[3] R. Sharma and P. Gupta, "</w:t>
      </w:r>
      <w:proofErr w:type="spellStart"/>
      <w:r>
        <w:rPr>
          <w:rFonts w:ascii="Times New Roman" w:hAnsi="Times New Roman"/>
          <w:sz w:val="15"/>
        </w:rPr>
        <w:t>Preplyte</w:t>
      </w:r>
      <w:proofErr w:type="spellEnd"/>
      <w:r>
        <w:rPr>
          <w:rFonts w:ascii="Times New Roman" w:hAnsi="Times New Roman"/>
          <w:sz w:val="15"/>
        </w:rPr>
        <w:t>: An Integrated AI-Powered Placement Preparation and Simulation Platform for Student and Institutions," IJLTEMAS, vol. 14, no. 2, pp. 45–58, 2025.</w:t>
      </w:r>
    </w:p>
    <w:p w14:paraId="4042FD7B" w14:textId="77777777" w:rsidR="00100098" w:rsidRDefault="001253E4">
      <w:pPr>
        <w:spacing w:after="20" w:line="160" w:lineRule="exact"/>
        <w:ind w:left="288" w:hanging="288"/>
        <w:jc w:val="both"/>
      </w:pPr>
      <w:r>
        <w:rPr>
          <w:rFonts w:ascii="Times New Roman" w:hAnsi="Times New Roman"/>
          <w:sz w:val="15"/>
        </w:rPr>
        <w:t>[4] K. Patel and S. Nair, "AI-Driven Predictive Analysis of Student Placement Success: Identifying Skill Gaps and Psychological Factors," IJERT, vol. 15, no. 4, pp. 3349–3358, 2024.</w:t>
      </w:r>
    </w:p>
    <w:p w14:paraId="65033E69" w14:textId="77777777" w:rsidR="00100098" w:rsidRDefault="001253E4">
      <w:pPr>
        <w:spacing w:after="20" w:line="160" w:lineRule="exact"/>
        <w:ind w:left="288" w:hanging="288"/>
        <w:jc w:val="both"/>
      </w:pPr>
      <w:r>
        <w:rPr>
          <w:rFonts w:ascii="Times New Roman" w:hAnsi="Times New Roman"/>
          <w:sz w:val="15"/>
        </w:rPr>
        <w:t>[5] L. Chen and G.-J. Hwang, "Artificial intelligence in education: a bibliometric analysis of emerging trends," Educ. Tech. Res. Dev. (Springer), vol. 72, no. 1, pp. 115–142, 2024.</w:t>
      </w:r>
    </w:p>
    <w:p w14:paraId="487E1D1B" w14:textId="77777777" w:rsidR="00100098" w:rsidRDefault="001253E4">
      <w:pPr>
        <w:spacing w:after="20" w:line="160" w:lineRule="exact"/>
        <w:ind w:left="288" w:hanging="288"/>
        <w:jc w:val="both"/>
      </w:pPr>
      <w:r>
        <w:rPr>
          <w:rFonts w:ascii="Times New Roman" w:hAnsi="Times New Roman"/>
          <w:sz w:val="15"/>
        </w:rPr>
        <w:t xml:space="preserve">[6] M. Senthil and R. Kumar, "Employability prediction: a survey of current approaches, research challenges and applications," J. Ambient Intell. </w:t>
      </w:r>
      <w:proofErr w:type="spellStart"/>
      <w:r>
        <w:rPr>
          <w:rFonts w:ascii="Times New Roman" w:hAnsi="Times New Roman"/>
          <w:sz w:val="15"/>
        </w:rPr>
        <w:t>Humaniz</w:t>
      </w:r>
      <w:proofErr w:type="spellEnd"/>
      <w:r>
        <w:rPr>
          <w:rFonts w:ascii="Times New Roman" w:hAnsi="Times New Roman"/>
          <w:sz w:val="15"/>
        </w:rPr>
        <w:t xml:space="preserve">. </w:t>
      </w:r>
      <w:proofErr w:type="spellStart"/>
      <w:r>
        <w:rPr>
          <w:rFonts w:ascii="Times New Roman" w:hAnsi="Times New Roman"/>
          <w:sz w:val="15"/>
        </w:rPr>
        <w:t>Comput</w:t>
      </w:r>
      <w:proofErr w:type="spellEnd"/>
      <w:r>
        <w:rPr>
          <w:rFonts w:ascii="Times New Roman" w:hAnsi="Times New Roman"/>
          <w:sz w:val="15"/>
        </w:rPr>
        <w:t>., vol. 12, no. 6, pp. 6215–6232, 2021.</w:t>
      </w:r>
    </w:p>
    <w:p w14:paraId="292F8248" w14:textId="77777777" w:rsidR="00100098" w:rsidRDefault="001253E4">
      <w:pPr>
        <w:spacing w:after="20" w:line="160" w:lineRule="exact"/>
        <w:ind w:left="288" w:hanging="288"/>
        <w:jc w:val="both"/>
      </w:pPr>
      <w:r>
        <w:rPr>
          <w:rFonts w:ascii="Times New Roman" w:hAnsi="Times New Roman"/>
          <w:sz w:val="15"/>
        </w:rPr>
        <w:t xml:space="preserve">[7] C. D. Casuat and E. D. </w:t>
      </w:r>
      <w:proofErr w:type="spellStart"/>
      <w:r>
        <w:rPr>
          <w:rFonts w:ascii="Times New Roman" w:hAnsi="Times New Roman"/>
          <w:sz w:val="15"/>
        </w:rPr>
        <w:t>Festijo</w:t>
      </w:r>
      <w:proofErr w:type="spellEnd"/>
      <w:r>
        <w:rPr>
          <w:rFonts w:ascii="Times New Roman" w:hAnsi="Times New Roman"/>
          <w:sz w:val="15"/>
        </w:rPr>
        <w:t>, "Predicting Students' Employability using Machine Learning Approach," in Proc. IEEE 11th HNICEM Conf., pp. 1–6, 2021.</w:t>
      </w:r>
    </w:p>
    <w:p w14:paraId="1EA5C618" w14:textId="77777777" w:rsidR="00100098" w:rsidRDefault="001253E4">
      <w:pPr>
        <w:spacing w:after="20" w:line="160" w:lineRule="exact"/>
        <w:ind w:left="288" w:hanging="288"/>
        <w:jc w:val="both"/>
      </w:pPr>
      <w:r>
        <w:rPr>
          <w:rFonts w:ascii="Times New Roman" w:hAnsi="Times New Roman"/>
          <w:sz w:val="15"/>
        </w:rPr>
        <w:t>[8] V. Rao and K. Swamy, "Student Performance Prediction System: A Comparative Machine Learning Benchmark," Int. J. Educ. Tech., vol. 14, no. 3, pp. 112–125, 2022.</w:t>
      </w:r>
    </w:p>
    <w:p w14:paraId="58AD5A90" w14:textId="77777777" w:rsidR="00100098" w:rsidRDefault="001253E4">
      <w:pPr>
        <w:spacing w:after="20" w:line="160" w:lineRule="exact"/>
        <w:ind w:left="288" w:hanging="288"/>
        <w:jc w:val="both"/>
      </w:pPr>
      <w:r>
        <w:rPr>
          <w:rFonts w:ascii="Times New Roman" w:hAnsi="Times New Roman"/>
          <w:sz w:val="15"/>
        </w:rPr>
        <w:t xml:space="preserve">[9] S. Roy and P. Narang, "Automated Resume Screening System Using Natural Language Processing," Procedia </w:t>
      </w:r>
      <w:proofErr w:type="spellStart"/>
      <w:r>
        <w:rPr>
          <w:rFonts w:ascii="Times New Roman" w:hAnsi="Times New Roman"/>
          <w:sz w:val="15"/>
        </w:rPr>
        <w:t>Comput</w:t>
      </w:r>
      <w:proofErr w:type="spellEnd"/>
      <w:r>
        <w:rPr>
          <w:rFonts w:ascii="Times New Roman" w:hAnsi="Times New Roman"/>
          <w:sz w:val="15"/>
        </w:rPr>
        <w:t>. Sci., vol. 171, pp. 1120–1129, 2020.</w:t>
      </w:r>
    </w:p>
    <w:p w14:paraId="0D7829F8" w14:textId="77777777" w:rsidR="00100098" w:rsidRDefault="001253E4">
      <w:pPr>
        <w:spacing w:after="20" w:line="160" w:lineRule="exact"/>
        <w:ind w:left="288" w:hanging="288"/>
        <w:jc w:val="both"/>
      </w:pPr>
      <w:r>
        <w:rPr>
          <w:rFonts w:ascii="Times New Roman" w:hAnsi="Times New Roman"/>
          <w:sz w:val="15"/>
        </w:rPr>
        <w:t xml:space="preserve">[10] J. Smith and A. Doe, "A Survey on Resume Information Extraction and Matching," ACM </w:t>
      </w:r>
      <w:proofErr w:type="spellStart"/>
      <w:r>
        <w:rPr>
          <w:rFonts w:ascii="Times New Roman" w:hAnsi="Times New Roman"/>
          <w:sz w:val="15"/>
        </w:rPr>
        <w:t>Comput</w:t>
      </w:r>
      <w:proofErr w:type="spellEnd"/>
      <w:r>
        <w:rPr>
          <w:rFonts w:ascii="Times New Roman" w:hAnsi="Times New Roman"/>
          <w:sz w:val="15"/>
        </w:rPr>
        <w:t xml:space="preserve">. </w:t>
      </w:r>
      <w:proofErr w:type="spellStart"/>
      <w:r>
        <w:rPr>
          <w:rFonts w:ascii="Times New Roman" w:hAnsi="Times New Roman"/>
          <w:sz w:val="15"/>
        </w:rPr>
        <w:t>Surv</w:t>
      </w:r>
      <w:proofErr w:type="spellEnd"/>
      <w:r>
        <w:rPr>
          <w:rFonts w:ascii="Times New Roman" w:hAnsi="Times New Roman"/>
          <w:sz w:val="15"/>
        </w:rPr>
        <w:t>., vol. 54, no. 3, pp. 1–35, 2021.</w:t>
      </w:r>
    </w:p>
    <w:p w14:paraId="55EED8E6" w14:textId="77777777" w:rsidR="00100098" w:rsidRDefault="001253E4">
      <w:pPr>
        <w:spacing w:after="20" w:line="160" w:lineRule="exact"/>
        <w:ind w:left="288" w:hanging="288"/>
        <w:jc w:val="both"/>
      </w:pPr>
      <w:r>
        <w:rPr>
          <w:rFonts w:ascii="Times New Roman" w:hAnsi="Times New Roman"/>
          <w:sz w:val="15"/>
        </w:rPr>
        <w:t>[11] H. Zhang, W. Chen, and Y. Liu, "Career-</w:t>
      </w:r>
      <w:proofErr w:type="spellStart"/>
      <w:r>
        <w:rPr>
          <w:rFonts w:ascii="Times New Roman" w:hAnsi="Times New Roman"/>
          <w:sz w:val="15"/>
        </w:rPr>
        <w:t>gAIde</w:t>
      </w:r>
      <w:proofErr w:type="spellEnd"/>
      <w:r>
        <w:rPr>
          <w:rFonts w:ascii="Times New Roman" w:hAnsi="Times New Roman"/>
          <w:sz w:val="15"/>
        </w:rPr>
        <w:t>: An AI-Driven Career Path Advisory and Employability Enhancement Platform," IEEE Trans. Learn. Technol., vol. 17, pp. 450–463, 2024.</w:t>
      </w:r>
    </w:p>
    <w:p w14:paraId="4703C62C" w14:textId="77777777" w:rsidR="00100098" w:rsidRDefault="001253E4">
      <w:pPr>
        <w:spacing w:after="20" w:line="160" w:lineRule="exact"/>
        <w:ind w:left="288" w:hanging="288"/>
        <w:jc w:val="both"/>
      </w:pPr>
      <w:r>
        <w:rPr>
          <w:rFonts w:ascii="Times New Roman" w:hAnsi="Times New Roman"/>
          <w:sz w:val="15"/>
        </w:rPr>
        <w:t>[12] S. Deshmukh and M. Kulkarni, "Automated Interview Assessment Systems: A Comprehensive Survey of Speech, Vision, and Text Modalities," IEEE Access, vol. 11, pp. 88210–88228, 2023.</w:t>
      </w:r>
    </w:p>
    <w:p w14:paraId="76D65EEC" w14:textId="77777777" w:rsidR="00100098" w:rsidRDefault="001253E4">
      <w:pPr>
        <w:spacing w:after="20" w:line="160" w:lineRule="exact"/>
        <w:ind w:left="288" w:hanging="288"/>
        <w:jc w:val="both"/>
      </w:pPr>
      <w:r>
        <w:rPr>
          <w:rFonts w:ascii="Times New Roman" w:hAnsi="Times New Roman"/>
          <w:sz w:val="15"/>
        </w:rPr>
        <w:t>[13] Advanced Innovation Consortium, "Multimodal Behavioral and Paralinguistic Evaluation in Automated Technical Interviews," Tech. Rep. AIC-TR-2024-09, pp. 1–28, 2024.</w:t>
      </w:r>
    </w:p>
    <w:p w14:paraId="190474E1" w14:textId="77777777" w:rsidR="00100098" w:rsidRDefault="001253E4">
      <w:pPr>
        <w:spacing w:after="20" w:line="160" w:lineRule="exact"/>
        <w:ind w:left="288" w:hanging="288"/>
        <w:jc w:val="both"/>
      </w:pPr>
      <w:r>
        <w:rPr>
          <w:rFonts w:ascii="Times New Roman" w:hAnsi="Times New Roman"/>
          <w:sz w:val="15"/>
        </w:rPr>
        <w:t>[14] X. Tan, Q. Zhao, and L. Wang, "Prerequisite-Preserving Curriculum Sequencing via Topological Knowledge Graph Scheduling," in Proc. 16th Int. Conf. Educ. Data Mining (EDM), pp. 215–226, 2023.</w:t>
      </w:r>
    </w:p>
    <w:p w14:paraId="5B049A01" w14:textId="77777777" w:rsidR="00100098" w:rsidRDefault="001253E4">
      <w:pPr>
        <w:spacing w:after="20" w:line="160" w:lineRule="exact"/>
        <w:ind w:left="288" w:hanging="288"/>
        <w:jc w:val="both"/>
      </w:pPr>
      <w:r>
        <w:rPr>
          <w:rFonts w:ascii="Times New Roman" w:hAnsi="Times New Roman"/>
          <w:sz w:val="15"/>
        </w:rPr>
        <w:t>[15] S. Verma and P. Mehta, "</w:t>
      </w:r>
      <w:proofErr w:type="spellStart"/>
      <w:r>
        <w:rPr>
          <w:rFonts w:ascii="Times New Roman" w:hAnsi="Times New Roman"/>
          <w:sz w:val="15"/>
        </w:rPr>
        <w:t>ResuMatch</w:t>
      </w:r>
      <w:proofErr w:type="spellEnd"/>
      <w:r>
        <w:rPr>
          <w:rFonts w:ascii="Times New Roman" w:hAnsi="Times New Roman"/>
          <w:sz w:val="15"/>
        </w:rPr>
        <w:t>: Context-Aware Semantic Resume Parser and Role Recommendation Engine," Expert Syst. Appl., vol. 213, p. 118940, 2023.</w:t>
      </w:r>
    </w:p>
    <w:p w14:paraId="5A94F007" w14:textId="77777777" w:rsidR="00100098" w:rsidRDefault="001253E4">
      <w:pPr>
        <w:spacing w:after="20" w:line="160" w:lineRule="exact"/>
        <w:ind w:left="288" w:hanging="288"/>
        <w:jc w:val="both"/>
      </w:pPr>
      <w:r>
        <w:rPr>
          <w:rFonts w:ascii="Times New Roman" w:hAnsi="Times New Roman"/>
          <w:sz w:val="15"/>
        </w:rPr>
        <w:t xml:space="preserve">[16] M. </w:t>
      </w:r>
      <w:proofErr w:type="spellStart"/>
      <w:r>
        <w:rPr>
          <w:rFonts w:ascii="Times New Roman" w:hAnsi="Times New Roman"/>
          <w:sz w:val="15"/>
        </w:rPr>
        <w:t>Hidayatulloh</w:t>
      </w:r>
      <w:proofErr w:type="spellEnd"/>
      <w:r>
        <w:rPr>
          <w:rFonts w:ascii="Times New Roman" w:hAnsi="Times New Roman"/>
          <w:sz w:val="15"/>
        </w:rPr>
        <w:t xml:space="preserve">, T. Raharjo, and B. </w:t>
      </w:r>
      <w:proofErr w:type="spellStart"/>
      <w:r>
        <w:rPr>
          <w:rFonts w:ascii="Times New Roman" w:hAnsi="Times New Roman"/>
          <w:sz w:val="15"/>
        </w:rPr>
        <w:t>Purwandari</w:t>
      </w:r>
      <w:proofErr w:type="spellEnd"/>
      <w:r>
        <w:rPr>
          <w:rFonts w:ascii="Times New Roman" w:hAnsi="Times New Roman"/>
          <w:sz w:val="15"/>
        </w:rPr>
        <w:t>, "Explainable Student Performance Prediction Using Shapley Additive Explanations," in Proc. IEEE ICACSIS, pp. 101–107, 2023.</w:t>
      </w:r>
    </w:p>
    <w:p w14:paraId="1EC92A51" w14:textId="77777777" w:rsidR="00100098" w:rsidRDefault="001253E4">
      <w:pPr>
        <w:spacing w:after="20" w:line="160" w:lineRule="exact"/>
        <w:ind w:left="288" w:hanging="288"/>
        <w:jc w:val="both"/>
      </w:pPr>
      <w:r>
        <w:rPr>
          <w:rFonts w:ascii="Times New Roman" w:hAnsi="Times New Roman"/>
          <w:sz w:val="15"/>
        </w:rPr>
        <w:t xml:space="preserve">[17] P. Joshi and S. Kulkarni, "Interpretable Graduate Employability Prediction Using Gradient Boosting and </w:t>
      </w:r>
      <w:proofErr w:type="spellStart"/>
      <w:r>
        <w:rPr>
          <w:rFonts w:ascii="Times New Roman" w:hAnsi="Times New Roman"/>
          <w:sz w:val="15"/>
        </w:rPr>
        <w:t>TreeSHAP</w:t>
      </w:r>
      <w:proofErr w:type="spellEnd"/>
      <w:r>
        <w:rPr>
          <w:rFonts w:ascii="Times New Roman" w:hAnsi="Times New Roman"/>
          <w:sz w:val="15"/>
        </w:rPr>
        <w:t xml:space="preserve">," </w:t>
      </w:r>
      <w:proofErr w:type="spellStart"/>
      <w:r>
        <w:rPr>
          <w:rFonts w:ascii="Times New Roman" w:hAnsi="Times New Roman"/>
          <w:sz w:val="15"/>
        </w:rPr>
        <w:t>Comput</w:t>
      </w:r>
      <w:proofErr w:type="spellEnd"/>
      <w:r>
        <w:rPr>
          <w:rFonts w:ascii="Times New Roman" w:hAnsi="Times New Roman"/>
          <w:sz w:val="15"/>
        </w:rPr>
        <w:t xml:space="preserve">. Educ. </w:t>
      </w:r>
      <w:proofErr w:type="spellStart"/>
      <w:r>
        <w:rPr>
          <w:rFonts w:ascii="Times New Roman" w:hAnsi="Times New Roman"/>
          <w:sz w:val="15"/>
        </w:rPr>
        <w:t>Artif</w:t>
      </w:r>
      <w:proofErr w:type="spellEnd"/>
      <w:r>
        <w:rPr>
          <w:rFonts w:ascii="Times New Roman" w:hAnsi="Times New Roman"/>
          <w:sz w:val="15"/>
        </w:rPr>
        <w:t>. Intell., vol. 5, p. 100192, 2023.</w:t>
      </w:r>
    </w:p>
    <w:p w14:paraId="26691CE0" w14:textId="77777777" w:rsidR="00100098" w:rsidRDefault="001253E4">
      <w:pPr>
        <w:spacing w:after="20" w:line="160" w:lineRule="exact"/>
        <w:ind w:left="288" w:hanging="288"/>
        <w:jc w:val="both"/>
      </w:pPr>
      <w:r>
        <w:rPr>
          <w:rFonts w:ascii="Times New Roman" w:hAnsi="Times New Roman"/>
          <w:sz w:val="15"/>
        </w:rPr>
        <w:t xml:space="preserve">[18] D. Sutherland and E. Miller, "Mitigating Retrieval Hallucination in Educational Advising via Cosine Distance Guardrails," J. </w:t>
      </w:r>
      <w:proofErr w:type="spellStart"/>
      <w:r>
        <w:rPr>
          <w:rFonts w:ascii="Times New Roman" w:hAnsi="Times New Roman"/>
          <w:sz w:val="15"/>
        </w:rPr>
        <w:t>Artif</w:t>
      </w:r>
      <w:proofErr w:type="spellEnd"/>
      <w:r>
        <w:rPr>
          <w:rFonts w:ascii="Times New Roman" w:hAnsi="Times New Roman"/>
          <w:sz w:val="15"/>
        </w:rPr>
        <w:t>. Intell. Educ., vol. 34, no. 2, pp. 310–332, 2024.</w:t>
      </w:r>
    </w:p>
    <w:p w14:paraId="298580BD" w14:textId="77777777" w:rsidR="00100098" w:rsidRDefault="001253E4">
      <w:pPr>
        <w:spacing w:after="20" w:line="160" w:lineRule="exact"/>
        <w:ind w:left="288" w:hanging="288"/>
        <w:jc w:val="both"/>
      </w:pPr>
      <w:r>
        <w:rPr>
          <w:rFonts w:ascii="Times New Roman" w:hAnsi="Times New Roman"/>
          <w:sz w:val="15"/>
        </w:rPr>
        <w:t xml:space="preserve">[19] K. Srinivasan and V. Radhakrishnan, "Low-Latency Conversational AI for Real-Time Technical Mock Interviews," in Proc. </w:t>
      </w:r>
      <w:proofErr w:type="spellStart"/>
      <w:r>
        <w:rPr>
          <w:rFonts w:ascii="Times New Roman" w:hAnsi="Times New Roman"/>
          <w:sz w:val="15"/>
        </w:rPr>
        <w:t>Interspeech</w:t>
      </w:r>
      <w:proofErr w:type="spellEnd"/>
      <w:r>
        <w:rPr>
          <w:rFonts w:ascii="Times New Roman" w:hAnsi="Times New Roman"/>
          <w:sz w:val="15"/>
        </w:rPr>
        <w:t>, pp. 4120–4124, 2024.</w:t>
      </w:r>
    </w:p>
    <w:p w14:paraId="01A89174" w14:textId="77777777" w:rsidR="00100098" w:rsidRDefault="001253E4">
      <w:pPr>
        <w:spacing w:after="20" w:line="160" w:lineRule="exact"/>
        <w:ind w:left="288" w:hanging="288"/>
        <w:jc w:val="both"/>
      </w:pPr>
      <w:r>
        <w:rPr>
          <w:rFonts w:ascii="Times New Roman" w:hAnsi="Times New Roman"/>
          <w:sz w:val="15"/>
        </w:rPr>
        <w:t>[20] M. Fernandez and C. Gomez, "Curriculum Knowledge Graphs and Prerequisite Validation in Adaptive Learning Systems," IEEE Trans. Educ., vol. 66, no. 4, pp. 380–391, 2023.</w:t>
      </w:r>
      <w:r>
        <w:br w:type="column"/>
      </w:r>
    </w:p>
    <w:p w14:paraId="3AE0CADC" w14:textId="77777777" w:rsidR="00100098" w:rsidRDefault="001253E4">
      <w:pPr>
        <w:spacing w:after="20" w:line="160" w:lineRule="exact"/>
        <w:ind w:left="288" w:hanging="288"/>
        <w:jc w:val="both"/>
      </w:pPr>
      <w:r>
        <w:rPr>
          <w:rFonts w:ascii="Times New Roman" w:hAnsi="Times New Roman"/>
          <w:sz w:val="15"/>
        </w:rPr>
        <w:t xml:space="preserve">[21] R. </w:t>
      </w:r>
      <w:proofErr w:type="spellStart"/>
      <w:r>
        <w:rPr>
          <w:rFonts w:ascii="Times New Roman" w:hAnsi="Times New Roman"/>
          <w:sz w:val="15"/>
        </w:rPr>
        <w:t>Babureddy</w:t>
      </w:r>
      <w:proofErr w:type="spellEnd"/>
      <w:r>
        <w:rPr>
          <w:rFonts w:ascii="Times New Roman" w:hAnsi="Times New Roman"/>
          <w:sz w:val="15"/>
        </w:rPr>
        <w:t xml:space="preserve"> and V. Mathew, "Triangular Digital Twin for Engineering Education: Aligning Students, Faculty, and Corporate Recruiters," Int. J. Inf. Educ. Technol., vol. 14, no. 5, pp. 670–682, 2024.</w:t>
      </w:r>
    </w:p>
    <w:sectPr w:rsidR="00100098" w:rsidSect="00034616">
      <w:type w:val="continuous"/>
      <w:pgSz w:w="12240" w:h="15840"/>
      <w:pgMar w:top="1008" w:right="900" w:bottom="1008"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568954">
    <w:abstractNumId w:val="8"/>
  </w:num>
  <w:num w:numId="2" w16cid:durableId="1171674159">
    <w:abstractNumId w:val="6"/>
  </w:num>
  <w:num w:numId="3" w16cid:durableId="1614824118">
    <w:abstractNumId w:val="5"/>
  </w:num>
  <w:num w:numId="4" w16cid:durableId="759638591">
    <w:abstractNumId w:val="4"/>
  </w:num>
  <w:num w:numId="5" w16cid:durableId="1864637096">
    <w:abstractNumId w:val="7"/>
  </w:num>
  <w:num w:numId="6" w16cid:durableId="1097098518">
    <w:abstractNumId w:val="3"/>
  </w:num>
  <w:num w:numId="7" w16cid:durableId="836072150">
    <w:abstractNumId w:val="2"/>
  </w:num>
  <w:num w:numId="8" w16cid:durableId="1956906317">
    <w:abstractNumId w:val="1"/>
  </w:num>
  <w:num w:numId="9" w16cid:durableId="133726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098"/>
    <w:rsid w:val="001253E4"/>
    <w:rsid w:val="0015074B"/>
    <w:rsid w:val="0025146D"/>
    <w:rsid w:val="0029639D"/>
    <w:rsid w:val="002C5591"/>
    <w:rsid w:val="00326F90"/>
    <w:rsid w:val="00AA1D8D"/>
    <w:rsid w:val="00B47730"/>
    <w:rsid w:val="00B5444F"/>
    <w:rsid w:val="00CB0664"/>
    <w:rsid w:val="00CC77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07B21F"/>
  <w14:defaultImageDpi w14:val="300"/>
  <w15:docId w15:val="{3479788B-7315-43F2-B42F-0845636F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C773E"/>
    <w:rPr>
      <w:color w:val="0000FF" w:themeColor="hyperlink"/>
      <w:u w:val="single"/>
    </w:rPr>
  </w:style>
  <w:style w:type="character" w:styleId="UnresolvedMention">
    <w:name w:val="Unresolved Mention"/>
    <w:basedOn w:val="DefaultParagraphFont"/>
    <w:uiPriority w:val="99"/>
    <w:semiHidden/>
    <w:unhideWhenUsed/>
    <w:rsid w:val="00CC7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alarajeev@gmail.com" TargetMode="External"/><Relationship Id="rId3" Type="http://schemas.openxmlformats.org/officeDocument/2006/relationships/styles" Target="styles.xml"/><Relationship Id="rId7" Type="http://schemas.openxmlformats.org/officeDocument/2006/relationships/hyperlink" Target="mailto:Kundaladhana2004@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vasubramanian243@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Rudrateja08@gmail.com"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xMode val="edge"/>
          <c:yMode val="edge"/>
          <c:x val="0.13052099737532807"/>
          <c:y val="0.33442793563847995"/>
          <c:w val="0.72499999999999998"/>
          <c:h val="0.48383293392673743"/>
        </c:manualLayout>
      </c:layout>
      <c:lineChart>
        <c:grouping val="standard"/>
        <c:varyColors val="0"/>
        <c:ser>
          <c:idx val="0"/>
          <c:order val="0"/>
          <c:tx>
            <c:v>Perfect (Ideal)</c:v>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c:v>
              </c:pt>
              <c:pt idx="1">
                <c:v>0.2</c:v>
              </c:pt>
              <c:pt idx="2">
                <c:v>0.3</c:v>
              </c:pt>
              <c:pt idx="3">
                <c:v>0.4</c:v>
              </c:pt>
              <c:pt idx="4">
                <c:v>0.5</c:v>
              </c:pt>
              <c:pt idx="5">
                <c:v>0.6</c:v>
              </c:pt>
              <c:pt idx="6">
                <c:v>0.7</c:v>
              </c:pt>
              <c:pt idx="7">
                <c:v>0.8</c:v>
              </c:pt>
              <c:pt idx="8">
                <c:v>0.9</c:v>
              </c:pt>
              <c:pt idx="9">
                <c:v>1</c:v>
              </c:pt>
            </c:numLit>
          </c:val>
          <c:smooth val="0"/>
          <c:extLst>
            <c:ext xmlns:c16="http://schemas.microsoft.com/office/drawing/2014/chart" uri="{C3380CC4-5D6E-409C-BE32-E72D297353CC}">
              <c16:uniqueId val="{00000000-93DD-4EA4-BDAC-7890AF814B4B}"/>
            </c:ext>
          </c:extLst>
        </c:ser>
        <c:ser>
          <c:idx val="1"/>
          <c:order val="1"/>
          <c:tx>
            <c:v>Logistic Reg</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c:v>
              </c:pt>
              <c:pt idx="1">
                <c:v>0.2</c:v>
              </c:pt>
              <c:pt idx="2">
                <c:v>0.31</c:v>
              </c:pt>
              <c:pt idx="3">
                <c:v>0.4</c:v>
              </c:pt>
              <c:pt idx="4">
                <c:v>0.51</c:v>
              </c:pt>
              <c:pt idx="5">
                <c:v>0.59</c:v>
              </c:pt>
              <c:pt idx="6">
                <c:v>0.7</c:v>
              </c:pt>
              <c:pt idx="7">
                <c:v>0.8</c:v>
              </c:pt>
              <c:pt idx="8">
                <c:v>0.9</c:v>
              </c:pt>
              <c:pt idx="9">
                <c:v>0.99</c:v>
              </c:pt>
            </c:numLit>
          </c:val>
          <c:smooth val="0"/>
          <c:extLst>
            <c:ext xmlns:c16="http://schemas.microsoft.com/office/drawing/2014/chart" uri="{C3380CC4-5D6E-409C-BE32-E72D297353CC}">
              <c16:uniqueId val="{00000001-93DD-4EA4-BDAC-7890AF814B4B}"/>
            </c:ext>
          </c:extLst>
        </c:ser>
        <c:ser>
          <c:idx val="2"/>
          <c:order val="2"/>
          <c:tx>
            <c:v>Random Forest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0.16</c:v>
              </c:pt>
              <c:pt idx="1">
                <c:v>0.28000000000000003</c:v>
              </c:pt>
              <c:pt idx="2">
                <c:v>0.38</c:v>
              </c:pt>
              <c:pt idx="3">
                <c:v>0.49</c:v>
              </c:pt>
              <c:pt idx="4">
                <c:v>0.59</c:v>
              </c:pt>
              <c:pt idx="5">
                <c:v>0.68</c:v>
              </c:pt>
              <c:pt idx="6">
                <c:v>0.78</c:v>
              </c:pt>
              <c:pt idx="7">
                <c:v>0.87</c:v>
              </c:pt>
              <c:pt idx="8">
                <c:v>0.94</c:v>
              </c:pt>
              <c:pt idx="9">
                <c:v>0.98</c:v>
              </c:pt>
            </c:numLit>
          </c:val>
          <c:smooth val="0"/>
          <c:extLst>
            <c:ext xmlns:c16="http://schemas.microsoft.com/office/drawing/2014/chart" uri="{C3380CC4-5D6E-409C-BE32-E72D297353CC}">
              <c16:uniqueId val="{00000002-93DD-4EA4-BDAC-7890AF814B4B}"/>
            </c:ext>
          </c:extLst>
        </c:ser>
        <c:ser>
          <c:idx val="3"/>
          <c:order val="3"/>
          <c:tx>
            <c:v>XGB Uncalibrated</c:v>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0.18</c:v>
              </c:pt>
              <c:pt idx="1">
                <c:v>0.28999999999999998</c:v>
              </c:pt>
              <c:pt idx="2">
                <c:v>0.4</c:v>
              </c:pt>
              <c:pt idx="3">
                <c:v>0.51</c:v>
              </c:pt>
              <c:pt idx="4">
                <c:v>0.62</c:v>
              </c:pt>
              <c:pt idx="5">
                <c:v>0.71</c:v>
              </c:pt>
              <c:pt idx="6">
                <c:v>0.81</c:v>
              </c:pt>
              <c:pt idx="7">
                <c:v>0.89</c:v>
              </c:pt>
              <c:pt idx="8">
                <c:v>0.95</c:v>
              </c:pt>
              <c:pt idx="9">
                <c:v>0.99</c:v>
              </c:pt>
            </c:numLit>
          </c:val>
          <c:smooth val="0"/>
          <c:extLst>
            <c:ext xmlns:c16="http://schemas.microsoft.com/office/drawing/2014/chart" uri="{C3380CC4-5D6E-409C-BE32-E72D297353CC}">
              <c16:uniqueId val="{00000003-93DD-4EA4-BDAC-7890AF814B4B}"/>
            </c:ext>
          </c:extLst>
        </c:ser>
        <c:ser>
          <c:idx val="4"/>
          <c:order val="4"/>
          <c:tx>
            <c:v>PRIE Platt-XGB</c:v>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Lit>
              <c:ptCount val="10"/>
              <c:pt idx="0">
                <c:v>0.1</c:v>
              </c:pt>
              <c:pt idx="1">
                <c:v>0.2</c:v>
              </c:pt>
              <c:pt idx="2">
                <c:v>0.3</c:v>
              </c:pt>
              <c:pt idx="3">
                <c:v>0.4</c:v>
              </c:pt>
              <c:pt idx="4">
                <c:v>0.5</c:v>
              </c:pt>
              <c:pt idx="5">
                <c:v>0.6</c:v>
              </c:pt>
              <c:pt idx="6">
                <c:v>0.7</c:v>
              </c:pt>
              <c:pt idx="7">
                <c:v>0.8</c:v>
              </c:pt>
              <c:pt idx="8">
                <c:v>0.9</c:v>
              </c:pt>
              <c:pt idx="9">
                <c:v>1.0</c:v>
              </c:pt>
            </c:strLit>
          </c:cat>
          <c:val>
            <c:numLit>
              <c:formatCode>General</c:formatCode>
              <c:ptCount val="10"/>
              <c:pt idx="0">
                <c:v>0.12</c:v>
              </c:pt>
              <c:pt idx="1">
                <c:v>0.22</c:v>
              </c:pt>
              <c:pt idx="2">
                <c:v>0.33</c:v>
              </c:pt>
              <c:pt idx="3">
                <c:v>0.42</c:v>
              </c:pt>
              <c:pt idx="4">
                <c:v>0.52</c:v>
              </c:pt>
              <c:pt idx="5">
                <c:v>0.62</c:v>
              </c:pt>
              <c:pt idx="6">
                <c:v>0.72</c:v>
              </c:pt>
              <c:pt idx="7">
                <c:v>0.82</c:v>
              </c:pt>
              <c:pt idx="8">
                <c:v>0.91</c:v>
              </c:pt>
              <c:pt idx="9">
                <c:v>0.98</c:v>
              </c:pt>
            </c:numLit>
          </c:val>
          <c:smooth val="0"/>
          <c:extLst>
            <c:ext xmlns:c16="http://schemas.microsoft.com/office/drawing/2014/chart" uri="{C3380CC4-5D6E-409C-BE32-E72D297353CC}">
              <c16:uniqueId val="{00000004-93DD-4EA4-BDAC-7890AF814B4B}"/>
            </c:ext>
          </c:extLst>
        </c:ser>
        <c:dLbls>
          <c:showLegendKey val="0"/>
          <c:showVal val="0"/>
          <c:showCatName val="0"/>
          <c:showSerName val="0"/>
          <c:showPercent val="0"/>
          <c:showBubbleSize val="0"/>
        </c:dLbls>
        <c:marker val="1"/>
        <c:smooth val="0"/>
        <c:axId val="2144030208"/>
        <c:axId val="2066721552"/>
      </c:lineChart>
      <c:catAx>
        <c:axId val="2144030208"/>
        <c:scaling>
          <c:orientation val="minMax"/>
        </c:scaling>
        <c:delete val="0"/>
        <c:axPos val="b"/>
        <c:title>
          <c:tx>
            <c:rich>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a:ea typeface="Times New Roman"/>
                    <a:cs typeface="Times New Roman"/>
                  </a:defRPr>
                </a:pPr>
                <a:r>
                  <a:rPr lang="en-US"/>
                  <a:t>Mean Predicted Placement Probability</a:t>
                </a:r>
              </a:p>
            </c:rich>
          </c:tx>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endParaRPr lang="en-US"/>
          </a:p>
        </c:txPr>
        <c:crossAx val="2066721552"/>
        <c:crosses val="autoZero"/>
        <c:auto val="1"/>
        <c:lblAlgn val="ctr"/>
        <c:lblOffset val="100"/>
        <c:noMultiLvlLbl val="0"/>
      </c:catAx>
      <c:valAx>
        <c:axId val="206672155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r>
                  <a:rPr lang="en-US"/>
                  <a:t>Empirical Fraction of Positives</a:t>
                </a:r>
              </a:p>
            </c:rich>
          </c:tx>
          <c:overlay val="0"/>
          <c:spPr>
            <a:noFill/>
            <a:ln>
              <a:noFill/>
            </a:ln>
            <a:effectLst/>
          </c:spPr>
          <c:txPr>
            <a:bodyPr rot="-54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50" b="0" i="0" u="none" strike="noStrike" kern="1200" baseline="0">
                <a:solidFill>
                  <a:schemeClr val="tx1">
                    <a:lumMod val="65000"/>
                    <a:lumOff val="35000"/>
                  </a:schemeClr>
                </a:solidFill>
                <a:latin typeface="Times New Roman"/>
                <a:ea typeface="Times New Roman"/>
                <a:cs typeface="Times New Roman"/>
              </a:defRPr>
            </a:pPr>
            <a:endParaRPr lang="en-US"/>
          </a:p>
        </c:txPr>
        <c:crossAx val="2144030208"/>
        <c:crosses val="autoZero"/>
        <c:crossBetween val="between"/>
        <c:majorUnit val="0.2"/>
      </c:valAx>
      <c:spPr>
        <a:noFill/>
        <a:ln>
          <a:noFill/>
        </a:ln>
        <a:effectLst/>
      </c:spPr>
    </c:plotArea>
    <c:legend>
      <c:legendPos val="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Times New Roman"/>
              <a:ea typeface="Times New Roman"/>
              <a:cs typeface="Times New Roman"/>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4705</Words>
  <Characters>26825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Rajeev Kavala</cp:lastModifiedBy>
  <cp:revision>3</cp:revision>
  <dcterms:created xsi:type="dcterms:W3CDTF">2013-12-23T23:15:00Z</dcterms:created>
  <dcterms:modified xsi:type="dcterms:W3CDTF">2026-09-23T08:53:00Z</dcterms:modified>
  <cp:category/>
</cp:coreProperties>
</file>