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ssistant" w:cs="Assistant" w:eastAsia="Assistant" w:hAnsi="Assistant"/>
          <w:b w:val="1"/>
          <w:sz w:val="24"/>
          <w:szCs w:val="24"/>
          <w:u w:val="single"/>
        </w:rPr>
      </w:pPr>
      <w:r w:rsidDel="00000000" w:rsidR="00000000" w:rsidRPr="00000000">
        <w:rPr>
          <w:rFonts w:ascii="Assistant" w:cs="Assistant" w:eastAsia="Assistant" w:hAnsi="Assistant"/>
          <w:b w:val="1"/>
          <w:sz w:val="24"/>
          <w:szCs w:val="24"/>
          <w:u w:val="single"/>
          <w:rtl w:val="0"/>
        </w:rPr>
        <w:t xml:space="preserve">Background:</w:t>
      </w:r>
    </w:p>
    <w:p w:rsidR="00000000" w:rsidDel="00000000" w:rsidP="00000000" w:rsidRDefault="00000000" w:rsidRPr="00000000" w14:paraId="00000002">
      <w:pPr>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03">
      <w:pPr>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Consumers read product ratings and reviews all the time to make informed consumption decisions. As the film industry enters a Second Golden Age with the emergence of streaming giants, movie ratings are playing an increasingly prominent role in consumer choice. Nevertheless, these ratings are inherently inconsistent across reviewers. In particular, More importantly. How might we better understand the evolution of consumers’ perception of a movie following its release?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ssistan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