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740F8E0">
      <w:pPr>
        <w:pStyle w:val="2"/>
        <w:keepNext w:val="0"/>
        <w:keepLines w:val="0"/>
        <w:widowControl/>
        <w:suppressLineNumbers w:val="0"/>
        <w:spacing w:line="14" w:lineRule="atLeast"/>
      </w:pPr>
      <w:r>
        <w:t>Gym Management System</w:t>
      </w:r>
    </w:p>
    <w:p w14:paraId="48C7AFFE">
      <w:pPr>
        <w:pStyle w:val="13"/>
        <w:keepNext w:val="0"/>
        <w:keepLines w:val="0"/>
        <w:widowControl/>
        <w:suppressLineNumbers w:val="0"/>
        <w:spacing w:line="14" w:lineRule="atLeast"/>
      </w:pPr>
      <w:r>
        <w:rPr>
          <w:rFonts w:ascii="Calibri" w:hAnsi="Calibri" w:cs="Calibri"/>
        </w:rPr>
        <w:t>Application Cost Summary &amp; Scope Statement</w:t>
      </w:r>
    </w:p>
    <w:p w14:paraId="303F888C">
      <w:pPr>
        <w:pStyle w:val="15"/>
        <w:keepNext w:val="0"/>
        <w:keepLines w:val="0"/>
        <w:widowControl/>
        <w:suppressLineNumbers w:val="0"/>
        <w:spacing w:line="14" w:lineRule="atLeast"/>
      </w:pPr>
      <w:r>
        <w:rPr>
          <w:rFonts w:hint="default" w:ascii="Calibri" w:hAnsi="Calibri" w:cs="Calibri"/>
        </w:rPr>
        <w:t>My Fitness Gym  ·  Prepared 19 August 2026  ·  All figures in Indian Rupees (INR)</w:t>
      </w:r>
    </w:p>
    <w:p w14:paraId="37306791">
      <w:pPr>
        <w:pStyle w:val="3"/>
        <w:keepNext w:val="0"/>
        <w:keepLines w:val="0"/>
        <w:widowControl/>
        <w:suppressLineNumbers w:val="0"/>
        <w:spacing w:line="14" w:lineRule="atLeast"/>
      </w:pPr>
      <w:r>
        <w:t>1. Short Summary</w:t>
      </w:r>
    </w:p>
    <w:p w14:paraId="5006E883">
      <w:pPr>
        <w:pStyle w:val="11"/>
        <w:keepNext w:val="0"/>
        <w:keepLines w:val="0"/>
        <w:widowControl/>
        <w:suppressLineNumbers w:val="0"/>
        <w:spacing w:line="14" w:lineRule="atLeast"/>
      </w:pPr>
      <w:r>
        <w:rPr>
          <w:rFonts w:hint="default" w:ascii="Calibri" w:hAnsi="Calibri" w:cs="Calibri"/>
          <w:color w:val="1F2430"/>
          <w:sz w:val="22"/>
          <w:szCs w:val="22"/>
        </w:rPr>
        <w:t xml:space="preserve">The Gym Management System is a complete, production-ready gym administration platform: a React single-page application on an ASP.NET Core 8 REST API with a SQL Server database. It covers the full commercial life of a gym — enquiry, member onboarding, membership plans and subscriptions, payment collection and refunds, attendance, trainer allocation, workout and diet programmes, equipment, expenses and staff salaries — plus reporting, auditing and system administration. </w:t>
      </w:r>
    </w:p>
    <w:p w14:paraId="2D9BD485">
      <w:pPr>
        <w:pStyle w:val="11"/>
        <w:keepNext w:val="0"/>
        <w:keepLines w:val="0"/>
        <w:widowControl/>
        <w:suppressLineNumbers w:val="0"/>
        <w:spacing w:line="14" w:lineRule="atLeast"/>
      </w:pPr>
      <w:r>
        <w:rPr>
          <w:rFonts w:hint="default" w:ascii="Calibri" w:hAnsi="Calibri" w:cs="Calibri"/>
          <w:color w:val="1F2430"/>
          <w:sz w:val="22"/>
          <w:szCs w:val="22"/>
        </w:rPr>
        <w:t xml:space="preserve">It serves </w:t>
      </w:r>
      <w:r>
        <w:rPr>
          <w:rFonts w:hint="default" w:ascii="Calibri" w:hAnsi="Calibri" w:cs="Calibri"/>
          <w:b/>
          <w:bCs/>
          <w:color w:val="1F2430"/>
          <w:sz w:val="22"/>
          <w:szCs w:val="22"/>
        </w:rPr>
        <w:t>three separate portals</w:t>
      </w:r>
      <w:r>
        <w:rPr>
          <w:rFonts w:hint="default" w:ascii="Calibri" w:hAnsi="Calibri" w:cs="Calibri"/>
          <w:color w:val="1F2430"/>
          <w:sz w:val="22"/>
          <w:szCs w:val="22"/>
        </w:rPr>
        <w:t xml:space="preserve"> from one codebase: a back-office for admin and front-desk staff, a trainer portal, and a member self-service portal, each gated by a 57-code permission system. The delivered system comprises approximately </w:t>
      </w:r>
      <w:r>
        <w:rPr>
          <w:rFonts w:hint="default" w:ascii="Calibri" w:hAnsi="Calibri" w:cs="Calibri"/>
          <w:b/>
          <w:bCs/>
          <w:color w:val="1F2430"/>
          <w:sz w:val="22"/>
          <w:szCs w:val="22"/>
        </w:rPr>
        <w:t>80,000 lines of code</w:t>
      </w:r>
      <w:r>
        <w:rPr>
          <w:rFonts w:hint="default" w:ascii="Calibri" w:hAnsi="Calibri" w:cs="Calibri"/>
          <w:color w:val="1F2430"/>
          <w:sz w:val="22"/>
          <w:szCs w:val="22"/>
        </w:rPr>
        <w:t xml:space="preserve"> across </w:t>
      </w:r>
      <w:r>
        <w:rPr>
          <w:rFonts w:hint="default" w:ascii="Calibri" w:hAnsi="Calibri" w:cs="Calibri"/>
          <w:b/>
          <w:bCs/>
          <w:color w:val="1F2430"/>
          <w:sz w:val="22"/>
          <w:szCs w:val="22"/>
        </w:rPr>
        <w:t>205 REST endpoints</w:t>
      </w:r>
      <w:r>
        <w:rPr>
          <w:rFonts w:hint="default" w:ascii="Calibri" w:hAnsi="Calibri" w:cs="Calibri"/>
          <w:color w:val="1F2430"/>
          <w:sz w:val="22"/>
          <w:szCs w:val="22"/>
        </w:rPr>
        <w:t xml:space="preserve">, </w:t>
      </w:r>
      <w:r>
        <w:rPr>
          <w:rFonts w:hint="default" w:ascii="Calibri" w:hAnsi="Calibri" w:cs="Calibri"/>
          <w:b/>
          <w:bCs/>
          <w:color w:val="1F2430"/>
          <w:sz w:val="22"/>
          <w:szCs w:val="22"/>
        </w:rPr>
        <w:t>40 database tables</w:t>
      </w:r>
      <w:r>
        <w:rPr>
          <w:rFonts w:hint="default" w:ascii="Calibri" w:hAnsi="Calibri" w:cs="Calibri"/>
          <w:color w:val="1F2430"/>
          <w:sz w:val="22"/>
          <w:szCs w:val="22"/>
        </w:rPr>
        <w:t xml:space="preserve"> and </w:t>
      </w:r>
      <w:r>
        <w:rPr>
          <w:rFonts w:hint="default" w:ascii="Calibri" w:hAnsi="Calibri" w:cs="Calibri"/>
          <w:b/>
          <w:bCs/>
          <w:color w:val="1F2430"/>
          <w:sz w:val="22"/>
          <w:szCs w:val="22"/>
        </w:rPr>
        <w:t>54 screens</w:t>
      </w:r>
      <w:r>
        <w:rPr>
          <w:rFonts w:hint="default" w:ascii="Calibri" w:hAnsi="Calibri" w:cs="Calibri"/>
          <w:color w:val="1F2430"/>
          <w:sz w:val="22"/>
          <w:szCs w:val="22"/>
        </w:rPr>
        <w:t xml:space="preserve">. </w:t>
      </w:r>
    </w:p>
    <w:p w14:paraId="642281D6">
      <w:pPr>
        <w:pStyle w:val="11"/>
        <w:keepNext w:val="0"/>
        <w:keepLines w:val="0"/>
        <w:widowControl/>
        <w:suppressLineNumbers w:val="0"/>
        <w:spacing w:line="14" w:lineRule="atLeast"/>
      </w:pPr>
      <w:r>
        <w:rPr>
          <w:rFonts w:hint="default" w:ascii="Calibri" w:hAnsi="Calibri" w:cs="Calibri"/>
          <w:color w:val="1F2430"/>
          <w:sz w:val="22"/>
          <w:szCs w:val="22"/>
        </w:rPr>
        <w:t xml:space="preserve">On the scope-based estimate set out in this document, the build represents </w:t>
      </w:r>
      <w:r>
        <w:rPr>
          <w:rFonts w:hint="default" w:ascii="Calibri" w:hAnsi="Calibri" w:cs="Calibri"/>
          <w:b/>
          <w:bCs/>
          <w:color w:val="1F2430"/>
          <w:sz w:val="22"/>
          <w:szCs w:val="22"/>
        </w:rPr>
        <w:t>430 person-days</w:t>
      </w:r>
      <w:r>
        <w:rPr>
          <w:rFonts w:hint="default" w:ascii="Calibri" w:hAnsi="Calibri" w:cs="Calibri"/>
          <w:color w:val="1F2430"/>
          <w:sz w:val="22"/>
          <w:szCs w:val="22"/>
        </w:rPr>
        <w:t xml:space="preserve"> of effort, or </w:t>
      </w:r>
      <w:r>
        <w:rPr>
          <w:rStyle w:val="17"/>
          <w:rFonts w:hint="default" w:ascii="Calibri" w:hAnsi="Calibri" w:cs="Calibri"/>
        </w:rPr>
        <w:t>₹25,80,000</w:t>
      </w:r>
      <w:r>
        <w:rPr>
          <w:rFonts w:hint="default" w:ascii="Calibri" w:hAnsi="Calibri" w:cs="Calibri"/>
          <w:color w:val="1F2430"/>
          <w:sz w:val="22"/>
          <w:szCs w:val="22"/>
        </w:rPr>
        <w:t xml:space="preserve"> at a blended rate of ₹6,000 per day. Running the system costs a further </w:t>
      </w:r>
      <w:r>
        <w:rPr>
          <w:rFonts w:hint="default" w:ascii="Calibri" w:hAnsi="Calibri" w:cs="Calibri"/>
          <w:b/>
          <w:bCs/>
          <w:color w:val="1F2430"/>
          <w:sz w:val="22"/>
          <w:szCs w:val="22"/>
        </w:rPr>
        <w:t>₹1.0–2.4 lakh per year</w:t>
      </w:r>
      <w:r>
        <w:rPr>
          <w:rFonts w:hint="default" w:ascii="Calibri" w:hAnsi="Calibri" w:cs="Calibri"/>
          <w:color w:val="1F2430"/>
          <w:sz w:val="22"/>
          <w:szCs w:val="22"/>
        </w:rPr>
        <w:t xml:space="preserve"> in infrastructure and services, before any support contract. </w:t>
      </w:r>
    </w:p>
    <w:p w14:paraId="53B298EB">
      <w:pPr>
        <w:pStyle w:val="3"/>
        <w:keepNext w:val="0"/>
        <w:keepLines w:val="0"/>
        <w:widowControl/>
        <w:suppressLineNumbers w:val="0"/>
        <w:spacing w:line="14" w:lineRule="atLeast"/>
      </w:pPr>
      <w:r>
        <w:t>2. Scope at a Glance</w:t>
      </w:r>
    </w:p>
    <w:p w14:paraId="0FC5A64B">
      <w:pPr>
        <w:pStyle w:val="11"/>
        <w:keepNext w:val="0"/>
        <w:keepLines w:val="0"/>
        <w:widowControl/>
        <w:suppressLineNumbers w:val="0"/>
        <w:spacing w:line="14" w:lineRule="atLeast"/>
      </w:pPr>
      <w:r>
        <w:rPr>
          <w:rFonts w:hint="default" w:ascii="Calibri" w:hAnsi="Calibri" w:cs="Calibri"/>
          <w:color w:val="1F2430"/>
          <w:sz w:val="22"/>
          <w:szCs w:val="22"/>
        </w:rPr>
        <w:t>The figures below are counted directly from the delivered source code and live database, not estimated.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35"/>
        <w:gridCol w:w="885"/>
        <w:gridCol w:w="2215"/>
        <w:gridCol w:w="2851"/>
      </w:tblGrid>
      <w:tr w14:paraId="5BC5A9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9C2E8" w:sz="4" w:space="0"/>
              <w:left w:val="single" w:color="B9C2E8" w:sz="4" w:space="0"/>
              <w:bottom w:val="single" w:color="B9C2E8" w:sz="4" w:space="0"/>
              <w:right w:val="single" w:color="B9C2E8" w:sz="4" w:space="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096677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Measure</w:t>
            </w:r>
          </w:p>
        </w:tc>
        <w:tc>
          <w:tcPr>
            <w:tcW w:w="0" w:type="auto"/>
            <w:tcBorders>
              <w:top w:val="single" w:color="B9C2E8" w:sz="4" w:space="0"/>
              <w:left w:val="single" w:color="B9C2E8" w:sz="4" w:space="0"/>
              <w:bottom w:val="single" w:color="B9C2E8" w:sz="4" w:space="0"/>
              <w:right w:val="single" w:color="B9C2E8" w:sz="4" w:space="0"/>
            </w:tcBorders>
            <w:shd w:val="clear" w:color="auto" w:fill="EEF2FF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092902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Count</w:t>
            </w:r>
          </w:p>
        </w:tc>
        <w:tc>
          <w:tcPr>
            <w:tcW w:w="0" w:type="auto"/>
            <w:tcBorders>
              <w:top w:val="single" w:color="B9C2E8" w:sz="4" w:space="0"/>
              <w:left w:val="single" w:color="B9C2E8" w:sz="4" w:space="0"/>
              <w:bottom w:val="single" w:color="B9C2E8" w:sz="4" w:space="0"/>
              <w:right w:val="single" w:color="B9C2E8" w:sz="4" w:space="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9C6B01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Measure</w:t>
            </w:r>
          </w:p>
        </w:tc>
        <w:tc>
          <w:tcPr>
            <w:tcW w:w="0" w:type="auto"/>
            <w:tcBorders>
              <w:top w:val="single" w:color="B9C2E8" w:sz="4" w:space="0"/>
              <w:left w:val="single" w:color="B9C2E8" w:sz="4" w:space="0"/>
              <w:bottom w:val="single" w:color="B9C2E8" w:sz="4" w:space="0"/>
              <w:right w:val="single" w:color="B9C2E8" w:sz="4" w:space="0"/>
            </w:tcBorders>
            <w:shd w:val="clear" w:color="auto" w:fill="EEF2FF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700225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Count</w:t>
            </w:r>
          </w:p>
        </w:tc>
      </w:tr>
      <w:tr w14:paraId="3C1056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654920E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REST API endpoints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714F6B0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205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F0CFF1B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Screens / pages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20050A2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54</w:t>
            </w:r>
          </w:p>
        </w:tc>
      </w:tr>
      <w:tr w14:paraId="560A1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BD302DB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API controllers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A98573F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24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7FBB05E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User portals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AE4D2B9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3</w:t>
            </w:r>
          </w:p>
        </w:tc>
      </w:tr>
      <w:tr w14:paraId="5014A4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7EF4996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Application services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EA1F20C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32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983E414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Permission codes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E21DCDA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57</w:t>
            </w:r>
          </w:p>
        </w:tc>
      </w:tr>
      <w:tr w14:paraId="7DB3BA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A1ACDB2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Database tables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F18660D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40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E292A74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Database migrations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A98D272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11</w:t>
            </w:r>
          </w:p>
        </w:tc>
      </w:tr>
      <w:tr w14:paraId="0203FD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BAAE6D6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Backend files (C#)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5354DF7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179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DC6C73C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Backend lines of code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3759EE6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43,500</w:t>
            </w:r>
          </w:p>
        </w:tc>
      </w:tr>
      <w:tr w14:paraId="53894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FD429AB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Frontend files (TS/TSX/CSS)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23E69C9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92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0F8F88E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Frontend lines of code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FBF7A98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26,447</w:t>
            </w:r>
          </w:p>
        </w:tc>
      </w:tr>
      <w:tr w14:paraId="5D710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5A73A90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Automated test files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1EDC379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45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F094230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Test lines of code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B520E37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10,076</w:t>
            </w:r>
          </w:p>
        </w:tc>
      </w:tr>
      <w:tr w14:paraId="3D2FA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 w:color="auto" w:fill="EAEE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0F153AA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Total source lines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 w:color="auto" w:fill="EAEEFB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B5BBD53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80,023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 w:color="auto" w:fill="EAEE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7EDE3D3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Technology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 w:color="auto" w:fill="EAEEFB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67BFF04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React 18 · .NET 8 · SQL Server</w:t>
            </w:r>
          </w:p>
        </w:tc>
      </w:tr>
    </w:tbl>
    <w:p w14:paraId="2CD2FAEA">
      <w:pPr>
        <w:pStyle w:val="3"/>
        <w:keepNext w:val="0"/>
        <w:keepLines w:val="0"/>
        <w:widowControl/>
        <w:suppressLineNumbers w:val="0"/>
        <w:spacing w:line="14" w:lineRule="atLeast"/>
      </w:pPr>
      <w:r>
        <w:t>3. Functional Modules Delivered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3"/>
        <w:gridCol w:w="2300"/>
        <w:gridCol w:w="5803"/>
      </w:tblGrid>
      <w:tr w14:paraId="21714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9C2E8" w:sz="4" w:space="0"/>
              <w:left w:val="single" w:color="B9C2E8" w:sz="4" w:space="0"/>
              <w:bottom w:val="single" w:color="B9C2E8" w:sz="4" w:space="0"/>
              <w:right w:val="single" w:color="B9C2E8" w:sz="4" w:space="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6967B3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#</w:t>
            </w:r>
          </w:p>
        </w:tc>
        <w:tc>
          <w:tcPr>
            <w:tcW w:w="0" w:type="auto"/>
            <w:tcBorders>
              <w:top w:val="single" w:color="B9C2E8" w:sz="4" w:space="0"/>
              <w:left w:val="single" w:color="B9C2E8" w:sz="4" w:space="0"/>
              <w:bottom w:val="single" w:color="B9C2E8" w:sz="4" w:space="0"/>
              <w:right w:val="single" w:color="B9C2E8" w:sz="4" w:space="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437011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Module</w:t>
            </w:r>
          </w:p>
        </w:tc>
        <w:tc>
          <w:tcPr>
            <w:tcW w:w="0" w:type="auto"/>
            <w:tcBorders>
              <w:top w:val="single" w:color="B9C2E8" w:sz="4" w:space="0"/>
              <w:left w:val="single" w:color="B9C2E8" w:sz="4" w:space="0"/>
              <w:bottom w:val="single" w:color="B9C2E8" w:sz="4" w:space="0"/>
              <w:right w:val="single" w:color="B9C2E8" w:sz="4" w:space="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9CE545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What it does</w:t>
            </w:r>
          </w:p>
        </w:tc>
      </w:tr>
      <w:tr w14:paraId="185047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55AEAAC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7128F8E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Authentication &amp; Sessions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0362466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Login, lockout, password reset, forgot-password, login history</w:t>
            </w:r>
          </w:p>
        </w:tc>
      </w:tr>
      <w:tr w14:paraId="72D0B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623B9A2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70AFCF8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Roles &amp; Permissions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FBD73BE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Role matrix, 57 granular permission codes, per-screen gating</w:t>
            </w:r>
          </w:p>
        </w:tc>
      </w:tr>
      <w:tr w14:paraId="4608E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D8AB7E2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7B3CD0F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Users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075EA53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Staff accounts, temporary passwords, reset, unlock</w:t>
            </w:r>
          </w:p>
        </w:tc>
      </w:tr>
      <w:tr w14:paraId="0EEFB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FBAB15B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AE52CB2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Members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F478D13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Registration, profile, photo, documents, measurements, detail tabs</w:t>
            </w:r>
          </w:p>
        </w:tc>
      </w:tr>
      <w:tr w14:paraId="068B9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8159401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DF6E209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Trainers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8608933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Profiles, specialisation, shifts, member allocation</w:t>
            </w:r>
          </w:p>
        </w:tc>
      </w:tr>
      <w:tr w14:paraId="0A30F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E15A643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6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CB0D799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Membership Plans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68F3299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Pricing, duration, tax, discount caps, freeze rules, features</w:t>
            </w:r>
          </w:p>
        </w:tc>
      </w:tr>
      <w:tr w14:paraId="275C6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7A7E8A0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7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54F9461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Subscriptions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829342F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New, renew, change plan, freeze, resume, cancel, quote engine, history</w:t>
            </w:r>
          </w:p>
        </w:tc>
      </w:tr>
      <w:tr w14:paraId="4C748E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D0F6CF5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8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5C8B99D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Payments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351A866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Collection, confirmation, receipts (PDF + email), UPI QR, gateway webhook</w:t>
            </w:r>
          </w:p>
        </w:tc>
      </w:tr>
      <w:tr w14:paraId="7AB2F2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7908497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9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2ABE9FB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Refunds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D5ACE2E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Request, approve/reject workflow</w:t>
            </w:r>
          </w:p>
        </w:tc>
      </w:tr>
      <w:tr w14:paraId="453AE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03751C0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10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D3800AB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Payment Methods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AB1BF0E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Configurable modes, QR support, reference rules</w:t>
            </w:r>
          </w:p>
        </w:tc>
      </w:tr>
      <w:tr w14:paraId="0104A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B6667C0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11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CB73081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Attendance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9D5C0B4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Check-in / check-out, currently-in-gym, register, trends</w:t>
            </w:r>
          </w:p>
        </w:tc>
      </w:tr>
      <w:tr w14:paraId="456A1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6CD4A28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12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D008C70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Workout Plans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E0751D5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Plan builder, exercise library, member assignment</w:t>
            </w:r>
          </w:p>
        </w:tc>
      </w:tr>
      <w:tr w14:paraId="75231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17E634E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13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AF77349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Diet Plans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16E48F9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Meal programmes, macros, member assignment</w:t>
            </w:r>
          </w:p>
        </w:tc>
      </w:tr>
      <w:tr w14:paraId="2AFDB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0982166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14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4E216C0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Equipment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6367DD5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Inventory, condition, purchase, warranty, servicing schedule</w:t>
            </w:r>
          </w:p>
        </w:tc>
      </w:tr>
      <w:tr w14:paraId="4385B9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A1F9737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15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87B4D1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Expenses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57E1361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Recording, categories, vendor and reference tracking</w:t>
            </w:r>
          </w:p>
        </w:tc>
      </w:tr>
      <w:tr w14:paraId="41B51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9BD110D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16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CBB0C4A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Salaries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939FAD3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Staff and trainer salary payments, yearly summary</w:t>
            </w:r>
          </w:p>
        </w:tc>
      </w:tr>
      <w:tr w14:paraId="081AE4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DB7D3F4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17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0E7B22C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Enquiries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3EF1F26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Lead capture, follow-up, conversion to member</w:t>
            </w:r>
          </w:p>
        </w:tc>
      </w:tr>
      <w:tr w14:paraId="51737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77EEAC1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18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140CE57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Feedback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5CBFEC3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Member feedback, ratings, staff response</w:t>
            </w:r>
          </w:p>
        </w:tc>
      </w:tr>
      <w:tr w14:paraId="1FCC1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B339BD6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19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7746A95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Notifications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46AF9DC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System alerts, unread tracking, alert generation</w:t>
            </w:r>
          </w:p>
        </w:tc>
      </w:tr>
      <w:tr w14:paraId="656D2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86BDA5D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20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87DF402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Reports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FAFD400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Report engine with Excel / PDF export and print</w:t>
            </w:r>
          </w:p>
        </w:tc>
      </w:tr>
      <w:tr w14:paraId="7A521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C0F3708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21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1DB8568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Dashboards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576D816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Admin, trainer and member dashboards with charts and KPIs</w:t>
            </w:r>
          </w:p>
        </w:tc>
      </w:tr>
      <w:tr w14:paraId="6A497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7A4FEF5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22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1547BC1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Audit &amp; Login Logs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8DBCB1F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Full change history with before/after values</w:t>
            </w:r>
          </w:p>
        </w:tc>
      </w:tr>
      <w:tr w14:paraId="66D192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1E5B6A8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23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3B8A78A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Recycle Bin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15BCE9D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Soft delete, restore, permanent purge</w:t>
            </w:r>
          </w:p>
        </w:tc>
      </w:tr>
      <w:tr w14:paraId="40B52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F716E60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24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9E8C553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Settings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A18EBD2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Gym profile, system settings, licence, backup &amp; restore, email diagnostics</w:t>
            </w:r>
          </w:p>
        </w:tc>
      </w:tr>
    </w:tbl>
    <w:p w14:paraId="22DFF0D3">
      <w:pPr>
        <w:pStyle w:val="3"/>
        <w:keepNext w:val="0"/>
        <w:keepLines w:val="0"/>
        <w:widowControl/>
        <w:suppressLineNumbers w:val="0"/>
        <w:spacing w:line="14" w:lineRule="atLeast"/>
      </w:pPr>
      <w:r>
        <w:t>4. Build Cost — Effort by Workstream</w:t>
      </w:r>
    </w:p>
    <w:p w14:paraId="1D993DD7">
      <w:pPr>
        <w:pStyle w:val="11"/>
        <w:keepNext w:val="0"/>
        <w:keepLines w:val="0"/>
        <w:widowControl/>
        <w:suppressLineNumbers w:val="0"/>
        <w:spacing w:line="14" w:lineRule="atLeast"/>
      </w:pPr>
      <w:r>
        <w:rPr>
          <w:rFonts w:hint="default" w:ascii="Calibri" w:hAnsi="Calibri" w:cs="Calibri"/>
          <w:color w:val="1F2430"/>
          <w:sz w:val="22"/>
          <w:szCs w:val="22"/>
        </w:rPr>
        <w:t xml:space="preserve">Effort is estimated from the delivered scope: number of endpoints, screens, database entities and business rules per module, including analysis, development, testing and rework. The baseline blended rate is </w:t>
      </w:r>
      <w:r>
        <w:rPr>
          <w:rFonts w:hint="default" w:ascii="Calibri" w:hAnsi="Calibri" w:cs="Calibri"/>
          <w:b/>
          <w:bCs/>
          <w:color w:val="1F2430"/>
          <w:sz w:val="22"/>
          <w:szCs w:val="22"/>
        </w:rPr>
        <w:t>₹6,000 per person-day</w:t>
      </w:r>
      <w:r>
        <w:rPr>
          <w:rFonts w:hint="default" w:ascii="Calibri" w:hAnsi="Calibri" w:cs="Calibri"/>
          <w:color w:val="1F2430"/>
          <w:sz w:val="22"/>
          <w:szCs w:val="22"/>
        </w:rPr>
        <w:t xml:space="preserve"> (8 hours at ₹750/hour). 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3"/>
        <w:gridCol w:w="6183"/>
        <w:gridCol w:w="680"/>
        <w:gridCol w:w="1240"/>
      </w:tblGrid>
      <w:tr w14:paraId="7AD1F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9C2E8" w:sz="4" w:space="0"/>
              <w:left w:val="single" w:color="B9C2E8" w:sz="4" w:space="0"/>
              <w:bottom w:val="single" w:color="B9C2E8" w:sz="4" w:space="0"/>
              <w:right w:val="single" w:color="B9C2E8" w:sz="4" w:space="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EF887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#</w:t>
            </w:r>
          </w:p>
        </w:tc>
        <w:tc>
          <w:tcPr>
            <w:tcW w:w="0" w:type="auto"/>
            <w:tcBorders>
              <w:top w:val="single" w:color="B9C2E8" w:sz="4" w:space="0"/>
              <w:left w:val="single" w:color="B9C2E8" w:sz="4" w:space="0"/>
              <w:bottom w:val="single" w:color="B9C2E8" w:sz="4" w:space="0"/>
              <w:right w:val="single" w:color="B9C2E8" w:sz="4" w:space="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A82D37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Workstream / Module</w:t>
            </w:r>
          </w:p>
        </w:tc>
        <w:tc>
          <w:tcPr>
            <w:tcW w:w="0" w:type="auto"/>
            <w:tcBorders>
              <w:top w:val="single" w:color="B9C2E8" w:sz="4" w:space="0"/>
              <w:left w:val="single" w:color="B9C2E8" w:sz="4" w:space="0"/>
              <w:bottom w:val="single" w:color="B9C2E8" w:sz="4" w:space="0"/>
              <w:right w:val="single" w:color="B9C2E8" w:sz="4" w:space="0"/>
            </w:tcBorders>
            <w:shd w:val="clear" w:color="auto" w:fill="EEF2FF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6EDE01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Days</w:t>
            </w:r>
          </w:p>
        </w:tc>
        <w:tc>
          <w:tcPr>
            <w:tcW w:w="0" w:type="auto"/>
            <w:tcBorders>
              <w:top w:val="single" w:color="B9C2E8" w:sz="4" w:space="0"/>
              <w:left w:val="single" w:color="B9C2E8" w:sz="4" w:space="0"/>
              <w:bottom w:val="single" w:color="B9C2E8" w:sz="4" w:space="0"/>
              <w:right w:val="single" w:color="B9C2E8" w:sz="4" w:space="0"/>
            </w:tcBorders>
            <w:shd w:val="clear" w:color="auto" w:fill="EEF2FF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F0D8E2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Cost (₹)</w:t>
            </w:r>
          </w:p>
        </w:tc>
      </w:tr>
      <w:tr w14:paraId="46435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gridSpan w:val="2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 w:color="auto" w:fill="F4F6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4A89D49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A. Foundation &amp; Platform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 w:color="auto" w:fill="F4F6FD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A95EB51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40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 w:color="auto" w:fill="F4F6FD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D8130D2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2,40,000</w:t>
            </w:r>
          </w:p>
        </w:tc>
      </w:tr>
      <w:tr w14:paraId="21966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460B254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7FE01F0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Solution architecture, layered design, dependency injection, configuration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36FED92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8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317766C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48,000</w:t>
            </w:r>
          </w:p>
        </w:tc>
      </w:tr>
      <w:tr w14:paraId="3781DA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15679F7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BCBFA46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Database model — 40 tables, relationships, 11 migrations, seed data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3E21F55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14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341D195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84,000</w:t>
            </w:r>
          </w:p>
        </w:tc>
      </w:tr>
      <w:tr w14:paraId="40CF3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6F5C7F5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53F884A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Cross-cutting: error handling, validation, logging, audit interceptor, soft delete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94511F6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10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A56C946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60,000</w:t>
            </w:r>
          </w:p>
        </w:tc>
      </w:tr>
      <w:tr w14:paraId="2ACA7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A694ABD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1AB565E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API conventions — paging, filtering, sorting, DTO layer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EBDFAB2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8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AECBC9B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48,000</w:t>
            </w:r>
          </w:p>
        </w:tc>
      </w:tr>
      <w:tr w14:paraId="4F1852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gridSpan w:val="2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 w:color="auto" w:fill="F4F6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F685681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B. Security &amp; Access Control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 w:color="auto" w:fill="F4F6FD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F2D8D8C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35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 w:color="auto" w:fill="F4F6FD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75E31B7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2,10,000</w:t>
            </w:r>
          </w:p>
        </w:tc>
      </w:tr>
      <w:tr w14:paraId="194978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50CB5E6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7E2DE36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Authentication, sessions, lockout, login history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4896F14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10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E543151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60,000</w:t>
            </w:r>
          </w:p>
        </w:tc>
      </w:tr>
      <w:tr w14:paraId="40820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5ECCF8C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6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E9ED7A1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Password lifecycle — hashing, temporary passwords, reset, forgot-password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8CCA55A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6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8DD4FDC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36,000</w:t>
            </w:r>
          </w:p>
        </w:tc>
      </w:tr>
      <w:tr w14:paraId="5D4FD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4505D18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7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DCEC0A7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Roles and 57-code permission system, permission matrix editor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2B9763C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12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46B0971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72,000</w:t>
            </w:r>
          </w:p>
        </w:tc>
      </w:tr>
      <w:tr w14:paraId="7A6C5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EDBECB7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8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C9FAF7F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User administration — CRUD, reset, unlock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8006C84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7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4BAA3D9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42,000</w:t>
            </w:r>
          </w:p>
        </w:tc>
      </w:tr>
      <w:tr w14:paraId="6CD35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gridSpan w:val="2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 w:color="auto" w:fill="F4F6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B1F4FD7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C. Core Gym Modules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 w:color="auto" w:fill="F4F6FD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06642E4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178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 w:color="auto" w:fill="F4F6FD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CC01949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10,68,000</w:t>
            </w:r>
          </w:p>
        </w:tc>
      </w:tr>
      <w:tr w14:paraId="2A5C24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5873E5C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9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41157A1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Members — registration, profile, documents, measurements, detail tabs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225EDF2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22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4BF3DBE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1,32,000</w:t>
            </w:r>
          </w:p>
        </w:tc>
      </w:tr>
      <w:tr w14:paraId="04C49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B610886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10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276044E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Trainers — profiles, allocation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0B7E142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10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B9A7750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60,000</w:t>
            </w:r>
          </w:p>
        </w:tc>
      </w:tr>
      <w:tr w14:paraId="27C10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49A8115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11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0E31F49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Membership plans — pricing, rules, features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2867FAE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8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706A260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48,000</w:t>
            </w:r>
          </w:p>
        </w:tc>
      </w:tr>
      <w:tr w14:paraId="5E485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5C26223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12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96572D7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Subscriptions — lifecycle, pricing quote engine, freeze/renew/cancel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02CC287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26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FE6FD12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1,56,000</w:t>
            </w:r>
          </w:p>
        </w:tc>
      </w:tr>
      <w:tr w14:paraId="234D5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C29AF90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13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6AEE250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Payments — collection, receipts, PDF/email, UPI QR, gateway webhook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8F5429A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28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7FBCA76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1,68,000</w:t>
            </w:r>
          </w:p>
        </w:tc>
      </w:tr>
      <w:tr w14:paraId="3167A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97FE209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14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4950D09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Expenses and expense categories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3E4B0ED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9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CEFC77D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54,000</w:t>
            </w:r>
          </w:p>
        </w:tc>
      </w:tr>
      <w:tr w14:paraId="39689D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F81836B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15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CF88CCC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Salaries and yearly summary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8DB29F7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8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A33E3E0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48,000</w:t>
            </w:r>
          </w:p>
        </w:tc>
      </w:tr>
      <w:tr w14:paraId="3D26A5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B235AAD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16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F2D3FFB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Attendance — check-in/out, in-gym register, trends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63FB715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11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304E0BE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66,000</w:t>
            </w:r>
          </w:p>
        </w:tc>
      </w:tr>
      <w:tr w14:paraId="5B368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712AEC5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17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361C887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Workout plans and exercise library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4F086D2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13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1C6643A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78,000</w:t>
            </w:r>
          </w:p>
        </w:tc>
      </w:tr>
      <w:tr w14:paraId="6CC44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E58CC51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18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F76336E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Diet plans and meal programmes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70E2C48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11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671BADD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66,000</w:t>
            </w:r>
          </w:p>
        </w:tc>
      </w:tr>
      <w:tr w14:paraId="67C95B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37F8BD7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19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42815A5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Equipment inventory and servicing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637CE98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8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5A307CA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48,000</w:t>
            </w:r>
          </w:p>
        </w:tc>
      </w:tr>
      <w:tr w14:paraId="10B62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2B5608F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20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43F0AFB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Enquiries and conversion to member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CE81C76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9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5367A11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54,000</w:t>
            </w:r>
          </w:p>
        </w:tc>
      </w:tr>
      <w:tr w14:paraId="5DEC3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0EC3BCC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21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9E2FF89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Feedback and staff response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2A1C987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7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58E5379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42,000</w:t>
            </w:r>
          </w:p>
        </w:tc>
      </w:tr>
      <w:tr w14:paraId="6B7A9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81B57F3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22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4504F5B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Notifications and alert generation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9A58F2A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8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A1FBAA4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48,000</w:t>
            </w:r>
          </w:p>
        </w:tc>
      </w:tr>
      <w:tr w14:paraId="59BD2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gridSpan w:val="2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 w:color="auto" w:fill="F4F6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AB8A951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D. Insight &amp; Administration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 w:color="auto" w:fill="F4F6FD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630524D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57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 w:color="auto" w:fill="F4F6FD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AD27129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3,42,000</w:t>
            </w:r>
          </w:p>
        </w:tc>
      </w:tr>
      <w:tr w14:paraId="2CF2B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F6A422B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23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B142A00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Dashboards — admin, trainer, member; charts and KPIs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4034380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16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199D852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96,000</w:t>
            </w:r>
          </w:p>
        </w:tc>
      </w:tr>
      <w:tr w14:paraId="3A3EC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1F40984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24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87248F3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Reports engine with Excel / PDF export and print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0ECD8CE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14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4CE13C0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84,000</w:t>
            </w:r>
          </w:p>
        </w:tc>
      </w:tr>
      <w:tr w14:paraId="178DF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954B0F0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25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74107A0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Audit trail and login history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357F6BF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7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E252454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42,000</w:t>
            </w:r>
          </w:p>
        </w:tc>
      </w:tr>
      <w:tr w14:paraId="4E4BD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A9989CB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26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B5B7952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Recycle bin — soft delete, restore, purge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E4A852D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6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3CF9BD0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36,000</w:t>
            </w:r>
          </w:p>
        </w:tc>
      </w:tr>
      <w:tr w14:paraId="268BD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7F1702C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27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8FB6C6C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Settings — gym, system, licence, backup/restore, email diagnostics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2A287E0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14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F099E3D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84,000</w:t>
            </w:r>
          </w:p>
        </w:tc>
      </w:tr>
      <w:tr w14:paraId="37DB9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gridSpan w:val="2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 w:color="auto" w:fill="F4F6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FE4ED1A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E. Front-end Platform &amp; Portals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 w:color="auto" w:fill="F4F6FD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B4FD21E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60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 w:color="auto" w:fill="F4F6FD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DD31D50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3,60,000</w:t>
            </w:r>
          </w:p>
        </w:tc>
      </w:tr>
      <w:tr w14:paraId="36F80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6D797AF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28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46D45CD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Design system — tokens, dark mode, component kit, icon set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AA890B1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16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D3AC876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96,000</w:t>
            </w:r>
          </w:p>
        </w:tc>
      </w:tr>
      <w:tr w14:paraId="33DB4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DE112A2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29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04AFF4F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Application shell, routing, route guards, three layouts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AD42477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10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A74AAC9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60,000</w:t>
            </w:r>
          </w:p>
        </w:tc>
      </w:tr>
      <w:tr w14:paraId="6C0A45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BAC7317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30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27CC6E2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Member self-service portal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FF08C4E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14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15F0199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84,000</w:t>
            </w:r>
          </w:p>
        </w:tc>
      </w:tr>
      <w:tr w14:paraId="03121F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2FE0E6A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31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2366C66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Trainer portal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5336715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10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8175F37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60,000</w:t>
            </w:r>
          </w:p>
        </w:tc>
      </w:tr>
      <w:tr w14:paraId="56B4F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F088389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32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98E95B1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Public site and authentication screens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6E589AA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10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E48F7EB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60,000</w:t>
            </w:r>
          </w:p>
        </w:tc>
      </w:tr>
      <w:tr w14:paraId="69CFE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gridSpan w:val="2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 w:color="auto" w:fill="F4F6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E730B12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F. Quality &amp; Delivery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 w:color="auto" w:fill="F4F6FD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714F4D2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60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 w:color="auto" w:fill="F4F6FD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5AA3336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3,60,000</w:t>
            </w:r>
          </w:p>
        </w:tc>
      </w:tr>
      <w:tr w14:paraId="65E786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61C1B22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33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975F826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Automated tests — 45 suites, 10,076 lines (unit + integration)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49345EC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26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AED581D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1,56,000</w:t>
            </w:r>
          </w:p>
        </w:tc>
      </w:tr>
      <w:tr w14:paraId="3854C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A9320B1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34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55F3F43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Cross-browser, responsive and accessibility passes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715179C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10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3A1777A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60,000</w:t>
            </w:r>
          </w:p>
        </w:tc>
      </w:tr>
      <w:tr w14:paraId="736617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6DB95F4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35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4836881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Deployment, database setup, environment configuration, documentation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00B299A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10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22CE515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60,000</w:t>
            </w:r>
          </w:p>
        </w:tc>
      </w:tr>
      <w:tr w14:paraId="22CF9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2AAD3A0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36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EFF6925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UAT support and bug-fix cycles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19C21AD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14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B5B6768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84,000</w:t>
            </w:r>
          </w:p>
        </w:tc>
      </w:tr>
      <w:tr w14:paraId="2D389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gridSpan w:val="2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 w:color="auto" w:fill="3730A3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763D501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TOTAL BUILD COST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 w:color="auto" w:fill="3730A3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9F0F803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430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 w:color="auto" w:fill="3730A3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EA3BBBA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₹25,80,000</w:t>
            </w:r>
          </w:p>
        </w:tc>
      </w:tr>
    </w:tbl>
    <w:p w14:paraId="2AD844C3">
      <w:pPr>
        <w:pStyle w:val="11"/>
        <w:keepNext w:val="0"/>
        <w:keepLines w:val="0"/>
        <w:widowControl/>
        <w:suppressLineNumbers w:val="0"/>
        <w:spacing w:line="14" w:lineRule="atLeast"/>
        <w:rPr>
          <w:color w:val="5B6478"/>
          <w:sz w:val="19"/>
          <w:szCs w:val="19"/>
        </w:rPr>
      </w:pPr>
      <w:r>
        <w:rPr>
          <w:rFonts w:hint="default" w:ascii="Calibri" w:hAnsi="Calibri" w:cs="Calibri"/>
          <w:color w:val="5B6478"/>
          <w:sz w:val="19"/>
          <w:szCs w:val="19"/>
        </w:rPr>
        <w:t>430 person-days ≈ 21.5 person-months ≈ a team of three for about seven months.</w:t>
      </w:r>
    </w:p>
    <w:p w14:paraId="351D6FE5">
      <w:pPr>
        <w:pStyle w:val="3"/>
        <w:keepNext w:val="0"/>
        <w:keepLines w:val="0"/>
        <w:widowControl/>
        <w:suppressLineNumbers w:val="0"/>
        <w:spacing w:line="14" w:lineRule="atLeast"/>
      </w:pPr>
      <w:r>
        <w:t>5. Rate Sensitivity</w:t>
      </w:r>
    </w:p>
    <w:p w14:paraId="08472E4C">
      <w:pPr>
        <w:pStyle w:val="11"/>
        <w:keepNext w:val="0"/>
        <w:keepLines w:val="0"/>
        <w:widowControl/>
        <w:suppressLineNumbers w:val="0"/>
        <w:spacing w:line="14" w:lineRule="atLeast"/>
      </w:pPr>
      <w:r>
        <w:rPr>
          <w:rFonts w:hint="default" w:ascii="Calibri" w:hAnsi="Calibri" w:cs="Calibri"/>
          <w:color w:val="1F2430"/>
          <w:sz w:val="22"/>
          <w:szCs w:val="22"/>
        </w:rPr>
        <w:t>The rate is the single biggest variable. The same 430 days of scope at other common rates: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0"/>
        <w:gridCol w:w="5438"/>
        <w:gridCol w:w="1658"/>
      </w:tblGrid>
      <w:tr w14:paraId="63B75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9C2E8" w:sz="4" w:space="0"/>
              <w:left w:val="single" w:color="B9C2E8" w:sz="4" w:space="0"/>
              <w:bottom w:val="single" w:color="B9C2E8" w:sz="4" w:space="0"/>
              <w:right w:val="single" w:color="B9C2E8" w:sz="4" w:space="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DB7B7C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Blended rate</w:t>
            </w:r>
          </w:p>
        </w:tc>
        <w:tc>
          <w:tcPr>
            <w:tcW w:w="0" w:type="auto"/>
            <w:tcBorders>
              <w:top w:val="single" w:color="B9C2E8" w:sz="4" w:space="0"/>
              <w:left w:val="single" w:color="B9C2E8" w:sz="4" w:space="0"/>
              <w:bottom w:val="single" w:color="B9C2E8" w:sz="4" w:space="0"/>
              <w:right w:val="single" w:color="B9C2E8" w:sz="4" w:space="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A24931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Profile</w:t>
            </w:r>
          </w:p>
        </w:tc>
        <w:tc>
          <w:tcPr>
            <w:tcW w:w="0" w:type="auto"/>
            <w:tcBorders>
              <w:top w:val="single" w:color="B9C2E8" w:sz="4" w:space="0"/>
              <w:left w:val="single" w:color="B9C2E8" w:sz="4" w:space="0"/>
              <w:bottom w:val="single" w:color="B9C2E8" w:sz="4" w:space="0"/>
              <w:right w:val="single" w:color="B9C2E8" w:sz="4" w:space="0"/>
            </w:tcBorders>
            <w:shd w:val="clear" w:color="auto" w:fill="EEF2FF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6DF4FA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Total build cost</w:t>
            </w:r>
          </w:p>
        </w:tc>
      </w:tr>
      <w:tr w14:paraId="7B2B9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F592118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₹4,000 / day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9FAA012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Freelance / small town / junior-weighted team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64A7C2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₹17,20,000</w:t>
            </w:r>
          </w:p>
        </w:tc>
      </w:tr>
      <w:tr w14:paraId="28F607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8314BAE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₹5,000 / day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B4663E5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Small studio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24E10F5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₹21,50,000</w:t>
            </w:r>
          </w:p>
        </w:tc>
      </w:tr>
      <w:tr w14:paraId="42772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 w:color="auto" w:fill="EAEE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1B4293E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₹6,000 / day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 w:color="auto" w:fill="EAEE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14DDC35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Baseline used in this document — mid-level Indian agency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 w:color="auto" w:fill="EAEEFB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24715DC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₹25,80,000</w:t>
            </w:r>
          </w:p>
        </w:tc>
      </w:tr>
      <w:tr w14:paraId="5F015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2CB0DA5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₹8,000 / day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00F24D3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Established agency, senior-weighted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5E216E7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₹34,40,000</w:t>
            </w:r>
          </w:p>
        </w:tc>
      </w:tr>
      <w:tr w14:paraId="241F2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13B9FB9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₹10,000 / day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E6804A7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Metro / premium consultancy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F715203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₹43,00,000</w:t>
            </w:r>
          </w:p>
        </w:tc>
      </w:tr>
    </w:tbl>
    <w:p w14:paraId="2DC2C068">
      <w:pPr>
        <w:pStyle w:val="3"/>
        <w:keepNext w:val="0"/>
        <w:keepLines w:val="0"/>
        <w:widowControl/>
        <w:suppressLineNumbers w:val="0"/>
        <w:spacing w:line="14" w:lineRule="atLeast"/>
      </w:pPr>
      <w:r>
        <w:t>6. Recurring Running Costs (per year)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158AB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9C2E8" w:sz="4" w:space="0"/>
              <w:left w:val="single" w:color="B9C2E8" w:sz="4" w:space="0"/>
              <w:bottom w:val="single" w:color="B9C2E8" w:sz="4" w:space="0"/>
              <w:right w:val="single" w:color="B9C2E8" w:sz="4" w:space="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A58A79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Item</w:t>
            </w:r>
          </w:p>
        </w:tc>
        <w:tc>
          <w:tcPr>
            <w:tcW w:w="0" w:type="auto"/>
            <w:tcBorders>
              <w:top w:val="single" w:color="B9C2E8" w:sz="4" w:space="0"/>
              <w:left w:val="single" w:color="B9C2E8" w:sz="4" w:space="0"/>
              <w:bottom w:val="single" w:color="B9C2E8" w:sz="4" w:space="0"/>
              <w:right w:val="single" w:color="B9C2E8" w:sz="4" w:space="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ED203B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Basis</w:t>
            </w:r>
          </w:p>
        </w:tc>
        <w:tc>
          <w:tcPr>
            <w:tcW w:w="0" w:type="auto"/>
            <w:tcBorders>
              <w:top w:val="single" w:color="B9C2E8" w:sz="4" w:space="0"/>
              <w:left w:val="single" w:color="B9C2E8" w:sz="4" w:space="0"/>
              <w:bottom w:val="single" w:color="B9C2E8" w:sz="4" w:space="0"/>
              <w:right w:val="single" w:color="B9C2E8" w:sz="4" w:space="0"/>
            </w:tcBorders>
            <w:shd w:val="clear" w:color="auto" w:fill="EEF2FF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9B2966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Low (₹)</w:t>
            </w:r>
          </w:p>
        </w:tc>
        <w:tc>
          <w:tcPr>
            <w:tcW w:w="0" w:type="auto"/>
            <w:tcBorders>
              <w:top w:val="single" w:color="B9C2E8" w:sz="4" w:space="0"/>
              <w:left w:val="single" w:color="B9C2E8" w:sz="4" w:space="0"/>
              <w:bottom w:val="single" w:color="B9C2E8" w:sz="4" w:space="0"/>
              <w:right w:val="single" w:color="B9C2E8" w:sz="4" w:space="0"/>
            </w:tcBorders>
            <w:shd w:val="clear" w:color="auto" w:fill="EEF2FF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B34545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High (₹)</w:t>
            </w:r>
          </w:p>
        </w:tc>
      </w:tr>
      <w:tr w14:paraId="0F6F6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8CAEA0A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Windows server / cloud VM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E5222F2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4 vCPU, 8–16 GB RAM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FF76B32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96,000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B7A9717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1,80,000</w:t>
            </w:r>
          </w:p>
        </w:tc>
      </w:tr>
      <w:tr w14:paraId="681F86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BC8FBC1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SQL Server licence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47EC2EE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Express is free up to 10 GB — currently in use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51EC558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0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9E79530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0</w:t>
            </w:r>
          </w:p>
        </w:tc>
      </w:tr>
      <w:tr w14:paraId="00661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BE0FA33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Domain name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46560ED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.com / .in annual renewal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C44F846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1,000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D409D72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1,500</w:t>
            </w:r>
          </w:p>
        </w:tc>
      </w:tr>
      <w:tr w14:paraId="205E0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33AF60A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TLS / SSL certificate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0EDC59D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Let's Encrypt free, or paid DV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A37E364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0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3F6B2D1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6,000</w:t>
            </w:r>
          </w:p>
        </w:tc>
      </w:tr>
      <w:tr w14:paraId="637120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FCB0617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Transactional email (receipts)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A603A8F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SMTP relay, free tier to paid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9991454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0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80994FE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12,000</w:t>
            </w:r>
          </w:p>
        </w:tc>
      </w:tr>
      <w:tr w14:paraId="0B835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A6596CB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SMS / WhatsApp alerts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61B4F75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Optional, usage based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8D52756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0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E062B73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30,000</w:t>
            </w:r>
          </w:p>
        </w:tc>
      </w:tr>
      <w:tr w14:paraId="79CF1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7AE488B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Off-site backup storage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3B6B875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Cloud object storage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DAE52D2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2,400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B6C7CDF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12,000</w:t>
            </w:r>
          </w:p>
        </w:tc>
      </w:tr>
      <w:tr w14:paraId="1C77AB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gridSpan w:val="2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 w:color="auto" w:fill="3730A3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7A2D0C2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ANNUAL RUNNING COST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 w:color="auto" w:fill="3730A3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427F129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₹99,400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 w:color="auto" w:fill="3730A3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21FDA07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₹2,41,500</w:t>
            </w:r>
          </w:p>
        </w:tc>
      </w:tr>
    </w:tbl>
    <w:p w14:paraId="7BDC6EDB">
      <w:pPr>
        <w:keepNext w:val="0"/>
        <w:keepLines w:val="0"/>
        <w:widowControl/>
        <w:suppressLineNumbers w:val="0"/>
        <w:pBdr>
          <w:top w:val="single" w:color="F0D69A" w:sz="4" w:space="8"/>
          <w:left w:val="single" w:color="F0D69A" w:sz="4" w:space="10"/>
          <w:bottom w:val="single" w:color="F0D69A" w:sz="4" w:space="8"/>
          <w:right w:val="single" w:color="F0D69A" w:sz="4" w:space="10"/>
        </w:pBdr>
        <w:shd w:val="clear" w:fill="FFF8E6"/>
        <w:spacing w:before="200" w:beforeAutospacing="0" w:after="200" w:afterAutospacing="0" w:line="14" w:lineRule="atLeast"/>
        <w:ind w:left="0" w:right="0"/>
        <w:jc w:val="left"/>
        <w:rPr>
          <w:rFonts w:hint="default" w:ascii="Calibri" w:hAnsi="Calibri" w:cs="Calibri"/>
          <w:color w:val="1F2430"/>
          <w:sz w:val="19"/>
          <w:szCs w:val="19"/>
        </w:rPr>
      </w:pPr>
      <w:r>
        <w:rPr>
          <w:rFonts w:hint="default" w:ascii="Calibri" w:hAnsi="Calibri" w:eastAsia="SimSun" w:cs="Calibri"/>
          <w:b/>
          <w:bCs/>
          <w:color w:val="1F2430"/>
          <w:sz w:val="19"/>
          <w:szCs w:val="19"/>
          <w:bdr w:val="none" w:color="auto" w:sz="0" w:space="0"/>
          <w:shd w:val="clear" w:fill="FFF8E6"/>
        </w:rPr>
        <w:t>Usage-based, not fixed:</w:t>
      </w:r>
      <w:r>
        <w:rPr>
          <w:rFonts w:hint="default" w:ascii="Calibri" w:hAnsi="Calibri" w:eastAsia="SimSun" w:cs="Calibri"/>
          <w:color w:val="1F2430"/>
          <w:sz w:val="19"/>
          <w:szCs w:val="19"/>
          <w:bdr w:val="none" w:color="auto" w:sz="0" w:space="0"/>
          <w:shd w:val="clear" w:fill="FFF8E6"/>
        </w:rPr>
        <w:t xml:space="preserve"> online card / netbanking collection through a payment gateway typically costs </w:t>
      </w:r>
      <w:r>
        <w:rPr>
          <w:rFonts w:hint="default" w:ascii="Calibri" w:hAnsi="Calibri" w:eastAsia="SimSun" w:cs="Calibri"/>
          <w:b/>
          <w:bCs/>
          <w:color w:val="1F2430"/>
          <w:sz w:val="19"/>
          <w:szCs w:val="19"/>
          <w:bdr w:val="none" w:color="auto" w:sz="0" w:space="0"/>
          <w:shd w:val="clear" w:fill="FFF8E6"/>
        </w:rPr>
        <w:t>2% + 18% GST per transaction</w:t>
      </w:r>
      <w:r>
        <w:rPr>
          <w:rFonts w:hint="default" w:ascii="Calibri" w:hAnsi="Calibri" w:eastAsia="SimSun" w:cs="Calibri"/>
          <w:color w:val="1F2430"/>
          <w:sz w:val="19"/>
          <w:szCs w:val="19"/>
          <w:bdr w:val="none" w:color="auto" w:sz="0" w:space="0"/>
          <w:shd w:val="clear" w:fill="FFF8E6"/>
        </w:rPr>
        <w:t xml:space="preserve">. UPI collection for merchants is usually </w:t>
      </w:r>
      <w:r>
        <w:rPr>
          <w:rFonts w:hint="default" w:ascii="Calibri" w:hAnsi="Calibri" w:eastAsia="SimSun" w:cs="Calibri"/>
          <w:b/>
          <w:bCs/>
          <w:color w:val="1F2430"/>
          <w:sz w:val="19"/>
          <w:szCs w:val="19"/>
          <w:bdr w:val="none" w:color="auto" w:sz="0" w:space="0"/>
          <w:shd w:val="clear" w:fill="FFF8E6"/>
        </w:rPr>
        <w:t>nil</w:t>
      </w:r>
      <w:r>
        <w:rPr>
          <w:rFonts w:hint="default" w:ascii="Calibri" w:hAnsi="Calibri" w:eastAsia="SimSun" w:cs="Calibri"/>
          <w:color w:val="1F2430"/>
          <w:sz w:val="19"/>
          <w:szCs w:val="19"/>
          <w:bdr w:val="none" w:color="auto" w:sz="0" w:space="0"/>
          <w:shd w:val="clear" w:fill="FFF8E6"/>
        </w:rPr>
        <w:t xml:space="preserve">. These scale with revenue collected and are not included in the totals above. </w:t>
      </w:r>
    </w:p>
    <w:p w14:paraId="4AB53825">
      <w:pPr>
        <w:pStyle w:val="3"/>
        <w:keepNext w:val="0"/>
        <w:keepLines w:val="0"/>
        <w:widowControl/>
        <w:suppressLineNumbers w:val="0"/>
        <w:spacing w:line="14" w:lineRule="atLeast"/>
      </w:pPr>
      <w:r>
        <w:t>7. Optional &amp; One-Time Costs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03C94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9C2E8" w:sz="4" w:space="0"/>
              <w:left w:val="single" w:color="B9C2E8" w:sz="4" w:space="0"/>
              <w:bottom w:val="single" w:color="B9C2E8" w:sz="4" w:space="0"/>
              <w:right w:val="single" w:color="B9C2E8" w:sz="4" w:space="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C0E37C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Item</w:t>
            </w:r>
          </w:p>
        </w:tc>
        <w:tc>
          <w:tcPr>
            <w:tcW w:w="0" w:type="auto"/>
            <w:tcBorders>
              <w:top w:val="single" w:color="B9C2E8" w:sz="4" w:space="0"/>
              <w:left w:val="single" w:color="B9C2E8" w:sz="4" w:space="0"/>
              <w:bottom w:val="single" w:color="B9C2E8" w:sz="4" w:space="0"/>
              <w:right w:val="single" w:color="B9C2E8" w:sz="4" w:space="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4BE7B3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Notes</w:t>
            </w:r>
          </w:p>
        </w:tc>
        <w:tc>
          <w:tcPr>
            <w:tcW w:w="0" w:type="auto"/>
            <w:tcBorders>
              <w:top w:val="single" w:color="B9C2E8" w:sz="4" w:space="0"/>
              <w:left w:val="single" w:color="B9C2E8" w:sz="4" w:space="0"/>
              <w:bottom w:val="single" w:color="B9C2E8" w:sz="4" w:space="0"/>
              <w:right w:val="single" w:color="B9C2E8" w:sz="4" w:space="0"/>
            </w:tcBorders>
            <w:shd w:val="clear" w:color="auto" w:fill="EEF2FF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1DCC21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Typical (₹)</w:t>
            </w:r>
          </w:p>
        </w:tc>
      </w:tr>
      <w:tr w14:paraId="1F517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43284FC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Annual Maintenance Contract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C330FCD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15–20% of build cost per year; bug fixes, patches, minor changes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0907440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3,87,000 – 5,16,000</w:t>
            </w:r>
          </w:p>
        </w:tc>
      </w:tr>
      <w:tr w14:paraId="49F1DB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F21A788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Staff training &amp; handover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831AE87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2–3 sessions plus user manual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E19D008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30,000 – 60,000</w:t>
            </w:r>
          </w:p>
        </w:tc>
      </w:tr>
      <w:tr w14:paraId="7429A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732FF73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Data migration from an existing system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E0D6F5F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Depends on source data quality and volume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B0A2965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50,000 – 1,50,000</w:t>
            </w:r>
          </w:p>
        </w:tc>
      </w:tr>
      <w:tr w14:paraId="78F72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A03E87E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Biometric / RFID attendance integration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A0AEC5D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Software integration only, excludes devices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2492CBD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1,20,000 – 2,50,000</w:t>
            </w:r>
          </w:p>
        </w:tc>
      </w:tr>
      <w:tr w14:paraId="6D2FD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34DDA22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Biometric hardware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B45B4E6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Per device, purchased separately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5521063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8,000 – 25,000</w:t>
            </w:r>
          </w:p>
        </w:tc>
      </w:tr>
      <w:tr w14:paraId="2E0E0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CCBAFAA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Native mobile app (Android + iOS)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66FA32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Member app on the same API — separate project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C5DAE56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6,00,000 – 12,00,000</w:t>
            </w:r>
          </w:p>
        </w:tc>
      </w:tr>
      <w:tr w14:paraId="1C19D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3821B5A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SQL Server Standard licence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017AC71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Only if the database outgrows Express (10 GB)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3BBD29E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2,80,000 – 3,50,000</w:t>
            </w:r>
          </w:p>
        </w:tc>
      </w:tr>
    </w:tbl>
    <w:p w14:paraId="56238FA2">
      <w:pPr>
        <w:pStyle w:val="3"/>
        <w:keepNext w:val="0"/>
        <w:keepLines w:val="0"/>
        <w:widowControl/>
        <w:suppressLineNumbers w:val="0"/>
        <w:spacing w:line="14" w:lineRule="atLeast"/>
      </w:pPr>
      <w:r>
        <w:t>8. Total Cost of Ownership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5AC53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9C2E8" w:sz="4" w:space="0"/>
              <w:left w:val="single" w:color="B9C2E8" w:sz="4" w:space="0"/>
              <w:bottom w:val="single" w:color="B9C2E8" w:sz="4" w:space="0"/>
              <w:right w:val="single" w:color="B9C2E8" w:sz="4" w:space="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112144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Period</w:t>
            </w:r>
          </w:p>
        </w:tc>
        <w:tc>
          <w:tcPr>
            <w:tcW w:w="0" w:type="auto"/>
            <w:tcBorders>
              <w:top w:val="single" w:color="B9C2E8" w:sz="4" w:space="0"/>
              <w:left w:val="single" w:color="B9C2E8" w:sz="4" w:space="0"/>
              <w:bottom w:val="single" w:color="B9C2E8" w:sz="4" w:space="0"/>
              <w:right w:val="single" w:color="B9C2E8" w:sz="4" w:space="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649B9A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Includes</w:t>
            </w:r>
          </w:p>
        </w:tc>
        <w:tc>
          <w:tcPr>
            <w:tcW w:w="0" w:type="auto"/>
            <w:tcBorders>
              <w:top w:val="single" w:color="B9C2E8" w:sz="4" w:space="0"/>
              <w:left w:val="single" w:color="B9C2E8" w:sz="4" w:space="0"/>
              <w:bottom w:val="single" w:color="B9C2E8" w:sz="4" w:space="0"/>
              <w:right w:val="single" w:color="B9C2E8" w:sz="4" w:space="0"/>
            </w:tcBorders>
            <w:shd w:val="clear" w:color="auto" w:fill="EEF2FF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9DD1D7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Low (₹)</w:t>
            </w:r>
          </w:p>
        </w:tc>
        <w:tc>
          <w:tcPr>
            <w:tcW w:w="0" w:type="auto"/>
            <w:tcBorders>
              <w:top w:val="single" w:color="B9C2E8" w:sz="4" w:space="0"/>
              <w:left w:val="single" w:color="B9C2E8" w:sz="4" w:space="0"/>
              <w:bottom w:val="single" w:color="B9C2E8" w:sz="4" w:space="0"/>
              <w:right w:val="single" w:color="B9C2E8" w:sz="4" w:space="0"/>
            </w:tcBorders>
            <w:shd w:val="clear" w:color="auto" w:fill="EEF2FF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B94BAB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rPr>
                <w:rFonts w:hint="default" w:ascii="Calibri" w:hAnsi="Calibri" w:cs="Calibri"/>
                <w:b/>
                <w:bCs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High (₹)</w:t>
            </w:r>
          </w:p>
        </w:tc>
      </w:tr>
      <w:tr w14:paraId="3CEF6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2F6B104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Year 1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AEBAE09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Build + infrastructure &amp; services (AMC assumed covered by warranty)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6A6EB02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26,79,400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0218D54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28,21,500</w:t>
            </w:r>
          </w:p>
        </w:tc>
      </w:tr>
      <w:tr w14:paraId="6CEA0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764F6F5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Year 2 onward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8740315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Infrastructure &amp; services + annual maintenance contract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26A09CF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4,86,400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F65441C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7,57,500</w:t>
            </w:r>
          </w:p>
        </w:tc>
      </w:tr>
      <w:tr w14:paraId="6F754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gridSpan w:val="2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 w:color="auto" w:fill="3730A3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D20CC48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THREE-YEAR TOTAL COST OF OWNERSHIP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 w:color="auto" w:fill="3730A3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340BDE6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₹36,52,200</w:t>
            </w:r>
          </w:p>
        </w:tc>
        <w:tc>
          <w:tcPr>
            <w:tcW w:w="0" w:type="auto"/>
            <w:tcBorders>
              <w:top w:val="single" w:color="D7DCEC" w:sz="4" w:space="0"/>
              <w:left w:val="single" w:color="D7DCEC" w:sz="4" w:space="0"/>
              <w:bottom w:val="single" w:color="D7DCEC" w:sz="4" w:space="0"/>
              <w:right w:val="single" w:color="D7DCEC" w:sz="4" w:space="0"/>
            </w:tcBorders>
            <w:shd w:val="clear" w:color="auto" w:fill="3730A3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2FCB04A">
            <w:pPr>
              <w:keepNext w:val="0"/>
              <w:keepLines w:val="0"/>
              <w:widowControl/>
              <w:suppressLineNumbers w:val="0"/>
              <w:spacing w:line="14" w:lineRule="atLeast"/>
              <w:jc w:val="right"/>
              <w:textAlignment w:val="top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₹43,36,500</w:t>
            </w:r>
          </w:p>
        </w:tc>
      </w:tr>
    </w:tbl>
    <w:p w14:paraId="5CB95330">
      <w:pPr>
        <w:pStyle w:val="3"/>
        <w:keepNext w:val="0"/>
        <w:keepLines w:val="0"/>
        <w:widowControl/>
        <w:suppressLineNumbers w:val="0"/>
        <w:spacing w:line="14" w:lineRule="atLeast"/>
      </w:pPr>
      <w:r>
        <w:t>9. Assumptions &amp; Exclusions</w:t>
      </w:r>
    </w:p>
    <w:p w14:paraId="69B205D0">
      <w:pPr>
        <w:keepNext w:val="0"/>
        <w:keepLines w:val="0"/>
        <w:widowControl/>
        <w:suppressLineNumbers w:val="0"/>
        <w:pBdr>
          <w:top w:val="single" w:color="EFB6BD" w:sz="4" w:space="8"/>
          <w:left w:val="single" w:color="EFB6BD" w:sz="4" w:space="10"/>
          <w:bottom w:val="single" w:color="EFB6BD" w:sz="4" w:space="8"/>
          <w:right w:val="single" w:color="EFB6BD" w:sz="4" w:space="10"/>
        </w:pBdr>
        <w:shd w:val="clear" w:fill="FDEAEC"/>
        <w:spacing w:before="200" w:beforeAutospacing="0" w:after="200" w:afterAutospacing="0" w:line="14" w:lineRule="atLeast"/>
        <w:ind w:left="0" w:right="0"/>
        <w:jc w:val="left"/>
        <w:rPr>
          <w:rFonts w:hint="default" w:ascii="Calibri" w:hAnsi="Calibri" w:cs="Calibri"/>
          <w:color w:val="1F2430"/>
          <w:sz w:val="19"/>
          <w:szCs w:val="19"/>
        </w:rPr>
      </w:pPr>
      <w:r>
        <w:rPr>
          <w:rFonts w:hint="default" w:ascii="Calibri" w:hAnsi="Calibri" w:eastAsia="SimSun" w:cs="Calibri"/>
          <w:b/>
          <w:bCs/>
          <w:color w:val="1F2430"/>
          <w:sz w:val="19"/>
          <w:szCs w:val="19"/>
          <w:bdr w:val="none" w:color="auto" w:sz="0" w:space="0"/>
          <w:shd w:val="clear" w:fill="FDEAEC"/>
        </w:rPr>
        <w:t>Important — how to read these figures.</w:t>
      </w:r>
      <w:r>
        <w:rPr>
          <w:rFonts w:hint="default" w:ascii="Calibri" w:hAnsi="Calibri" w:eastAsia="SimSun" w:cs="Calibri"/>
          <w:color w:val="1F2430"/>
          <w:sz w:val="19"/>
          <w:szCs w:val="19"/>
          <w:bdr w:val="none" w:color="auto" w:sz="0" w:space="0"/>
          <w:shd w:val="clear" w:fill="FDEAEC"/>
        </w:rPr>
        <w:t xml:space="preserve"> This is a </w:t>
      </w:r>
      <w:r>
        <w:rPr>
          <w:rFonts w:hint="default" w:ascii="Calibri" w:hAnsi="Calibri" w:eastAsia="SimSun" w:cs="Calibri"/>
          <w:b/>
          <w:bCs/>
          <w:color w:val="1F2430"/>
          <w:sz w:val="19"/>
          <w:szCs w:val="19"/>
          <w:bdr w:val="none" w:color="auto" w:sz="0" w:space="0"/>
          <w:shd w:val="clear" w:fill="FDEAEC"/>
        </w:rPr>
        <w:t>scope-based valuation</w:t>
      </w:r>
      <w:r>
        <w:rPr>
          <w:rFonts w:hint="default" w:ascii="Calibri" w:hAnsi="Calibri" w:eastAsia="SimSun" w:cs="Calibri"/>
          <w:color w:val="1F2430"/>
          <w:sz w:val="19"/>
          <w:szCs w:val="19"/>
          <w:bdr w:val="none" w:color="auto" w:sz="0" w:space="0"/>
          <w:shd w:val="clear" w:fill="FDEAEC"/>
        </w:rPr>
        <w:t xml:space="preserve"> of the delivered system: what it would cost to commission this application at prevailing Indian market rates. It is </w:t>
      </w:r>
      <w:r>
        <w:rPr>
          <w:rFonts w:hint="default" w:ascii="Calibri" w:hAnsi="Calibri" w:eastAsia="SimSun" w:cs="Calibri"/>
          <w:b/>
          <w:bCs/>
          <w:color w:val="1F2430"/>
          <w:sz w:val="19"/>
          <w:szCs w:val="19"/>
          <w:bdr w:val="none" w:color="auto" w:sz="0" w:space="0"/>
          <w:shd w:val="clear" w:fill="FDEAEC"/>
        </w:rPr>
        <w:t>not</w:t>
      </w:r>
      <w:r>
        <w:rPr>
          <w:rFonts w:hint="default" w:ascii="Calibri" w:hAnsi="Calibri" w:eastAsia="SimSun" w:cs="Calibri"/>
          <w:color w:val="1F2430"/>
          <w:sz w:val="19"/>
          <w:szCs w:val="19"/>
          <w:bdr w:val="none" w:color="auto" w:sz="0" w:space="0"/>
          <w:shd w:val="clear" w:fill="FDEAEC"/>
        </w:rPr>
        <w:t xml:space="preserve"> a record of amounts actually invoiced or paid, and it is not a quotation. Actual figures depend on the commercial terms agreed with whoever built it. </w:t>
      </w:r>
    </w:p>
    <w:p w14:paraId="096C1D25">
      <w:pPr>
        <w:pStyle w:val="4"/>
        <w:keepNext w:val="0"/>
        <w:keepLines w:val="0"/>
        <w:widowControl/>
        <w:suppressLineNumbers w:val="0"/>
        <w:spacing w:line="14" w:lineRule="atLeast"/>
      </w:pPr>
      <w:r>
        <w:t>Assumptions</w:t>
      </w:r>
    </w:p>
    <w:p w14:paraId="7CD069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60" w:afterAutospacing="0" w:line="14" w:lineRule="atLeast"/>
        <w:ind w:left="0" w:hanging="360"/>
      </w:pPr>
      <w:r>
        <w:rPr>
          <w:rFonts w:hint="default" w:ascii="Calibri" w:hAnsi="Calibri" w:cs="Calibri"/>
          <w:color w:val="1F2430"/>
          <w:sz w:val="22"/>
          <w:szCs w:val="22"/>
          <w:bdr w:val="none" w:color="auto" w:sz="0" w:space="0"/>
        </w:rPr>
        <w:t>Blended rate of ₹6,000 per person-day covering analysis, development, testing and project management.</w:t>
      </w:r>
    </w:p>
    <w:p w14:paraId="560E48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60" w:afterAutospacing="0" w:line="14" w:lineRule="atLeast"/>
        <w:ind w:left="0" w:hanging="360"/>
      </w:pPr>
      <w:r>
        <w:rPr>
          <w:rFonts w:hint="default" w:ascii="Calibri" w:hAnsi="Calibri" w:cs="Calibri"/>
          <w:color w:val="1F2430"/>
          <w:sz w:val="22"/>
          <w:szCs w:val="22"/>
          <w:bdr w:val="none" w:color="auto" w:sz="0" w:space="0"/>
        </w:rPr>
        <w:t>Effort is derived from the delivered scope — endpoint, screen, entity and business-rule counts — not from timesheets.</w:t>
      </w:r>
    </w:p>
    <w:p w14:paraId="07F903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60" w:afterAutospacing="0" w:line="14" w:lineRule="atLeast"/>
        <w:ind w:left="0" w:hanging="360"/>
      </w:pPr>
      <w:r>
        <w:rPr>
          <w:rFonts w:hint="default" w:ascii="Calibri" w:hAnsi="Calibri" w:cs="Calibri"/>
          <w:color w:val="1F2430"/>
          <w:sz w:val="22"/>
          <w:szCs w:val="22"/>
          <w:bdr w:val="none" w:color="auto" w:sz="0" w:space="0"/>
        </w:rPr>
        <w:t>A working day is 8 hours; a person-month is 20 working days.</w:t>
      </w:r>
    </w:p>
    <w:p w14:paraId="62AB22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60" w:afterAutospacing="0" w:line="14" w:lineRule="atLeast"/>
        <w:ind w:left="0" w:hanging="360"/>
      </w:pPr>
      <w:r>
        <w:rPr>
          <w:rFonts w:hint="default" w:ascii="Calibri" w:hAnsi="Calibri" w:cs="Calibri"/>
          <w:color w:val="1F2430"/>
          <w:sz w:val="22"/>
          <w:szCs w:val="22"/>
          <w:bdr w:val="none" w:color="auto" w:sz="0" w:space="0"/>
        </w:rPr>
        <w:t>Infrastructure priced for a single-gym deployment with moderate traffic.</w:t>
      </w:r>
    </w:p>
    <w:p w14:paraId="3D051B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60" w:afterAutospacing="0" w:line="14" w:lineRule="atLeast"/>
        <w:ind w:left="0" w:hanging="360"/>
      </w:pPr>
      <w:r>
        <w:rPr>
          <w:rFonts w:hint="default" w:ascii="Calibri" w:hAnsi="Calibri" w:cs="Calibri"/>
          <w:color w:val="1F2430"/>
          <w:sz w:val="22"/>
          <w:szCs w:val="22"/>
          <w:bdr w:val="none" w:color="auto" w:sz="0" w:space="0"/>
        </w:rPr>
        <w:t>SQL Server Express is adequate at current data volumes (10 GB ceiling per database).</w:t>
      </w:r>
    </w:p>
    <w:p w14:paraId="44DD1109">
      <w:pPr>
        <w:pStyle w:val="4"/>
        <w:keepNext w:val="0"/>
        <w:keepLines w:val="0"/>
        <w:widowControl/>
        <w:suppressLineNumbers w:val="0"/>
        <w:spacing w:line="14" w:lineRule="atLeast"/>
      </w:pPr>
      <w:r>
        <w:t>Exclusions</w:t>
      </w:r>
    </w:p>
    <w:p w14:paraId="060E1B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60" w:afterAutospacing="0" w:line="14" w:lineRule="atLeast"/>
        <w:ind w:left="0" w:hanging="360"/>
      </w:pPr>
      <w:r>
        <w:rPr>
          <w:rFonts w:hint="default" w:ascii="Calibri" w:hAnsi="Calibri" w:cs="Calibri"/>
          <w:b/>
          <w:bCs/>
          <w:color w:val="1F2430"/>
          <w:sz w:val="22"/>
          <w:szCs w:val="22"/>
          <w:bdr w:val="none" w:color="auto" w:sz="0" w:space="0"/>
        </w:rPr>
        <w:t>GST</w:t>
      </w:r>
      <w:r>
        <w:rPr>
          <w:rFonts w:hint="default" w:ascii="Calibri" w:hAnsi="Calibri" w:cs="Calibri"/>
          <w:color w:val="1F2430"/>
          <w:sz w:val="22"/>
          <w:szCs w:val="22"/>
          <w:bdr w:val="none" w:color="auto" w:sz="0" w:space="0"/>
        </w:rPr>
        <w:t xml:space="preserve"> — 18% on professional services in India is not included in any figure above.</w:t>
      </w:r>
    </w:p>
    <w:p w14:paraId="69D9E66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60" w:afterAutospacing="0" w:line="14" w:lineRule="atLeast"/>
        <w:ind w:left="0" w:hanging="360"/>
      </w:pPr>
      <w:r>
        <w:rPr>
          <w:rFonts w:hint="default" w:ascii="Calibri" w:hAnsi="Calibri" w:cs="Calibri"/>
          <w:color w:val="1F2430"/>
          <w:sz w:val="22"/>
          <w:szCs w:val="22"/>
          <w:bdr w:val="none" w:color="auto" w:sz="0" w:space="0"/>
        </w:rPr>
        <w:t>Payment-gateway onboarding fees, and per-transaction charges (usage-based, see Section 6).</w:t>
      </w:r>
    </w:p>
    <w:p w14:paraId="2C9327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60" w:afterAutospacing="0" w:line="14" w:lineRule="atLeast"/>
        <w:ind w:left="0" w:hanging="360"/>
      </w:pPr>
      <w:r>
        <w:rPr>
          <w:rFonts w:hint="default" w:ascii="Calibri" w:hAnsi="Calibri" w:cs="Calibri"/>
          <w:color w:val="1F2430"/>
          <w:sz w:val="22"/>
          <w:szCs w:val="22"/>
          <w:bdr w:val="none" w:color="auto" w:sz="0" w:space="0"/>
        </w:rPr>
        <w:t>Any hardware: computers, biometric devices, printers, barcode scanners, networking.</w:t>
      </w:r>
    </w:p>
    <w:p w14:paraId="592E3B9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60" w:afterAutospacing="0" w:line="14" w:lineRule="atLeast"/>
        <w:ind w:left="0" w:hanging="360"/>
      </w:pPr>
      <w:r>
        <w:rPr>
          <w:rFonts w:hint="default" w:ascii="Calibri" w:hAnsi="Calibri" w:cs="Calibri"/>
          <w:color w:val="1F2430"/>
          <w:sz w:val="22"/>
          <w:szCs w:val="22"/>
          <w:bdr w:val="none" w:color="auto" w:sz="0" w:space="0"/>
        </w:rPr>
        <w:t>Internet connectivity at the gym premises.</w:t>
      </w:r>
    </w:p>
    <w:p w14:paraId="552A17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60" w:afterAutospacing="0" w:line="14" w:lineRule="atLeast"/>
        <w:ind w:left="0" w:hanging="360"/>
      </w:pPr>
      <w:r>
        <w:rPr>
          <w:rFonts w:hint="default" w:ascii="Calibri" w:hAnsi="Calibri" w:cs="Calibri"/>
          <w:color w:val="1F2430"/>
          <w:sz w:val="22"/>
          <w:szCs w:val="22"/>
          <w:bdr w:val="none" w:color="auto" w:sz="0" w:space="0"/>
        </w:rPr>
        <w:t>Native mobile applications (priced separately in Section 7).</w:t>
      </w:r>
    </w:p>
    <w:p w14:paraId="4A225C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60" w:afterAutospacing="0" w:line="14" w:lineRule="atLeast"/>
        <w:ind w:left="0" w:hanging="360"/>
      </w:pPr>
      <w:r>
        <w:rPr>
          <w:rFonts w:hint="default" w:ascii="Calibri" w:hAnsi="Calibri" w:cs="Calibri"/>
          <w:color w:val="1F2430"/>
          <w:sz w:val="22"/>
          <w:szCs w:val="22"/>
          <w:bdr w:val="none" w:color="auto" w:sz="0" w:space="0"/>
        </w:rPr>
        <w:t>Third-party licences beyond those listed.</w:t>
      </w:r>
    </w:p>
    <w:p w14:paraId="5AB5B76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60" w:afterAutospacing="0" w:line="14" w:lineRule="atLeast"/>
        <w:ind w:left="0" w:hanging="360"/>
      </w:pPr>
      <w:r>
        <w:rPr>
          <w:rFonts w:hint="default" w:ascii="Calibri" w:hAnsi="Calibri" w:cs="Calibri"/>
          <w:color w:val="1F2430"/>
          <w:sz w:val="22"/>
          <w:szCs w:val="22"/>
          <w:bdr w:val="none" w:color="auto" w:sz="0" w:space="0"/>
        </w:rPr>
        <w:t>Marketing, content creation and photography for the public website.</w:t>
      </w:r>
    </w:p>
    <w:p w14:paraId="34F4000A">
      <w:pPr>
        <w:pStyle w:val="11"/>
        <w:keepNext w:val="0"/>
        <w:keepLines w:val="0"/>
        <w:widowControl/>
        <w:suppressLineNumbers w:val="0"/>
        <w:pBdr>
          <w:top w:val="single" w:color="D7DCEC" w:sz="4" w:space="7"/>
        </w:pBdr>
        <w:spacing w:before="400" w:beforeAutospacing="0" w:line="14" w:lineRule="atLeast"/>
        <w:rPr>
          <w:color w:val="8E97AB"/>
          <w:sz w:val="18"/>
          <w:szCs w:val="18"/>
        </w:rPr>
      </w:pPr>
      <w:r>
        <w:rPr>
          <w:rFonts w:hint="default" w:ascii="Calibri" w:hAnsi="Calibri" w:cs="Calibri"/>
          <w:color w:val="8E97AB"/>
          <w:sz w:val="18"/>
          <w:szCs w:val="18"/>
        </w:rPr>
        <w:t xml:space="preserve">Gym Management System — Cost Summary  ·  Prepared 19 August 2026  ·  Scope figures counted from source code and database on that date. 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491ECE"/>
    <w:multiLevelType w:val="multilevel"/>
    <w:tmpl w:val="1A491E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5D2FFFA"/>
    <w:multiLevelType w:val="multilevel"/>
    <w:tmpl w:val="75D2FF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9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71B53E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0" w:after="80" w:afterAutospacing="0"/>
      <w:ind w:left="0" w:right="0"/>
      <w:jc w:val="left"/>
    </w:pPr>
    <w:rPr>
      <w:rFonts w:hint="eastAsia" w:ascii="SimSun" w:hAnsi="SimSun" w:eastAsia="SimSun" w:cs="SimSun"/>
      <w:b/>
      <w:bCs/>
      <w:color w:val="3730A3"/>
      <w:kern w:val="44"/>
      <w:sz w:val="44"/>
      <w:szCs w:val="44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C7CFFB" w:sz="4" w:space="3"/>
      </w:pBdr>
      <w:spacing w:before="400" w:beforeAutospacing="0" w:after="140" w:afterAutospacing="0"/>
      <w:ind w:left="0" w:right="0"/>
      <w:jc w:val="left"/>
    </w:pPr>
    <w:rPr>
      <w:rFonts w:hint="eastAsia" w:ascii="SimSun" w:hAnsi="SimSun" w:eastAsia="SimSun" w:cs="SimSun"/>
      <w:b/>
      <w:bCs/>
      <w:color w:val="3730A3"/>
      <w:kern w:val="0"/>
      <w:sz w:val="28"/>
      <w:szCs w:val="28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60" w:beforeAutospacing="0" w:after="100" w:afterAutospacing="0"/>
      <w:ind w:left="0" w:right="0"/>
      <w:jc w:val="left"/>
    </w:pPr>
    <w:rPr>
      <w:rFonts w:hint="eastAsia" w:ascii="SimSun" w:hAnsi="SimSun" w:eastAsia="SimSun" w:cs="SimSun"/>
      <w:b/>
      <w:bCs/>
      <w:color w:val="1F2430"/>
      <w:kern w:val="0"/>
      <w:sz w:val="23"/>
      <w:szCs w:val="23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uiPriority w:val="0"/>
    <w:pPr>
      <w:spacing w:before="0" w:beforeAutospacing="0" w:after="160" w:afterAutospacing="0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customStyle="1" w:styleId="12">
    <w:name w:val="big"/>
    <w:basedOn w:val="1"/>
    <w:uiPriority w:val="0"/>
    <w:pPr>
      <w:jc w:val="left"/>
    </w:pPr>
    <w:rPr>
      <w:b/>
      <w:bCs/>
      <w:color w:val="3730A3"/>
      <w:kern w:val="0"/>
      <w:sz w:val="30"/>
      <w:szCs w:val="30"/>
      <w:lang w:val="en-US" w:eastAsia="zh-CN" w:bidi="ar"/>
    </w:rPr>
  </w:style>
  <w:style w:type="paragraph" w:customStyle="1" w:styleId="13">
    <w:name w:val="sub"/>
    <w:basedOn w:val="1"/>
    <w:uiPriority w:val="0"/>
    <w:pPr>
      <w:spacing w:before="0" w:beforeAutospacing="0" w:after="40" w:afterAutospacing="0"/>
      <w:ind w:left="0" w:right="0"/>
      <w:jc w:val="left"/>
    </w:pPr>
    <w:rPr>
      <w:color w:val="5B6478"/>
      <w:kern w:val="0"/>
      <w:sz w:val="22"/>
      <w:szCs w:val="22"/>
      <w:lang w:val="en-US" w:eastAsia="zh-CN" w:bidi="ar"/>
    </w:rPr>
  </w:style>
  <w:style w:type="paragraph" w:customStyle="1" w:styleId="14">
    <w:name w:val="imp"/>
    <w:basedOn w:val="1"/>
    <w:uiPriority w:val="0"/>
    <w:pPr>
      <w:pBdr>
        <w:top w:val="single" w:color="EFB6BD" w:sz="4" w:space="8"/>
        <w:left w:val="single" w:color="EFB6BD" w:sz="4" w:space="10"/>
        <w:bottom w:val="single" w:color="EFB6BD" w:sz="4" w:space="8"/>
        <w:right w:val="single" w:color="EFB6BD" w:sz="4" w:space="10"/>
      </w:pBdr>
      <w:shd w:val="clear" w:fill="FDEAEC"/>
      <w:spacing w:before="200" w:beforeAutospacing="0" w:after="200" w:afterAutospacing="0"/>
      <w:ind w:left="0" w:right="0"/>
      <w:jc w:val="left"/>
    </w:pPr>
    <w:rPr>
      <w:kern w:val="0"/>
      <w:sz w:val="19"/>
      <w:szCs w:val="19"/>
      <w:lang w:val="en-US" w:eastAsia="zh-CN" w:bidi="ar"/>
    </w:rPr>
  </w:style>
  <w:style w:type="paragraph" w:customStyle="1" w:styleId="15">
    <w:name w:val="meta"/>
    <w:basedOn w:val="1"/>
    <w:uiPriority w:val="0"/>
    <w:pPr>
      <w:spacing w:before="0" w:beforeAutospacing="0" w:after="320" w:afterAutospacing="0"/>
      <w:ind w:left="0" w:right="0"/>
      <w:jc w:val="left"/>
    </w:pPr>
    <w:rPr>
      <w:color w:val="8E97AB"/>
      <w:kern w:val="0"/>
      <w:sz w:val="19"/>
      <w:szCs w:val="19"/>
      <w:lang w:val="en-US" w:eastAsia="zh-CN" w:bidi="ar"/>
    </w:rPr>
  </w:style>
  <w:style w:type="paragraph" w:customStyle="1" w:styleId="16">
    <w:name w:val="note"/>
    <w:basedOn w:val="1"/>
    <w:uiPriority w:val="0"/>
    <w:pPr>
      <w:pBdr>
        <w:top w:val="single" w:color="F0D69A" w:sz="4" w:space="8"/>
        <w:left w:val="single" w:color="F0D69A" w:sz="4" w:space="10"/>
        <w:bottom w:val="single" w:color="F0D69A" w:sz="4" w:space="8"/>
        <w:right w:val="single" w:color="F0D69A" w:sz="4" w:space="10"/>
      </w:pBdr>
      <w:shd w:val="clear" w:fill="FFF8E6"/>
      <w:spacing w:before="200" w:beforeAutospacing="0" w:after="200" w:afterAutospacing="0"/>
      <w:ind w:left="0" w:right="0"/>
      <w:jc w:val="left"/>
    </w:pPr>
    <w:rPr>
      <w:kern w:val="0"/>
      <w:sz w:val="19"/>
      <w:szCs w:val="19"/>
      <w:lang w:val="en-US" w:eastAsia="zh-CN" w:bidi="ar"/>
    </w:rPr>
  </w:style>
  <w:style w:type="character" w:customStyle="1" w:styleId="17">
    <w:name w:val="big1"/>
    <w:uiPriority w:val="0"/>
    <w:rPr>
      <w:b/>
      <w:bCs/>
      <w:color w:val="3730A3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0</TotalTime>
  <ScaleCrop>false</ScaleCrop>
  <LinksUpToDate>false</LinksUpToDate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2026-08-19T17:32:34Z</dcterms:created>
  <cp:lastModifiedBy>Rajendra</cp:lastModifiedBy>
  <dcterms:modified xsi:type="dcterms:W3CDTF">2026-08-19T17:32:34Z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9DFFCB635395419296847B90E5178B5B_13</vt:lpwstr>
  </property>
</Properties>
</file>