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976D2"/>
          <w:sz w:val="44"/>
        </w:rPr>
        <w:t>Elpis EdgeConnect — Connectivity Studio</w:t>
      </w:r>
    </w:p>
    <w:p>
      <w:pPr>
        <w:spacing w:after="40"/>
      </w:pPr>
      <w:r>
        <w:rPr>
          <w:b/>
          <w:i w:val="0"/>
          <w:color w:val="1F2937"/>
          <w:sz w:val="28"/>
        </w:rPr>
        <w:t>Operator UI Redesign — Change Report</w:t>
      </w:r>
    </w:p>
    <w:p>
      <w:pPr>
        <w:spacing w:after="280"/>
      </w:pPr>
      <w:r>
        <w:rPr>
          <w:b w:val="0"/>
          <w:i w:val="0"/>
          <w:color w:val="6B7280"/>
          <w:sz w:val="20"/>
        </w:rPr>
        <w:t>4 – 5 August 2026 (complete)</w:t>
      </w:r>
    </w:p>
    <w:tbl>
      <w:tblPr>
        <w:tblStyle w:val="LightGrid-Accent1"/>
        <w:tblW w:type="auto" w:w="0"/>
        <w:jc w:val="left"/>
        <w:tblLook w:firstColumn="1" w:firstRow="1" w:lastColumn="0" w:lastRow="0" w:noHBand="0" w:noVBand="1" w:val="04A0"/>
      </w:tblPr>
      <w:tblGrid>
        <w:gridCol w:w="4320"/>
        <w:gridCol w:w="4320"/>
      </w:tblGrid>
      <w:tr>
        <w:tc>
          <w:tcPr>
            <w:tcW w:type="dxa" w:w="2160"/>
          </w:tcPr>
          <w:p>
            <w:r/>
            <w:r>
              <w:rPr>
                <w:b/>
                <w:sz w:val="18"/>
              </w:rPr>
              <w:t>Field</w:t>
            </w:r>
          </w:p>
        </w:tc>
        <w:tc>
          <w:tcPr>
            <w:tcW w:type="dxa" w:w="7200"/>
          </w:tcPr>
          <w:p>
            <w:r/>
            <w:r>
              <w:rPr>
                <w:b/>
                <w:sz w:val="18"/>
              </w:rPr>
              <w:t>Detail</w:t>
            </w:r>
          </w:p>
        </w:tc>
      </w:tr>
      <w:tr>
        <w:tc>
          <w:tcPr>
            <w:tcW w:type="dxa" w:w="2160"/>
          </w:tcPr>
          <w:p>
            <w:r/>
            <w:r>
              <w:rPr>
                <w:b w:val="0"/>
                <w:sz w:val="18"/>
              </w:rPr>
              <w:t>Product</w:t>
            </w:r>
          </w:p>
        </w:tc>
        <w:tc>
          <w:tcPr>
            <w:tcW w:type="dxa" w:w="7200"/>
          </w:tcPr>
          <w:p>
            <w:r/>
            <w:r>
              <w:rPr>
                <w:b w:val="0"/>
                <w:sz w:val="18"/>
              </w:rPr>
              <w:t>Elpis EdgeConnect — Connectivity Studio (management UI)</w:t>
            </w:r>
          </w:p>
        </w:tc>
      </w:tr>
      <w:tr>
        <w:tc>
          <w:tcPr>
            <w:tcW w:type="dxa" w:w="2160"/>
          </w:tcPr>
          <w:p>
            <w:r/>
            <w:r>
              <w:rPr>
                <w:b w:val="0"/>
                <w:sz w:val="18"/>
              </w:rPr>
              <w:t>Version</w:t>
            </w:r>
          </w:p>
        </w:tc>
        <w:tc>
          <w:tcPr>
            <w:tcW w:type="dxa" w:w="7200"/>
          </w:tcPr>
          <w:p>
            <w:r/>
            <w:r>
              <w:rPr>
                <w:b w:val="0"/>
                <w:sz w:val="18"/>
              </w:rPr>
              <w:t>2.1.0.4 (source build)</w:t>
            </w:r>
          </w:p>
        </w:tc>
      </w:tr>
      <w:tr>
        <w:tc>
          <w:tcPr>
            <w:tcW w:type="dxa" w:w="2160"/>
          </w:tcPr>
          <w:p>
            <w:r/>
            <w:r>
              <w:rPr>
                <w:b w:val="0"/>
                <w:sz w:val="18"/>
              </w:rPr>
              <w:t>Stack</w:t>
            </w:r>
          </w:p>
        </w:tc>
        <w:tc>
          <w:tcPr>
            <w:tcW w:type="dxa" w:w="7200"/>
          </w:tcPr>
          <w:p>
            <w:r/>
            <w:r>
              <w:rPr>
                <w:b w:val="0"/>
                <w:sz w:val="18"/>
              </w:rPr>
              <w:t>.NET 8 · Blazor Server · MudBlazor 7.15</w:t>
            </w:r>
          </w:p>
        </w:tc>
      </w:tr>
      <w:tr>
        <w:tc>
          <w:tcPr>
            <w:tcW w:type="dxa" w:w="2160"/>
          </w:tcPr>
          <w:p>
            <w:r/>
            <w:r>
              <w:rPr>
                <w:b w:val="0"/>
                <w:sz w:val="18"/>
              </w:rPr>
              <w:t>Project</w:t>
            </w:r>
          </w:p>
        </w:tc>
        <w:tc>
          <w:tcPr>
            <w:tcW w:type="dxa" w:w="7200"/>
          </w:tcPr>
          <w:p>
            <w:r/>
            <w:r>
              <w:rPr>
                <w:b w:val="0"/>
                <w:sz w:val="18"/>
              </w:rPr>
              <w:t>src/ElpisEdgeConnect.Management</w:t>
            </w:r>
          </w:p>
        </w:tc>
      </w:tr>
      <w:tr>
        <w:tc>
          <w:tcPr>
            <w:tcW w:type="dxa" w:w="2160"/>
          </w:tcPr>
          <w:p>
            <w:r/>
            <w:r>
              <w:rPr>
                <w:b w:val="0"/>
                <w:sz w:val="18"/>
              </w:rPr>
              <w:t>Audience</w:t>
            </w:r>
          </w:p>
        </w:tc>
        <w:tc>
          <w:tcPr>
            <w:tcW w:type="dxa" w:w="7200"/>
          </w:tcPr>
          <w:p>
            <w:r/>
            <w:r>
              <w:rPr>
                <w:b w:val="0"/>
                <w:sz w:val="18"/>
              </w:rPr>
              <w:t>Factory maintenance engineers / commissioning operators</w:t>
            </w:r>
          </w:p>
        </w:tc>
      </w:tr>
      <w:tr>
        <w:tc>
          <w:tcPr>
            <w:tcW w:type="dxa" w:w="2160"/>
          </w:tcPr>
          <w:p>
            <w:r/>
            <w:r>
              <w:rPr>
                <w:b w:val="0"/>
                <w:sz w:val="18"/>
              </w:rPr>
              <w:t>Goal</w:t>
            </w:r>
          </w:p>
        </w:tc>
        <w:tc>
          <w:tcPr>
            <w:tcW w:type="dxa" w:w="7200"/>
          </w:tcPr>
          <w:p>
            <w:r/>
            <w:r>
              <w:rPr>
                <w:b w:val="0"/>
                <w:sz w:val="18"/>
              </w:rPr>
              <w:t>Answer “what is broken and what do I do next?” in under 5 seconds</w:t>
            </w:r>
          </w:p>
        </w:tc>
      </w:tr>
      <w:tr>
        <w:tc>
          <w:tcPr>
            <w:tcW w:type="dxa" w:w="2160"/>
          </w:tcPr>
          <w:p>
            <w:r/>
            <w:r>
              <w:rPr>
                <w:b w:val="0"/>
                <w:sz w:val="18"/>
              </w:rPr>
              <w:t>Build status</w:t>
            </w:r>
          </w:p>
        </w:tc>
        <w:tc>
          <w:tcPr>
            <w:tcW w:type="dxa" w:w="7200"/>
          </w:tcPr>
          <w:p>
            <w:r/>
            <w:r>
              <w:rPr>
                <w:b w:val="0"/>
                <w:sz w:val="18"/>
              </w:rPr>
              <w:t>0 errors, 0 warnings</w:t>
            </w:r>
          </w:p>
        </w:tc>
      </w:tr>
      <w:tr>
        <w:tc>
          <w:tcPr>
            <w:tcW w:type="dxa" w:w="2160"/>
          </w:tcPr>
          <w:p>
            <w:r/>
            <w:r>
              <w:rPr>
                <w:b w:val="0"/>
                <w:sz w:val="18"/>
              </w:rPr>
              <w:t>Runtime status</w:t>
            </w:r>
          </w:p>
        </w:tc>
        <w:tc>
          <w:tcPr>
            <w:tcW w:type="dxa" w:w="7200"/>
          </w:tcPr>
          <w:p>
            <w:r/>
            <w:r>
              <w:rPr>
                <w:b w:val="0"/>
                <w:sz w:val="18"/>
              </w:rPr>
              <w:t>3 / 3 routes Running, verified after each change</w:t>
            </w:r>
          </w:p>
        </w:tc>
      </w:tr>
    </w:tbl>
    <w:p>
      <w:pPr>
        <w:spacing w:after="80"/>
      </w:pPr>
    </w:p>
    <w:p>
      <w:pPr>
        <w:pStyle w:val="Heading1"/>
      </w:pPr>
      <w:r>
        <w:t>1. Executive summary</w:t>
      </w:r>
    </w:p>
    <w:p>
      <w:r>
        <w:rPr>
          <w:b w:val="0"/>
          <w:i w:val="0"/>
        </w:rPr>
        <w:t>The Connectivity Studio operator UI was redesigned end to end over this period. The work covered the application shell, navigation, every list and detail page, the configuration wizards, and the full responsive range from 320 px phones to 4K displays.</w:t>
      </w:r>
    </w:p>
    <w:p>
      <w:r>
        <w:rPr>
          <w:b w:val="0"/>
          <w:i w:val="0"/>
        </w:rPr>
        <w:t>Beyond the visual redesign, the pass uncovered and fixed a set of defects that were invisible in the source but real in the browser — most notably a family of CSS rules keyed to a class that MudBlazor 7 never emits, which meant several “implemented” behaviours had never actually worked.</w:t>
      </w:r>
    </w:p>
    <w:p>
      <w:pPr>
        <w:spacing w:after="80"/>
      </w:pPr>
      <w:r>
        <w:rPr>
          <w:b/>
          <w:i w:val="0"/>
        </w:rPr>
        <w:t>Headline outcomes</w:t>
      </w:r>
    </w:p>
    <w:tbl>
      <w:tblPr>
        <w:tblStyle w:val="LightGrid-Accent1"/>
        <w:tblW w:type="auto" w:w="0"/>
        <w:jc w:val="left"/>
        <w:tblLook w:firstColumn="1" w:firstRow="1" w:lastColumn="0" w:lastRow="0" w:noHBand="0" w:noVBand="1" w:val="04A0"/>
      </w:tblPr>
      <w:tblGrid>
        <w:gridCol w:w="4320"/>
        <w:gridCol w:w="4320"/>
      </w:tblGrid>
      <w:tr>
        <w:tc>
          <w:tcPr>
            <w:tcW w:type="dxa" w:w="2160"/>
          </w:tcPr>
          <w:p>
            <w:r/>
            <w:r>
              <w:rPr>
                <w:b/>
                <w:sz w:val="18"/>
              </w:rPr>
              <w:t>Area</w:t>
            </w:r>
          </w:p>
        </w:tc>
        <w:tc>
          <w:tcPr>
            <w:tcW w:type="dxa" w:w="7200"/>
          </w:tcPr>
          <w:p>
            <w:r/>
            <w:r>
              <w:rPr>
                <w:b/>
                <w:sz w:val="18"/>
              </w:rPr>
              <w:t>Outcome</w:t>
            </w:r>
          </w:p>
        </w:tc>
      </w:tr>
      <w:tr>
        <w:tc>
          <w:tcPr>
            <w:tcW w:type="dxa" w:w="2160"/>
          </w:tcPr>
          <w:p>
            <w:r/>
            <w:r>
              <w:rPr>
                <w:b w:val="0"/>
                <w:sz w:val="18"/>
              </w:rPr>
              <w:t>Shell</w:t>
            </w:r>
          </w:p>
        </w:tc>
        <w:tc>
          <w:tcPr>
            <w:tcW w:type="dxa" w:w="7200"/>
          </w:tcPr>
          <w:p>
            <w:r/>
            <w:r>
              <w:rPr>
                <w:b w:val="0"/>
                <w:sz w:val="18"/>
              </w:rPr>
              <w:t>Fixed header band and fixed footer; only page content scrolls</w:t>
            </w:r>
          </w:p>
        </w:tc>
      </w:tr>
      <w:tr>
        <w:tc>
          <w:tcPr>
            <w:tcW w:type="dxa" w:w="2160"/>
          </w:tcPr>
          <w:p>
            <w:r/>
            <w:r>
              <w:rPr>
                <w:b w:val="0"/>
                <w:sz w:val="18"/>
              </w:rPr>
              <w:t>Navigation</w:t>
            </w:r>
          </w:p>
        </w:tc>
        <w:tc>
          <w:tcPr>
            <w:tcW w:type="dxa" w:w="7200"/>
          </w:tcPr>
          <w:p>
            <w:r/>
            <w:r>
              <w:rPr>
                <w:b w:val="0"/>
                <w:sz w:val="18"/>
              </w:rPr>
              <w:t>Left rail with brand, collapse control, 11 tabs, tooltips</w:t>
            </w:r>
          </w:p>
        </w:tc>
      </w:tr>
      <w:tr>
        <w:tc>
          <w:tcPr>
            <w:tcW w:type="dxa" w:w="2160"/>
          </w:tcPr>
          <w:p>
            <w:r/>
            <w:r>
              <w:rPr>
                <w:b w:val="0"/>
                <w:sz w:val="18"/>
              </w:rPr>
              <w:t>Consistency</w:t>
            </w:r>
          </w:p>
        </w:tc>
        <w:tc>
          <w:tcPr>
            <w:tcW w:type="dxa" w:w="7200"/>
          </w:tcPr>
          <w:p>
            <w:r/>
            <w:r>
              <w:rPr>
                <w:b w:val="0"/>
                <w:sz w:val="18"/>
              </w:rPr>
              <w:t>One row height, one heading pattern, one button case across all pages</w:t>
            </w:r>
          </w:p>
        </w:tc>
      </w:tr>
      <w:tr>
        <w:tc>
          <w:tcPr>
            <w:tcW w:type="dxa" w:w="2160"/>
          </w:tcPr>
          <w:p>
            <w:r/>
            <w:r>
              <w:rPr>
                <w:b w:val="0"/>
                <w:sz w:val="18"/>
              </w:rPr>
              <w:t>Language</w:t>
            </w:r>
          </w:p>
        </w:tc>
        <w:tc>
          <w:tcPr>
            <w:tcW w:type="dxa" w:w="7200"/>
          </w:tcPr>
          <w:p>
            <w:r/>
            <w:r>
              <w:rPr>
                <w:b w:val="0"/>
                <w:sz w:val="18"/>
              </w:rPr>
              <w:t>Internal vocabulary (sink / draft / adapter / cursor) removed from operator view</w:t>
            </w:r>
          </w:p>
        </w:tc>
      </w:tr>
      <w:tr>
        <w:tc>
          <w:tcPr>
            <w:tcW w:type="dxa" w:w="2160"/>
          </w:tcPr>
          <w:p>
            <w:r/>
            <w:r>
              <w:rPr>
                <w:b w:val="0"/>
                <w:sz w:val="18"/>
              </w:rPr>
              <w:t>Errors</w:t>
            </w:r>
          </w:p>
        </w:tc>
        <w:tc>
          <w:tcPr>
            <w:tcW w:type="dxa" w:w="7200"/>
          </w:tcPr>
          <w:p>
            <w:r/>
            <w:r>
              <w:rPr>
                <w:b w:val="0"/>
                <w:sz w:val="18"/>
              </w:rPr>
              <w:t>Raw exceptions and HTTP status codes replaced with next-step guidance</w:t>
            </w:r>
          </w:p>
        </w:tc>
      </w:tr>
      <w:tr>
        <w:tc>
          <w:tcPr>
            <w:tcW w:type="dxa" w:w="2160"/>
          </w:tcPr>
          <w:p>
            <w:r/>
            <w:r>
              <w:rPr>
                <w:b w:val="0"/>
                <w:sz w:val="18"/>
              </w:rPr>
              <w:t>Accessibility</w:t>
            </w:r>
          </w:p>
        </w:tc>
        <w:tc>
          <w:tcPr>
            <w:tcW w:type="dxa" w:w="7200"/>
          </w:tcPr>
          <w:p>
            <w:r/>
            <w:r>
              <w:rPr>
                <w:b w:val="0"/>
                <w:sz w:val="18"/>
              </w:rPr>
              <w:t>Keyboard access, ARIA roles, focus rings, contrast on disabled states</w:t>
            </w:r>
          </w:p>
        </w:tc>
      </w:tr>
      <w:tr>
        <w:tc>
          <w:tcPr>
            <w:tcW w:type="dxa" w:w="2160"/>
          </w:tcPr>
          <w:p>
            <w:r/>
            <w:r>
              <w:rPr>
                <w:b w:val="0"/>
                <w:sz w:val="18"/>
              </w:rPr>
              <w:t>Responsive</w:t>
            </w:r>
          </w:p>
        </w:tc>
        <w:tc>
          <w:tcPr>
            <w:tcW w:type="dxa" w:w="7200"/>
          </w:tcPr>
          <w:p>
            <w:r/>
            <w:r>
              <w:rPr>
                <w:b w:val="0"/>
                <w:sz w:val="18"/>
              </w:rPr>
              <w:t>8 breakpoints, 320 px to 1920 px+, no horizontal scroll at any width</w:t>
            </w:r>
          </w:p>
        </w:tc>
      </w:tr>
    </w:tbl>
    <w:p>
      <w:pPr>
        <w:spacing w:after="80"/>
      </w:pPr>
    </w:p>
    <w:p>
      <w:pPr>
        <w:pStyle w:val="Heading1"/>
      </w:pPr>
      <w:r>
        <w:t>2. Application shell and layout</w:t>
      </w:r>
    </w:p>
    <w:p>
      <w:pPr>
        <w:pStyle w:val="Heading2"/>
      </w:pPr>
      <w:r>
        <w:t>2.1 Fixed chrome, scrolling body</w:t>
      </w:r>
    </w:p>
    <w:p>
      <w:r>
        <w:rPr>
          <w:b w:val="0"/>
          <w:i w:val="0"/>
        </w:rPr>
        <w:t>The shell was restructured into a flex column so that the banner region and the page heading stay fixed while only the page content scrolls.</w:t>
      </w:r>
    </w:p>
    <w:tbl>
      <w:tblPr>
        <w:tblStyle w:val="LightGrid-Accent1"/>
        <w:tblW w:type="auto" w:w="0"/>
        <w:jc w:val="left"/>
        <w:tblLook w:firstColumn="1" w:firstRow="1" w:lastColumn="0" w:lastRow="0" w:noHBand="0" w:noVBand="1" w:val="04A0"/>
      </w:tblPr>
      <w:tblGrid>
        <w:gridCol w:w="4320"/>
        <w:gridCol w:w="4320"/>
      </w:tblGrid>
      <w:tr>
        <w:tc>
          <w:tcPr>
            <w:tcW w:type="dxa" w:w="3168"/>
          </w:tcPr>
          <w:p>
            <w:r/>
            <w:r>
              <w:rPr>
                <w:b/>
                <w:sz w:val="18"/>
              </w:rPr>
              <w:t>Row</w:t>
            </w:r>
          </w:p>
        </w:tc>
        <w:tc>
          <w:tcPr>
            <w:tcW w:type="dxa" w:w="6192"/>
          </w:tcPr>
          <w:p>
            <w:r/>
            <w:r>
              <w:rPr>
                <w:b/>
                <w:sz w:val="18"/>
              </w:rPr>
              <w:t>Behaviour</w:t>
            </w:r>
          </w:p>
        </w:tc>
      </w:tr>
      <w:tr>
        <w:tc>
          <w:tcPr>
            <w:tcW w:type="dxa" w:w="3168"/>
          </w:tcPr>
          <w:p>
            <w:r/>
            <w:r>
              <w:rPr>
                <w:b w:val="0"/>
                <w:sz w:val="18"/>
              </w:rPr>
              <w:t>Banner / demo-mode notice</w:t>
            </w:r>
          </w:p>
        </w:tc>
        <w:tc>
          <w:tcPr>
            <w:tcW w:type="dxa" w:w="6192"/>
          </w:tcPr>
          <w:p>
            <w:r/>
            <w:r>
              <w:rPr>
                <w:b w:val="0"/>
                <w:sz w:val="18"/>
              </w:rPr>
              <w:t>flex: 0 0 auto — auto height, never scrolls</w:t>
            </w:r>
          </w:p>
        </w:tc>
      </w:tr>
      <w:tr>
        <w:tc>
          <w:tcPr>
            <w:tcW w:type="dxa" w:w="3168"/>
          </w:tcPr>
          <w:p>
            <w:r/>
            <w:r>
              <w:rPr>
                <w:b w:val="0"/>
                <w:sz w:val="18"/>
              </w:rPr>
              <w:t>Page container</w:t>
            </w:r>
          </w:p>
        </w:tc>
        <w:tc>
          <w:tcPr>
            <w:tcW w:type="dxa" w:w="6192"/>
          </w:tcPr>
          <w:p>
            <w:r/>
            <w:r>
              <w:rPr>
                <w:b w:val="0"/>
                <w:sz w:val="18"/>
              </w:rPr>
              <w:t>flex: 1 1 auto + overflow-y: auto — the single scroller</w:t>
            </w:r>
          </w:p>
        </w:tc>
      </w:tr>
      <w:tr>
        <w:tc>
          <w:tcPr>
            <w:tcW w:type="dxa" w:w="3168"/>
          </w:tcPr>
          <w:p>
            <w:r/>
            <w:r>
              <w:rPr>
                <w:b w:val="0"/>
                <w:sz w:val="18"/>
              </w:rPr>
              <w:t>Status footer</w:t>
            </w:r>
          </w:p>
        </w:tc>
        <w:tc>
          <w:tcPr>
            <w:tcW w:type="dxa" w:w="6192"/>
          </w:tcPr>
          <w:p>
            <w:r/>
            <w:r>
              <w:rPr>
                <w:b w:val="0"/>
                <w:sz w:val="18"/>
              </w:rPr>
              <w:t>Fixed at the bottom of the viewport</w:t>
            </w:r>
          </w:p>
        </w:tc>
      </w:tr>
    </w:tbl>
    <w:p>
      <w:pPr>
        <w:spacing w:after="80"/>
      </w:pPr>
    </w:p>
    <w:p>
      <w:r>
        <w:rPr>
          <w:b w:val="0"/>
          <w:i w:val="0"/>
        </w:rPr>
        <w:t>Why a flex column rather than offsets: the shell was previously the scroller itself, which forced every banner to be position: sticky merely to survive a scroll — and sticky banners then competed with the sticky page heading for the same top: 0 slot. The banner height is not a constant (the demo-mode line wraps to two or three rows on a narrow window, and banners appear and disappear as the licence poll runs), so no fixed offset could be correct. As a flex column the browser performs that measurement natively.</w:t>
      </w:r>
    </w:p>
    <w:p>
      <w:pPr>
        <w:spacing w:after="80"/>
      </w:pPr>
      <w:r>
        <w:rPr>
          <w:b/>
          <w:i w:val="0"/>
        </w:rPr>
        <w:t>Two load-bearing details:</w:t>
      </w:r>
    </w:p>
    <w:p>
      <w:pPr>
        <w:pStyle w:val="ListBullet"/>
        <w:spacing w:after="60"/>
        <w:ind w:left="360"/>
      </w:pPr>
      <w:r>
        <w:rPr>
          <w:b w:val="0"/>
        </w:rPr>
      </w:r>
      <w:r>
        <w:rPr>
          <w:b/>
        </w:rPr>
        <w:t>min-height: 0</w:t>
      </w:r>
      <w:r>
        <w:rPr>
          <w:b w:val="0"/>
        </w:rPr>
        <w:t xml:space="preserve"> on the scrolling row. A flex item defaults to min-height: auto and refuses to shrink below its content, which would push the scrollbar back onto the document.</w:t>
      </w:r>
    </w:p>
    <w:p>
      <w:pPr>
        <w:pStyle w:val="ListBullet"/>
        <w:spacing w:after="60"/>
        <w:ind w:left="360"/>
      </w:pPr>
      <w:r>
        <w:rPr>
          <w:b w:val="0"/>
        </w:rPr>
      </w:r>
      <w:r>
        <w:rPr>
          <w:b/>
        </w:rPr>
        <w:t>padding-top: 0</w:t>
      </w:r>
      <w:r>
        <w:rPr>
          <w:b w:val="0"/>
        </w:rPr>
        <w:t xml:space="preserve"> on that row. A sticky element is constrained by its containing block — the container's content box — so the heading could never rise nearer than the padding to the banner, leaving a strip for content to scroll visibly through.</w:t>
      </w:r>
    </w:p>
    <w:p>
      <w:pPr>
        <w:pStyle w:val="Heading2"/>
      </w:pPr>
      <w:r>
        <w:t>2.2 Top header removed</w:t>
      </w:r>
    </w:p>
    <w:p>
      <w:r>
        <w:rPr>
          <w:b w:val="0"/>
          <w:i w:val="0"/>
        </w:rPr>
        <w:t>The top app bar was removed. The logo and product name moved into the head of the navigation rail, and each page renders its own heading in the body. A top bar repeating that heading was a second copy of the same words across the full width of every screen.</w:t>
      </w:r>
    </w:p>
    <w:p>
      <w:pPr>
        <w:pStyle w:val="Heading2"/>
      </w:pPr>
      <w:r>
        <w:t>2.3 Page width</w:t>
      </w:r>
    </w:p>
    <w:p>
      <w:r>
        <w:rPr>
          <w:b w:val="0"/>
          <w:i w:val="0"/>
        </w:rPr>
        <w:t>Pages that nested their own width-capped container inside the layout container stopped two-thirds of the way across the window — the License page did exactly this. A rule now releases nested containers to full width and drops their duplicate gutters.</w:t>
      </w:r>
    </w:p>
    <w:p>
      <w:pPr>
        <w:pStyle w:val="Heading1"/>
      </w:pPr>
      <w:r>
        <w:t>3. Navigation rail</w:t>
      </w:r>
    </w:p>
    <w:p>
      <w:pPr>
        <w:pStyle w:val="ListBullet"/>
        <w:spacing w:after="60"/>
        <w:ind w:left="360"/>
      </w:pPr>
      <w:r>
        <w:rPr>
          <w:b w:val="0"/>
        </w:rPr>
      </w:r>
      <w:r>
        <w:rPr>
          <w:b/>
        </w:rPr>
        <w:t>Brand block</w:t>
      </w:r>
      <w:r>
        <w:rPr>
          <w:b w:val="0"/>
        </w:rPr>
        <w:t xml:space="preserve"> — mark plus “EdgeConnect” and “by Elpis” at the head of the rail.</w:t>
      </w:r>
    </w:p>
    <w:p>
      <w:pPr>
        <w:pStyle w:val="ListBullet"/>
        <w:spacing w:after="60"/>
        <w:ind w:left="360"/>
      </w:pPr>
      <w:r>
        <w:rPr>
          <w:b w:val="0"/>
        </w:rPr>
      </w:r>
      <w:r>
        <w:rPr>
          <w:b/>
        </w:rPr>
        <w:t>Collapse control</w:t>
      </w:r>
      <w:r>
        <w:rPr>
          <w:b w:val="0"/>
        </w:rPr>
        <w:t xml:space="preserve"> inside the rail, where it belongs with the thing it collapses. Carries aria-expanded, and its label flips with state so it never announces the action it is not about to perform.</w:t>
      </w:r>
    </w:p>
    <w:p>
      <w:pPr>
        <w:pStyle w:val="ListBullet"/>
        <w:spacing w:after="60"/>
        <w:ind w:left="360"/>
      </w:pPr>
      <w:r>
        <w:rPr>
          <w:b w:val="0"/>
        </w:rPr>
      </w:r>
      <w:r>
        <w:rPr>
          <w:b/>
        </w:rPr>
        <w:t>Two groups</w:t>
      </w:r>
      <w:r>
        <w:rPr>
          <w:b w:val="0"/>
        </w:rPr>
        <w:t xml:space="preserve"> — Menu (hourly screens) and System (rarely visited).</w:t>
      </w:r>
    </w:p>
    <w:p>
      <w:pPr>
        <w:pStyle w:val="ListBullet"/>
        <w:spacing w:after="60"/>
        <w:ind w:left="360"/>
      </w:pPr>
      <w:r>
        <w:rPr>
          <w:b w:val="0"/>
        </w:rPr>
      </w:r>
      <w:r>
        <w:rPr>
          <w:b/>
        </w:rPr>
        <w:t>Active tab</w:t>
      </w:r>
      <w:r>
        <w:rPr>
          <w:b w:val="0"/>
        </w:rPr>
        <w:t xml:space="preserve"> derived from the URL, with a child route keeping its parent tab lit; aria-current="page" carries the same fact to assistive technology, which a background colour alone never did.</w:t>
      </w:r>
    </w:p>
    <w:p>
      <w:pPr>
        <w:pStyle w:val="ListBullet"/>
        <w:spacing w:after="60"/>
        <w:ind w:left="360"/>
      </w:pPr>
      <w:r>
        <w:rPr>
          <w:b w:val="0"/>
        </w:rPr>
      </w:r>
      <w:r>
        <w:rPr>
          <w:b/>
        </w:rPr>
        <w:t>Tooltips on all 11 tabs.</w:t>
      </w:r>
      <w:r>
        <w:rPr>
          <w:b w:val="0"/>
        </w:rPr>
        <w:t xml:space="preserve"> Collapsed, the rail is icons only and the tooltip is the sole label; expanded, it says what the screen is for, which a single noun like “Checklist” never does.</w:t>
      </w:r>
    </w:p>
    <w:p>
      <w:pPr>
        <w:pStyle w:val="ListBullet"/>
        <w:spacing w:after="60"/>
        <w:ind w:left="360"/>
      </w:pPr>
      <w:r>
        <w:rPr>
          <w:b w:val="0"/>
        </w:rPr>
      </w:r>
      <w:r>
        <w:rPr>
          <w:b/>
        </w:rPr>
        <w:t>Refactored to a data-driven list.</w:t>
      </w:r>
      <w:r>
        <w:rPr>
          <w:b w:val="0"/>
        </w:rPr>
        <w:t xml:space="preserve"> Eleven near-identical markup blocks became one record plus one template — which is how a tooltip ends up on ten tabs and not the eleventh.</w:t>
      </w:r>
    </w:p>
    <w:p>
      <w:pPr>
        <w:pStyle w:val="Heading2"/>
      </w:pPr>
      <w:r>
        <w:t>3.1 Icons corrected</w:t>
      </w:r>
    </w:p>
    <w:p>
      <w:r>
        <w:rPr>
          <w:b w:val="0"/>
          <w:i w:val="0"/>
        </w:rPr>
        <w:t>Three icons described something the page does not do. Changed in the rail and the page heading together, since they are meant to be the same mark.</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28"/>
          </w:tcPr>
          <w:p>
            <w:r/>
            <w:r>
              <w:rPr>
                <w:b/>
                <w:sz w:val="18"/>
              </w:rPr>
              <w:t>Page</w:t>
            </w:r>
          </w:p>
        </w:tc>
        <w:tc>
          <w:tcPr>
            <w:tcW w:type="dxa" w:w="1728"/>
          </w:tcPr>
          <w:p>
            <w:r/>
            <w:r>
              <w:rPr>
                <w:b/>
                <w:sz w:val="18"/>
              </w:rPr>
              <w:t>Was</w:t>
            </w:r>
          </w:p>
        </w:tc>
        <w:tc>
          <w:tcPr>
            <w:tcW w:type="dxa" w:w="2304"/>
          </w:tcPr>
          <w:p>
            <w:r/>
            <w:r>
              <w:rPr>
                <w:b/>
                <w:sz w:val="18"/>
              </w:rPr>
              <w:t>Now</w:t>
            </w:r>
          </w:p>
        </w:tc>
        <w:tc>
          <w:tcPr>
            <w:tcW w:type="dxa" w:w="3600"/>
          </w:tcPr>
          <w:p>
            <w:r/>
            <w:r>
              <w:rPr>
                <w:b/>
                <w:sz w:val="18"/>
              </w:rPr>
              <w:t>Reason</w:t>
            </w:r>
          </w:p>
        </w:tc>
      </w:tr>
      <w:tr>
        <w:tc>
          <w:tcPr>
            <w:tcW w:type="dxa" w:w="1728"/>
          </w:tcPr>
          <w:p>
            <w:r/>
            <w:r>
              <w:rPr>
                <w:b w:val="0"/>
                <w:sz w:val="18"/>
              </w:rPr>
              <w:t>Diagnostics</w:t>
            </w:r>
          </w:p>
        </w:tc>
        <w:tc>
          <w:tcPr>
            <w:tcW w:type="dxa" w:w="1728"/>
          </w:tcPr>
          <w:p>
            <w:r/>
            <w:r>
              <w:rPr>
                <w:b w:val="0"/>
                <w:sz w:val="18"/>
              </w:rPr>
              <w:t>BugReport</w:t>
            </w:r>
          </w:p>
        </w:tc>
        <w:tc>
          <w:tcPr>
            <w:tcW w:type="dxa" w:w="2304"/>
          </w:tcPr>
          <w:p>
            <w:r/>
            <w:r>
              <w:rPr>
                <w:b w:val="0"/>
                <w:sz w:val="18"/>
              </w:rPr>
              <w:t>Troubleshoot</w:t>
            </w:r>
          </w:p>
        </w:tc>
        <w:tc>
          <w:tcPr>
            <w:tcW w:type="dxa" w:w="3600"/>
          </w:tcPr>
          <w:p>
            <w:r/>
            <w:r>
              <w:rPr>
                <w:b w:val="0"/>
                <w:sz w:val="18"/>
              </w:rPr>
              <w:t>A bug icon reads as “report a software defect”; this page shows plant events and adapter faults</w:t>
            </w:r>
          </w:p>
        </w:tc>
      </w:tr>
      <w:tr>
        <w:tc>
          <w:tcPr>
            <w:tcW w:type="dxa" w:w="1728"/>
          </w:tcPr>
          <w:p>
            <w:r/>
            <w:r>
              <w:rPr>
                <w:b w:val="0"/>
                <w:sz w:val="18"/>
              </w:rPr>
              <w:t>Backup</w:t>
            </w:r>
          </w:p>
        </w:tc>
        <w:tc>
          <w:tcPr>
            <w:tcW w:type="dxa" w:w="1728"/>
          </w:tcPr>
          <w:p>
            <w:r/>
            <w:r>
              <w:rPr>
                <w:b w:val="0"/>
                <w:sz w:val="18"/>
              </w:rPr>
              <w:t>CloudDownload</w:t>
            </w:r>
          </w:p>
        </w:tc>
        <w:tc>
          <w:tcPr>
            <w:tcW w:type="dxa" w:w="2304"/>
          </w:tcPr>
          <w:p>
            <w:r/>
            <w:r>
              <w:rPr>
                <w:b w:val="0"/>
                <w:sz w:val="18"/>
              </w:rPr>
              <w:t>SettingsBackupRestore</w:t>
            </w:r>
          </w:p>
        </w:tc>
        <w:tc>
          <w:tcPr>
            <w:tcW w:type="dxa" w:w="3600"/>
          </w:tcPr>
          <w:p>
            <w:r/>
            <w:r>
              <w:rPr>
                <w:b w:val="0"/>
                <w:sz w:val="18"/>
              </w:rPr>
              <w:t>The gateway runs on an isolated plant network with no outbound route; the backup is a local file</w:t>
            </w:r>
          </w:p>
        </w:tc>
      </w:tr>
      <w:tr>
        <w:tc>
          <w:tcPr>
            <w:tcW w:type="dxa" w:w="1728"/>
          </w:tcPr>
          <w:p>
            <w:r/>
            <w:r>
              <w:rPr>
                <w:b w:val="0"/>
                <w:sz w:val="18"/>
              </w:rPr>
              <w:t>Diagnostic bundle</w:t>
            </w:r>
          </w:p>
        </w:tc>
        <w:tc>
          <w:tcPr>
            <w:tcW w:type="dxa" w:w="1728"/>
          </w:tcPr>
          <w:p>
            <w:r/>
            <w:r>
              <w:rPr>
                <w:b w:val="0"/>
                <w:sz w:val="18"/>
              </w:rPr>
              <w:t>Inventory2</w:t>
            </w:r>
          </w:p>
        </w:tc>
        <w:tc>
          <w:tcPr>
            <w:tcW w:type="dxa" w:w="2304"/>
          </w:tcPr>
          <w:p>
            <w:r/>
            <w:r>
              <w:rPr>
                <w:b w:val="0"/>
                <w:sz w:val="18"/>
              </w:rPr>
              <w:t>Archive</w:t>
            </w:r>
          </w:p>
        </w:tc>
        <w:tc>
          <w:tcPr>
            <w:tcW w:type="dxa" w:w="3600"/>
          </w:tcPr>
          <w:p>
            <w:r/>
            <w:r>
              <w:rPr>
                <w:b w:val="0"/>
                <w:sz w:val="18"/>
              </w:rPr>
              <w:t>A warehouse carton, for a page that produces one archive to send to support</w:t>
            </w:r>
          </w:p>
        </w:tc>
      </w:tr>
    </w:tbl>
    <w:p>
      <w:pPr>
        <w:spacing w:after="80"/>
      </w:pPr>
    </w:p>
    <w:p>
      <w:pPr>
        <w:pStyle w:val="Heading1"/>
      </w:pPr>
      <w:r>
        <w:t>4. Page headings</w:t>
      </w:r>
    </w:p>
    <w:p>
      <w:r>
        <w:rPr>
          <w:b w:val="0"/>
          <w:i w:val="0"/>
        </w:rPr>
        <w:t>Every page heading now carries an icon, a title and a one-line description, and pins to the top of the scroll region.</w:t>
      </w:r>
    </w:p>
    <w:p>
      <w:pPr>
        <w:spacing w:after="80"/>
      </w:pPr>
      <w:r>
        <w:rPr>
          <w:b/>
          <w:i w:val="0"/>
        </w:rPr>
        <w:t>A latent defect found here</w:t>
      </w:r>
    </w:p>
    <w:p>
      <w:r>
        <w:rPr>
          <w:b w:val="0"/>
          <w:i w:val="0"/>
        </w:rPr>
        <w:t>The sticky-heading rule targeted .mud-stack-row:first-child. MudBlazor 7 renders a Stack as role="group" class="d-flex flex-row" and emits no mud-stack-row class at all — zero matches in the live DOM. The rule had therefore been inert since it was written, and headings scrolled away on every page.</w:t>
      </w:r>
    </w:p>
    <w:p>
      <w:pPr>
        <w:spacing w:after="80"/>
      </w:pPr>
      <w:r>
        <w:rPr>
          <w:b w:val="0"/>
          <w:i w:val="0"/>
        </w:rPr>
        <w:t>Five further rules keyed off the same non-existent class and were equally inert:</w:t>
      </w:r>
    </w:p>
    <w:tbl>
      <w:tblPr>
        <w:tblStyle w:val="LightGrid-Accent1"/>
        <w:tblW w:type="auto" w:w="0"/>
        <w:jc w:val="left"/>
        <w:tblLook w:firstColumn="1" w:firstRow="1" w:lastColumn="0" w:lastRow="0" w:noHBand="0" w:noVBand="1" w:val="04A0"/>
      </w:tblPr>
      <w:tblGrid>
        <w:gridCol w:w="4320"/>
        <w:gridCol w:w="4320"/>
      </w:tblGrid>
      <w:tr>
        <w:tc>
          <w:tcPr>
            <w:tcW w:type="dxa" w:w="3744"/>
          </w:tcPr>
          <w:p>
            <w:r/>
            <w:r>
              <w:rPr>
                <w:b/>
                <w:sz w:val="18"/>
              </w:rPr>
              <w:t>Rule</w:t>
            </w:r>
          </w:p>
        </w:tc>
        <w:tc>
          <w:tcPr>
            <w:tcW w:type="dxa" w:w="5616"/>
          </w:tcPr>
          <w:p>
            <w:r/>
            <w:r>
              <w:rPr>
                <w:b/>
                <w:sz w:val="18"/>
              </w:rPr>
              <w:t>What it was supposed to do</w:t>
            </w:r>
          </w:p>
        </w:tc>
      </w:tr>
      <w:tr>
        <w:tc>
          <w:tcPr>
            <w:tcW w:type="dxa" w:w="3744"/>
          </w:tcPr>
          <w:p>
            <w:r/>
            <w:r>
              <w:rPr>
                <w:b w:val="0"/>
                <w:sz w:val="18"/>
              </w:rPr>
              <w:t>&gt; .mud-icon-root</w:t>
            </w:r>
          </w:p>
        </w:tc>
        <w:tc>
          <w:tcPr>
            <w:tcW w:type="dxa" w:w="5616"/>
          </w:tcPr>
          <w:p>
            <w:r/>
            <w:r>
              <w:rPr>
                <w:b w:val="0"/>
                <w:sz w:val="18"/>
              </w:rPr>
              <w:t>Icon on the same optical centre-line as its label</w:t>
            </w:r>
          </w:p>
        </w:tc>
      </w:tr>
      <w:tr>
        <w:tc>
          <w:tcPr>
            <w:tcW w:type="dxa" w:w="3744"/>
          </w:tcPr>
          <w:p>
            <w:r/>
            <w:r>
              <w:rPr>
                <w:b w:val="0"/>
                <w:sz w:val="18"/>
              </w:rPr>
              <w:t>&gt; .mud-input-control:last-child</w:t>
            </w:r>
          </w:p>
        </w:tc>
        <w:tc>
          <w:tcPr>
            <w:tcW w:type="dxa" w:w="5616"/>
          </w:tcPr>
          <w:p>
            <w:r/>
            <w:r>
              <w:rPr>
                <w:b w:val="0"/>
                <w:sz w:val="18"/>
              </w:rPr>
              <w:t>Wizard section filters pushed right</w:t>
            </w:r>
          </w:p>
        </w:tc>
      </w:tr>
      <w:tr>
        <w:tc>
          <w:tcPr>
            <w:tcW w:type="dxa" w:w="3744"/>
          </w:tcPr>
          <w:p>
            <w:r/>
            <w:r>
              <w:rPr>
                <w:b w:val="0"/>
                <w:sz w:val="18"/>
              </w:rPr>
              <w:t>.mud-table-cell … :has(.mud-button-root)</w:t>
            </w:r>
          </w:p>
        </w:tc>
        <w:tc>
          <w:tcPr>
            <w:tcW w:type="dxa" w:w="5616"/>
          </w:tcPr>
          <w:p>
            <w:r/>
            <w:r>
              <w:rPr>
                <w:b w:val="0"/>
                <w:sz w:val="18"/>
              </w:rPr>
              <w:t>Action buttons kept on one line</w:t>
            </w:r>
          </w:p>
        </w:tc>
      </w:tr>
      <w:tr>
        <w:tc>
          <w:tcPr>
            <w:tcW w:type="dxa" w:w="3744"/>
          </w:tcPr>
          <w:p>
            <w:r/>
            <w:r>
              <w:rPr>
                <w:b w:val="0"/>
                <w:sz w:val="18"/>
              </w:rPr>
              <w:t>:first-child + .mud-paper</w:t>
            </w:r>
          </w:p>
        </w:tc>
        <w:tc>
          <w:tcPr>
            <w:tcW w:type="dxa" w:w="5616"/>
          </w:tcPr>
          <w:p>
            <w:r/>
            <w:r>
              <w:rPr>
                <w:b w:val="0"/>
                <w:sz w:val="18"/>
              </w:rPr>
              <w:t>Onboarding step ladder pinned below the heading</w:t>
            </w:r>
          </w:p>
        </w:tc>
      </w:tr>
      <w:tr>
        <w:tc>
          <w:tcPr>
            <w:tcW w:type="dxa" w:w="3744"/>
          </w:tcPr>
          <w:p>
            <w:r/>
            <w:r>
              <w:rPr>
                <w:b w:val="0"/>
                <w:sz w:val="18"/>
              </w:rPr>
              <w:t>(two more in the mobile block)</w:t>
            </w:r>
          </w:p>
        </w:tc>
        <w:tc>
          <w:tcPr>
            <w:tcW w:type="dxa" w:w="5616"/>
          </w:tcPr>
          <w:p>
            <w:r/>
            <w:r>
              <w:rPr>
                <w:b w:val="0"/>
                <w:sz w:val="18"/>
              </w:rPr>
              <w:t>Both of the above at phone widths</w:t>
            </w:r>
          </w:p>
        </w:tc>
      </w:tr>
    </w:tbl>
    <w:p>
      <w:pPr>
        <w:spacing w:after="80"/>
      </w:pPr>
    </w:p>
    <w:p>
      <w:r>
        <w:rPr>
          <w:b w:val="0"/>
          <w:i w:val="0"/>
        </w:rPr>
        <w:t>All six now use [role="group"].flex-row, which is what the component actually produces. The heading itself was re-anchored on an explicit page-heading class — a class we own cannot be changed out from under us by a component-library upgrade. 19 components were tagged and verified as exactly one heading per page across all 19 routes.</w:t>
      </w:r>
    </w:p>
    <w:p>
      <w:r>
        <w:rPr>
          <w:b w:val="0"/>
          <w:i w:val="0"/>
        </w:rPr>
        <w:t>Overview's heading was hoisted out of its MudGrid: inside a grid cell a sticky element can only ever pin within that one cell, which scrolls away with the rest of the row.</w:t>
      </w:r>
    </w:p>
    <w:p>
      <w:pPr>
        <w:pStyle w:val="Heading1"/>
      </w:pPr>
      <w:r>
        <w:t>5. Typography, density and alignment</w:t>
      </w:r>
    </w:p>
    <w:p>
      <w:pPr>
        <w:pStyle w:val="Heading2"/>
      </w:pPr>
      <w:r>
        <w:t>5.1 Weight scale</w:t>
      </w:r>
    </w:p>
    <w:p>
      <w:r>
        <w:rPr>
          <w:b w:val="0"/>
          <w:i w:val="0"/>
        </w:rPr>
        <w:t>Headings rendered far heavier than intended. CSS font-matching resolves weights above 500 upward, and Segoe UI ships only 300/400/600/700 — so 620, 640 and 650 all rendered as Bold. A two-step scale was introduced (--w-body: 400, --w-emphasis: 600) with attribute selectors pulling the stray inline weights down.</w:t>
      </w:r>
    </w:p>
    <w:p>
      <w:pPr>
        <w:pStyle w:val="Heading2"/>
      </w:pPr>
      <w:r>
        <w:t>5.2 Surfaces and tables</w:t>
      </w:r>
    </w:p>
    <w:p>
      <w:pPr>
        <w:pStyle w:val="ListBullet"/>
        <w:spacing w:after="60"/>
        <w:ind w:left="360"/>
      </w:pPr>
      <w:r>
        <w:rPr>
          <w:b w:val="0"/>
        </w:rPr>
        <w:t>One card treatment across the app; MudBlazor's modal-weight elevation-8 shadow softened where used inline.</w:t>
      </w:r>
    </w:p>
    <w:p>
      <w:pPr>
        <w:pStyle w:val="ListBullet"/>
        <w:spacing w:after="60"/>
        <w:ind w:left="360"/>
      </w:pPr>
      <w:r>
        <w:rPr>
          <w:b w:val="0"/>
        </w:rPr>
        <w:t>Table headers de-shouted — bold + uppercase + wide tracking was three emphasis signals stacked on one element, leaving the header row louder than the data beneath it.</w:t>
      </w:r>
    </w:p>
    <w:p>
      <w:pPr>
        <w:pStyle w:val="ListBullet"/>
        <w:spacing w:after="60"/>
        <w:ind w:left="360"/>
      </w:pPr>
      <w:r>
        <w:rPr>
          <w:b w:val="0"/>
        </w:rPr>
        <w:t>Tabular figures so digits line up column to column instead of drifting as values change.</w:t>
      </w:r>
    </w:p>
    <w:p>
      <w:pPr>
        <w:pStyle w:val="ListBullet"/>
        <w:spacing w:after="60"/>
        <w:ind w:left="360"/>
      </w:pPr>
      <w:r>
        <w:rPr>
          <w:b w:val="0"/>
        </w:rPr>
        <w:t>Status chips in sentence case; they already carry both a word and an icon, so all-caps bold was redundant weight.</w:t>
      </w:r>
    </w:p>
    <w:p>
      <w:pPr>
        <w:pStyle w:val="Heading2"/>
      </w:pPr>
      <w:r>
        <w:t>5.3 One row height across the list pages</w:t>
      </w:r>
    </w:p>
    <w:p>
      <w:r>
        <w:rPr>
          <w:b w:val="0"/>
          <w:i w:val="0"/>
        </w:rPr>
        <w:t>Sources, Destinations and Routes use identical MudDataGrid settings, so any difference in row height came from cell content. Routes lost on two counts:</w:t>
      </w:r>
    </w:p>
    <w:p>
      <w:pPr>
        <w:pStyle w:val="ListBullet"/>
        <w:spacing w:after="60"/>
        <w:ind w:left="360"/>
      </w:pPr>
      <w:r>
        <w:rPr>
          <w:b w:val="0"/>
        </w:rPr>
        <w:t xml:space="preserve">Its </w:t>
      </w:r>
      <w:r>
        <w:rPr>
          <w:b/>
        </w:rPr>
        <w:t>Buffer</w:t>
      </w:r>
      <w:r>
        <w:rPr>
          <w:b w:val="0"/>
        </w:rPr>
        <w:t xml:space="preserve"> cell stacked a count over a caption (“held on disk if a destination drops”) — a property of the route's configuration, repeated identically down every row, costing a line of height each time. Now one line, with the mode on hover.</w:t>
      </w:r>
    </w:p>
    <w:p>
      <w:pPr>
        <w:pStyle w:val="ListBullet"/>
        <w:spacing w:after="60"/>
        <w:ind w:left="360"/>
      </w:pPr>
      <w:r>
        <w:rPr>
          <w:b w:val="0"/>
        </w:rPr>
      </w:r>
      <w:r>
        <w:rPr>
          <w:b/>
        </w:rPr>
        <w:t>Long identifiers wrapped.</w:t>
      </w:r>
      <w:r>
        <w:rPr>
          <w:b w:val="0"/>
        </w:rPr>
        <w:t xml:space="preserve"> route-OPC_UA_Client broke to a second line where shorter ids fit on one, so only some rows were tall. Identifier cells now stay on one line and ellipsis, so a long id changes the column width, never the row height.</w:t>
      </w:r>
    </w:p>
    <w:p>
      <w:r>
        <w:rPr>
          <w:b w:val="0"/>
          <w:i w:val="0"/>
        </w:rPr>
        <w:t>A shared min-height plus vertical-align: middle gives all three pages the same baseline. min-height rather than a fixed height, so a cell that genuinely needs two lines can still take them.</w:t>
      </w:r>
    </w:p>
    <w:p>
      <w:pPr>
        <w:pStyle w:val="Heading2"/>
      </w:pPr>
      <w:r>
        <w:t>5.4 Live Stream panes</w:t>
      </w:r>
    </w:p>
    <w:p>
      <w:r>
        <w:rPr>
          <w:b w:val="0"/>
          <w:i w:val="0"/>
        </w:rPr>
        <w:t>On the Live Stream page the destination name was rendered as a block inside the timestamp column, making column 1 two lines deep on the sink side and one on the source side — so the two panes drifted out of step going down the page. The name now rides the tag line, giving both sides the same shape. This also retired the earlier workaround: in the fixed-width column a long name overflowed onto the tag text, whereas the tag line now truncates cleanly.</w:t>
      </w:r>
    </w:p>
    <w:p>
      <w:pPr>
        <w:pStyle w:val="Heading1"/>
      </w:pPr>
      <w:r>
        <w:t>6. Operator language</w:t>
      </w:r>
    </w:p>
    <w:p>
      <w:r>
        <w:rPr>
          <w:b w:val="0"/>
          <w:i w:val="0"/>
        </w:rPr>
        <w:t>The vocabulary rule is that internal and architectural terms never reach the operator. 25 replacements were applied across 12 wizard files.</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8"/>
              </w:rPr>
              <w:t>Was</w:t>
            </w:r>
          </w:p>
        </w:tc>
        <w:tc>
          <w:tcPr>
            <w:tcW w:type="dxa" w:w="5040"/>
          </w:tcPr>
          <w:p>
            <w:r/>
            <w:r>
              <w:rPr>
                <w:b/>
                <w:sz w:val="18"/>
              </w:rPr>
              <w:t>Now</w:t>
            </w:r>
          </w:p>
        </w:tc>
      </w:tr>
      <w:tr>
        <w:tc>
          <w:tcPr>
            <w:tcW w:type="dxa" w:w="4320"/>
          </w:tcPr>
          <w:p>
            <w:r/>
            <w:r>
              <w:rPr>
                <w:b w:val="0"/>
                <w:sz w:val="18"/>
              </w:rPr>
              <w:t>Draft summary</w:t>
            </w:r>
          </w:p>
        </w:tc>
        <w:tc>
          <w:tcPr>
            <w:tcW w:type="dxa" w:w="5040"/>
          </w:tcPr>
          <w:p>
            <w:r/>
            <w:r>
              <w:rPr>
                <w:b w:val="0"/>
                <w:sz w:val="18"/>
              </w:rPr>
              <w:t>Summary of changes</w:t>
            </w:r>
          </w:p>
        </w:tc>
      </w:tr>
      <w:tr>
        <w:tc>
          <w:tcPr>
            <w:tcW w:type="dxa" w:w="4320"/>
          </w:tcPr>
          <w:p>
            <w:r/>
            <w:r>
              <w:rPr>
                <w:b w:val="0"/>
                <w:sz w:val="18"/>
              </w:rPr>
              <w:t>This draft will:</w:t>
            </w:r>
          </w:p>
        </w:tc>
        <w:tc>
          <w:tcPr>
            <w:tcW w:type="dxa" w:w="5040"/>
          </w:tcPr>
          <w:p>
            <w:r/>
            <w:r>
              <w:rPr>
                <w:b w:val="0"/>
                <w:sz w:val="18"/>
              </w:rPr>
              <w:t>When you save, EdgeConnect will:</w:t>
            </w:r>
          </w:p>
        </w:tc>
      </w:tr>
      <w:tr>
        <w:tc>
          <w:tcPr>
            <w:tcW w:type="dxa" w:w="4320"/>
          </w:tcPr>
          <w:p>
            <w:r/>
            <w:r>
              <w:rPr>
                <w:b w:val="0"/>
                <w:sz w:val="18"/>
              </w:rPr>
              <w:t>Save as draft</w:t>
            </w:r>
          </w:p>
        </w:tc>
        <w:tc>
          <w:tcPr>
            <w:tcW w:type="dxa" w:w="5040"/>
          </w:tcPr>
          <w:p>
            <w:r/>
            <w:r>
              <w:rPr>
                <w:b w:val="0"/>
                <w:sz w:val="18"/>
              </w:rPr>
              <w:t>Save changes</w:t>
            </w:r>
          </w:p>
        </w:tc>
      </w:tr>
      <w:tr>
        <w:tc>
          <w:tcPr>
            <w:tcW w:type="dxa" w:w="4320"/>
          </w:tcPr>
          <w:p>
            <w:r/>
            <w:r>
              <w:rPr>
                <w:b w:val="0"/>
                <w:sz w:val="18"/>
              </w:rPr>
              <w:t>Select MQTT sink (required)</w:t>
            </w:r>
          </w:p>
        </w:tc>
        <w:tc>
          <w:tcPr>
            <w:tcW w:type="dxa" w:w="5040"/>
          </w:tcPr>
          <w:p>
            <w:r/>
            <w:r>
              <w:rPr>
                <w:b w:val="0"/>
                <w:sz w:val="18"/>
              </w:rPr>
              <w:t>MQTT destination *</w:t>
            </w:r>
          </w:p>
        </w:tc>
      </w:tr>
      <w:tr>
        <w:tc>
          <w:tcPr>
            <w:tcW w:type="dxa" w:w="4320"/>
          </w:tcPr>
          <w:p>
            <w:r/>
            <w:r>
              <w:rPr>
                <w:b w:val="0"/>
                <w:sz w:val="18"/>
              </w:rPr>
              <w:t>Draft created. Next: click Validate, then Apply.</w:t>
            </w:r>
          </w:p>
        </w:tc>
        <w:tc>
          <w:tcPr>
            <w:tcW w:type="dxa" w:w="5040"/>
          </w:tcPr>
          <w:p>
            <w:r/>
            <w:r>
              <w:rPr>
                <w:b w:val="0"/>
                <w:sz w:val="18"/>
              </w:rPr>
              <w:t>Saved. Review and activate it on the Configuration page.</w:t>
            </w:r>
          </w:p>
        </w:tc>
      </w:tr>
      <w:tr>
        <w:tc>
          <w:tcPr>
            <w:tcW w:type="dxa" w:w="4320"/>
          </w:tcPr>
          <w:p>
            <w:r/>
            <w:r>
              <w:rPr>
                <w:b w:val="0"/>
                <w:sz w:val="18"/>
              </w:rPr>
              <w:t>Fastest cadence the adapter loops at.</w:t>
            </w:r>
          </w:p>
        </w:tc>
        <w:tc>
          <w:tcPr>
            <w:tcW w:type="dxa" w:w="5040"/>
          </w:tcPr>
          <w:p>
            <w:r/>
            <w:r>
              <w:rPr>
                <w:b w:val="0"/>
                <w:sz w:val="18"/>
              </w:rPr>
              <w:t>How often EdgeConnect reads this controller.</w:t>
            </w:r>
          </w:p>
        </w:tc>
      </w:tr>
      <w:tr>
        <w:tc>
          <w:tcPr>
            <w:tcW w:type="dxa" w:w="4320"/>
          </w:tcPr>
          <w:p>
            <w:r/>
            <w:r>
              <w:rPr>
                <w:b w:val="0"/>
                <w:sz w:val="18"/>
              </w:rPr>
              <w:t>Pick one or more sinks. Routes fan out…</w:t>
            </w:r>
          </w:p>
        </w:tc>
        <w:tc>
          <w:tcPr>
            <w:tcW w:type="dxa" w:w="5040"/>
          </w:tcPr>
          <w:p>
            <w:r/>
            <w:r>
              <w:rPr>
                <w:b w:val="0"/>
                <w:sz w:val="18"/>
              </w:rPr>
              <w:t>Pick one or more destinations. Every destination receives its own copy…</w:t>
            </w:r>
          </w:p>
        </w:tc>
      </w:tr>
    </w:tbl>
    <w:p>
      <w:pPr>
        <w:spacing w:after="80"/>
      </w:pPr>
    </w:p>
    <w:p>
      <w:r>
        <w:rPr>
          <w:b w:val="0"/>
          <w:i w:val="0"/>
        </w:rPr>
        <w:t>“Sink” is presented as “Destination” throughout the operator surface. Core types, JSON keys and REST URLs are unchanged — only what the operator reads is renamed.</w:t>
      </w:r>
    </w:p>
    <w:p>
      <w:pPr>
        <w:pStyle w:val="Heading2"/>
      </w:pPr>
      <w:r>
        <w:t>6.1 Errors that name the next step</w:t>
      </w:r>
    </w:p>
    <w:p>
      <w:r>
        <w:rPr>
          <w:b w:val="0"/>
          <w:i w:val="0"/>
        </w:rPr>
        <w:t>Six messages leaked raw internals. Each now states the system's actual state and what to do; the exception still goes to the console, just not to the operator.</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8"/>
              </w:rPr>
              <w:t>Was</w:t>
            </w:r>
          </w:p>
        </w:tc>
        <w:tc>
          <w:tcPr>
            <w:tcW w:type="dxa" w:w="5904"/>
          </w:tcPr>
          <w:p>
            <w:r/>
            <w:r>
              <w:rPr>
                <w:b/>
                <w:sz w:val="18"/>
              </w:rPr>
              <w:t>Now</w:t>
            </w:r>
          </w:p>
        </w:tc>
      </w:tr>
      <w:tr>
        <w:tc>
          <w:tcPr>
            <w:tcW w:type="dxa" w:w="3456"/>
          </w:tcPr>
          <w:p>
            <w:r/>
            <w:r>
              <w:rPr>
                <w:b w:val="0"/>
                <w:sz w:val="18"/>
              </w:rPr>
              <w:t>Apply failed: {ex.Message}</w:t>
            </w:r>
          </w:p>
        </w:tc>
        <w:tc>
          <w:tcPr>
            <w:tcW w:type="dxa" w:w="5904"/>
          </w:tcPr>
          <w:p>
            <w:r/>
            <w:r>
              <w:rPr>
                <w:b w:val="0"/>
                <w:sz w:val="18"/>
              </w:rPr>
              <w:t>Apply did not complete. The previous configuration is still live — check Config → History to confirm which version is running, then retry.</w:t>
            </w:r>
          </w:p>
        </w:tc>
      </w:tr>
      <w:tr>
        <w:tc>
          <w:tcPr>
            <w:tcW w:type="dxa" w:w="3456"/>
          </w:tcPr>
          <w:p>
            <w:r/>
            <w:r>
              <w:rPr>
                <w:b w:val="0"/>
                <w:sz w:val="18"/>
              </w:rPr>
              <w:t>Rollback failed: {ex.Message}</w:t>
            </w:r>
          </w:p>
        </w:tc>
        <w:tc>
          <w:tcPr>
            <w:tcW w:type="dxa" w:w="5904"/>
          </w:tcPr>
          <w:p>
            <w:r/>
            <w:r>
              <w:rPr>
                <w:b w:val="0"/>
                <w:sz w:val="18"/>
              </w:rPr>
              <w:t>Rollback did not complete. The configuration is unchanged — check Config → History, then retry.</w:t>
            </w:r>
          </w:p>
        </w:tc>
      </w:tr>
      <w:tr>
        <w:tc>
          <w:tcPr>
            <w:tcW w:type="dxa" w:w="3456"/>
          </w:tcPr>
          <w:p>
            <w:r/>
            <w:r>
              <w:rPr>
                <w:b w:val="0"/>
                <w:sz w:val="18"/>
              </w:rPr>
              <w:t>Valid with N warning(s) — see browser console.</w:t>
            </w:r>
          </w:p>
        </w:tc>
        <w:tc>
          <w:tcPr>
            <w:tcW w:type="dxa" w:w="5904"/>
          </w:tcPr>
          <w:p>
            <w:r/>
            <w:r>
              <w:rPr>
                <w:b w:val="0"/>
                <w:sz w:val="18"/>
              </w:rPr>
              <w:t>No blocking problems, but N warning(s). Review them before applying.</w:t>
            </w:r>
          </w:p>
        </w:tc>
      </w:tr>
      <w:tr>
        <w:tc>
          <w:tcPr>
            <w:tcW w:type="dxa" w:w="3456"/>
          </w:tcPr>
          <w:p>
            <w:r/>
            <w:r>
              <w:rPr>
                <w:b w:val="0"/>
                <w:sz w:val="18"/>
              </w:rPr>
              <w:t>Delete failed (409).</w:t>
            </w:r>
          </w:p>
        </w:tc>
        <w:tc>
          <w:tcPr>
            <w:tcW w:type="dxa" w:w="5904"/>
          </w:tcPr>
          <w:p>
            <w:r/>
            <w:r>
              <w:rPr>
                <w:b w:val="0"/>
                <w:sz w:val="18"/>
              </w:rPr>
              <w:t>Could not delete this route — it is unchanged and still running. Reload the page and try again; if it repeats, check Diagnostics.</w:t>
            </w:r>
          </w:p>
        </w:tc>
      </w:tr>
    </w:tbl>
    <w:p>
      <w:pPr>
        <w:spacing w:after="80"/>
      </w:pPr>
    </w:p>
    <w:p>
      <w:pPr>
        <w:pStyle w:val="Heading2"/>
      </w:pPr>
      <w:r>
        <w:t>6.2 Destructive actions lead with the consequence</w:t>
      </w:r>
    </w:p>
    <w:p>
      <w:pPr>
        <w:spacing w:after="120"/>
        <w:ind w:left="432"/>
      </w:pPr>
      <w:r>
        <w:rPr>
          <w:rFonts w:ascii="Consolas" w:hAnsi="Consolas"/>
          <w:color w:val="374151"/>
          <w:sz w:val="18"/>
        </w:rPr>
        <w:t>Publishing to 'x' stops immediately and anything still</w:t>
        <w:br/>
        <w:t>buffered for it is discarded.</w:t>
      </w:r>
    </w:p>
    <w:p>
      <w:r>
        <w:rPr>
          <w:b w:val="0"/>
          <w:i w:val="0"/>
        </w:rPr>
        <w:t>This replaces a bare “Delete destination 'x'?”, matching the pattern Sources already used.</w:t>
      </w:r>
    </w:p>
    <w:p>
      <w:pPr>
        <w:pStyle w:val="Heading2"/>
      </w:pPr>
      <w:r>
        <w:t>6.3 Empty and filtered states</w:t>
      </w:r>
    </w:p>
    <w:p>
      <w:r>
        <w:rPr>
          <w:b w:val="0"/>
          <w:i w:val="0"/>
        </w:rPr>
        <w:t>Sources, Destinations and Routes now all carry a NoRecordsContent panel — filtering to zero rows previously left a bare grid with no explanation and no way back. The panel names the filter term and the way out.</w:t>
      </w:r>
    </w:p>
    <w:p>
      <w:pPr>
        <w:pStyle w:val="Heading1"/>
      </w:pPr>
      <w:r>
        <w:t>7. Controls and accessibility</w:t>
      </w:r>
    </w:p>
    <w:p>
      <w:pPr>
        <w:pStyle w:val="Heading2"/>
      </w:pPr>
      <w:r>
        <w:t>7.1 Sentence case, once</w:t>
      </w:r>
    </w:p>
    <w:p>
      <w:r>
        <w:rPr>
          <w:b w:val="0"/>
          <w:i w:val="0"/>
        </w:rPr>
        <w:t>41 buttons rendered in SHOUTING CAPS beside sentence-case peers — “Retry now” next to “GENERATE BUNDLE” on the same screen. MudBlazor ships buttons uppercase, so roughly 180 call sites carried an inline override and 41 were simply missed. One rule at the root fixed every button, including the ones nobody remembered to annotate:</w:t>
      </w:r>
    </w:p>
    <w:p>
      <w:pPr>
        <w:spacing w:after="120"/>
        <w:ind w:left="432"/>
      </w:pPr>
      <w:r>
        <w:rPr>
          <w:rFonts w:ascii="Consolas" w:hAnsi="Consolas"/>
          <w:color w:val="374151"/>
          <w:sz w:val="18"/>
        </w:rPr>
        <w:t>.mud-button-root { text-transform: none; }</w:t>
      </w:r>
    </w:p>
    <w:p>
      <w:pPr>
        <w:pStyle w:val="Heading2"/>
      </w:pPr>
      <w:r>
        <w:t>7.2 Keyboard access</w:t>
      </w:r>
    </w:p>
    <w:p>
      <w:r>
        <w:rPr>
          <w:b w:val="0"/>
          <w:i w:val="0"/>
        </w:rPr>
        <w:t>Five click targets were mouse-only, including the entry point to every wizard.</w:t>
      </w:r>
    </w:p>
    <w:tbl>
      <w:tblPr>
        <w:tblStyle w:val="LightGrid-Accent1"/>
        <w:tblW w:type="auto" w:w="0"/>
        <w:jc w:val="left"/>
        <w:tblLook w:firstColumn="1" w:firstRow="1" w:lastColumn="0" w:lastRow="0" w:noHBand="0" w:noVBand="1" w:val="04A0"/>
      </w:tblPr>
      <w:tblGrid>
        <w:gridCol w:w="4320"/>
        <w:gridCol w:w="4320"/>
      </w:tblGrid>
      <w:tr>
        <w:tc>
          <w:tcPr>
            <w:tcW w:type="dxa" w:w="3456"/>
          </w:tcPr>
          <w:p>
            <w:r/>
            <w:r>
              <w:rPr>
                <w:b/>
                <w:sz w:val="18"/>
              </w:rPr>
              <w:t>Control</w:t>
            </w:r>
          </w:p>
        </w:tc>
        <w:tc>
          <w:tcPr>
            <w:tcW w:type="dxa" w:w="5904"/>
          </w:tcPr>
          <w:p>
            <w:r/>
            <w:r>
              <w:rPr>
                <w:b/>
                <w:sz w:val="18"/>
              </w:rPr>
              <w:t>Fix</w:t>
            </w:r>
          </w:p>
        </w:tc>
      </w:tr>
      <w:tr>
        <w:tc>
          <w:tcPr>
            <w:tcW w:type="dxa" w:w="3456"/>
          </w:tcPr>
          <w:p>
            <w:r/>
            <w:r>
              <w:rPr>
                <w:b w:val="0"/>
                <w:sz w:val="18"/>
              </w:rPr>
              <w:t>Source protocol picker tile</w:t>
            </w:r>
          </w:p>
        </w:tc>
        <w:tc>
          <w:tcPr>
            <w:tcW w:type="dxa" w:w="5904"/>
          </w:tcPr>
          <w:p>
            <w:r/>
            <w:r>
              <w:rPr>
                <w:b w:val="0"/>
                <w:sz w:val="18"/>
              </w:rPr>
              <w:t>role="button", tabindex, Enter/Space handler</w:t>
            </w:r>
          </w:p>
        </w:tc>
      </w:tr>
      <w:tr>
        <w:tc>
          <w:tcPr>
            <w:tcW w:type="dxa" w:w="3456"/>
          </w:tcPr>
          <w:p>
            <w:r/>
            <w:r>
              <w:rPr>
                <w:b w:val="0"/>
                <w:sz w:val="18"/>
              </w:rPr>
              <w:t>Destination protocol picker tile</w:t>
            </w:r>
          </w:p>
        </w:tc>
        <w:tc>
          <w:tcPr>
            <w:tcW w:type="dxa" w:w="5904"/>
          </w:tcPr>
          <w:p>
            <w:r/>
            <w:r>
              <w:rPr>
                <w:b w:val="0"/>
                <w:sz w:val="18"/>
              </w:rPr>
              <w:t>role="button", tabindex, Enter/Space handler</w:t>
            </w:r>
          </w:p>
        </w:tc>
      </w:tr>
      <w:tr>
        <w:tc>
          <w:tcPr>
            <w:tcW w:type="dxa" w:w="3456"/>
          </w:tcPr>
          <w:p>
            <w:r/>
            <w:r>
              <w:rPr>
                <w:b w:val="0"/>
                <w:sz w:val="18"/>
              </w:rPr>
              <w:t>Route source-selection card</w:t>
            </w:r>
          </w:p>
        </w:tc>
        <w:tc>
          <w:tcPr>
            <w:tcW w:type="dxa" w:w="5904"/>
          </w:tcPr>
          <w:p>
            <w:r/>
            <w:r>
              <w:rPr>
                <w:b w:val="0"/>
                <w:sz w:val="18"/>
              </w:rPr>
              <w:t>role="radio" + aria-checked inside a labelled radiogroup</w:t>
            </w:r>
          </w:p>
        </w:tc>
      </w:tr>
      <w:tr>
        <w:tc>
          <w:tcPr>
            <w:tcW w:type="dxa" w:w="3456"/>
          </w:tcPr>
          <w:p>
            <w:r/>
            <w:r>
              <w:rPr>
                <w:b w:val="0"/>
                <w:sz w:val="18"/>
              </w:rPr>
              <w:t>MELSEC PLC family tile</w:t>
            </w:r>
          </w:p>
        </w:tc>
        <w:tc>
          <w:tcPr>
            <w:tcW w:type="dxa" w:w="5904"/>
          </w:tcPr>
          <w:p>
            <w:r/>
            <w:r>
              <w:rPr>
                <w:b w:val="0"/>
                <w:sz w:val="18"/>
              </w:rPr>
              <w:t>role="radio" + aria-checked inside a labelled radiogroup</w:t>
            </w:r>
          </w:p>
        </w:tc>
      </w:tr>
      <w:tr>
        <w:tc>
          <w:tcPr>
            <w:tcW w:type="dxa" w:w="3456"/>
          </w:tcPr>
          <w:p>
            <w:r/>
            <w:r>
              <w:rPr>
                <w:b w:val="0"/>
                <w:sz w:val="18"/>
              </w:rPr>
              <w:t>Protocol tile focus</w:t>
            </w:r>
          </w:p>
        </w:tc>
        <w:tc>
          <w:tcPr>
            <w:tcW w:type="dxa" w:w="5904"/>
          </w:tcPr>
          <w:p>
            <w:r/>
            <w:r>
              <w:rPr>
                <w:b w:val="0"/>
                <w:sz w:val="18"/>
              </w:rPr>
              <w:t>Visible focus ring — a div with role="button" gets none from the browser</w:t>
            </w:r>
          </w:p>
        </w:tc>
      </w:tr>
    </w:tbl>
    <w:p>
      <w:pPr>
        <w:spacing w:after="80"/>
      </w:pPr>
    </w:p>
    <w:p>
      <w:r>
        <w:rPr>
          <w:b w:val="0"/>
          <w:i w:val="0"/>
        </w:rPr>
        <w:t>The last two drew a radio-button icon but had no radio semantics at all: the icon was the only thing indicating selection, and nothing announced it.</w:t>
      </w:r>
    </w:p>
    <w:p>
      <w:pPr>
        <w:pStyle w:val="Heading2"/>
      </w:pPr>
      <w:r>
        <w:t>7.3 A double-submit data bug</w:t>
      </w:r>
    </w:p>
    <w:p>
      <w:r>
        <w:rPr>
          <w:b w:val="0"/>
          <w:i w:val="0"/>
        </w:rPr>
        <w:t>TagBrowseTreeView's “Add selected” and “Auto-load all” awaited the parent handler with no in-flight guard, so a second click during that await added every tag a second time. Both are now gated on a busy flag, matching the pattern the wizard Save button already used.</w:t>
      </w:r>
    </w:p>
    <w:p>
      <w:pPr>
        <w:pStyle w:val="Heading2"/>
      </w:pPr>
      <w:r>
        <w:t>7.4 Protocol tiles</w:t>
      </w:r>
    </w:p>
    <w:p>
      <w:pPr>
        <w:pStyle w:val="ListBullet"/>
        <w:spacing w:after="60"/>
        <w:ind w:left="360"/>
      </w:pPr>
      <w:r>
        <w:rPr>
          <w:b w:val="0"/>
        </w:rPr>
      </w:r>
      <w:r>
        <w:rPr>
          <w:b/>
        </w:rPr>
        <w:t>Equal height.</w:t>
      </w:r>
      <w:r>
        <w:rPr>
          <w:b w:val="0"/>
        </w:rPr>
        <w:t xml:space="preserve"> Available tiles are a bare MudPaper; unavailable ones are wrapped in a MudTooltip, and that wrapper broke the height: 100% chain — disabled tiles sat visibly shorter than their neighbours in the same row.</w:t>
      </w:r>
    </w:p>
    <w:p>
      <w:pPr>
        <w:pStyle w:val="ListBullet"/>
        <w:spacing w:after="60"/>
        <w:ind w:left="360"/>
      </w:pPr>
      <w:r>
        <w:rPr>
          <w:b w:val="0"/>
        </w:rPr>
      </w:r>
      <w:r>
        <w:rPr>
          <w:b/>
        </w:rPr>
        <w:t>Legible disabled state.</w:t>
      </w:r>
      <w:r>
        <w:rPr>
          <w:b w:val="0"/>
        </w:rPr>
        <w:t xml:space="preserve"> opacity: 0.55 dimmed the text along with the chrome, pushing descriptions under contrast minimums and making a deliberate state look like a rendering fault. Replaced with a quiet surface and full-strength text.</w:t>
      </w:r>
    </w:p>
    <w:p>
      <w:pPr>
        <w:pStyle w:val="Heading1"/>
      </w:pPr>
      <w:r>
        <w:t>8. Filters</w:t>
      </w:r>
    </w:p>
    <w:p>
      <w:r>
        <w:rPr>
          <w:b w:val="0"/>
          <w:i w:val="0"/>
        </w:rPr>
        <w:t>The quick-filter box on Sources, Destinations and Routes did nothing while typing. @bind-Value on a MudTextField commits on blur, not on input — so the filter only applied once focus moved elsewhere. The two filters inside the Add-route wizard already set Immediate="true", which is why those worked and these three did not: the same control, configured two different ways in the same application.</w:t>
      </w:r>
    </w:p>
    <w:p>
      <w:pPr>
        <w:spacing w:after="120"/>
        <w:ind w:left="432"/>
      </w:pPr>
      <w:r>
        <w:rPr>
          <w:rFonts w:ascii="Consolas" w:hAnsi="Consolas"/>
          <w:color w:val="374151"/>
          <w:sz w:val="18"/>
        </w:rPr>
        <w:t>Immediate="true"  DebounceInterval="150"  Clearable="true"</w:t>
      </w:r>
    </w:p>
    <w:p>
      <w:r>
        <w:rPr>
          <w:b w:val="0"/>
          <w:i w:val="0"/>
        </w:rPr>
        <w:t>Clearable also provides the way back that the “no matches” panel already instructs the operator to take.</w:t>
      </w:r>
    </w:p>
    <w:p>
      <w:pPr>
        <w:pStyle w:val="Heading1"/>
      </w:pPr>
      <w:r>
        <w:t>9. Responsive behaviour</w:t>
      </w:r>
    </w:p>
    <w:tbl>
      <w:tblPr>
        <w:tblStyle w:val="LightGrid-Accent1"/>
        <w:tblW w:type="auto" w:w="0"/>
        <w:jc w:val="left"/>
        <w:tblLook w:firstColumn="1" w:firstRow="1" w:lastColumn="0" w:lastRow="0" w:noHBand="0" w:noVBand="1" w:val="04A0"/>
      </w:tblPr>
      <w:tblGrid>
        <w:gridCol w:w="2880"/>
        <w:gridCol w:w="2880"/>
        <w:gridCol w:w="2880"/>
      </w:tblGrid>
      <w:tr>
        <w:tc>
          <w:tcPr>
            <w:tcW w:type="dxa" w:w="1440"/>
          </w:tcPr>
          <w:p>
            <w:r/>
            <w:r>
              <w:rPr>
                <w:b/>
                <w:sz w:val="18"/>
              </w:rPr>
              <w:t>Class</w:t>
            </w:r>
          </w:p>
        </w:tc>
        <w:tc>
          <w:tcPr>
            <w:tcW w:type="dxa" w:w="1872"/>
          </w:tcPr>
          <w:p>
            <w:r/>
            <w:r>
              <w:rPr>
                <w:b/>
                <w:sz w:val="18"/>
              </w:rPr>
              <w:t>Range</w:t>
            </w:r>
          </w:p>
        </w:tc>
        <w:tc>
          <w:tcPr>
            <w:tcW w:type="dxa" w:w="6048"/>
          </w:tcPr>
          <w:p>
            <w:r/>
            <w:r>
              <w:rPr>
                <w:b/>
                <w:sz w:val="18"/>
              </w:rPr>
              <w:t>Treatment</w:t>
            </w:r>
          </w:p>
        </w:tc>
      </w:tr>
      <w:tr>
        <w:tc>
          <w:tcPr>
            <w:tcW w:type="dxa" w:w="1440"/>
          </w:tcPr>
          <w:p>
            <w:r/>
            <w:r>
              <w:rPr>
                <w:b w:val="0"/>
                <w:sz w:val="18"/>
              </w:rPr>
              <w:t>Mobile</w:t>
            </w:r>
          </w:p>
        </w:tc>
        <w:tc>
          <w:tcPr>
            <w:tcW w:type="dxa" w:w="1872"/>
          </w:tcPr>
          <w:p>
            <w:r/>
            <w:r>
              <w:rPr>
                <w:b w:val="0"/>
                <w:sz w:val="18"/>
              </w:rPr>
              <w:t>320 – 767 px</w:t>
            </w:r>
          </w:p>
        </w:tc>
        <w:tc>
          <w:tcPr>
            <w:tcW w:type="dxa" w:w="6048"/>
          </w:tcPr>
          <w:p>
            <w:r/>
            <w:r>
              <w:rPr>
                <w:b w:val="0"/>
                <w:sz w:val="18"/>
              </w:rPr>
              <w:t>Rail becomes a horizontal strip; brand hidden; heading band flattened; Live Stream columns stack; dialogs use the full screen</w:t>
            </w:r>
          </w:p>
        </w:tc>
      </w:tr>
      <w:tr>
        <w:tc>
          <w:tcPr>
            <w:tcW w:type="dxa" w:w="1440"/>
          </w:tcPr>
          <w:p>
            <w:r/>
            <w:r>
              <w:rPr>
                <w:b w:val="0"/>
                <w:sz w:val="18"/>
              </w:rPr>
              <w:t>Tablet</w:t>
            </w:r>
          </w:p>
        </w:tc>
        <w:tc>
          <w:tcPr>
            <w:tcW w:type="dxa" w:w="1872"/>
          </w:tcPr>
          <w:p>
            <w:r/>
            <w:r>
              <w:rPr>
                <w:b w:val="0"/>
                <w:sz w:val="18"/>
              </w:rPr>
              <w:t>768 – 1023 px</w:t>
            </w:r>
          </w:p>
        </w:tc>
        <w:tc>
          <w:tcPr>
            <w:tcW w:type="dxa" w:w="6048"/>
          </w:tcPr>
          <w:p>
            <w:r/>
            <w:r>
              <w:rPr>
                <w:b w:val="0"/>
                <w:sz w:val="18"/>
              </w:rPr>
              <w:t>Reduced gutters; grids reflow to two columns</w:t>
            </w:r>
          </w:p>
        </w:tc>
      </w:tr>
      <w:tr>
        <w:tc>
          <w:tcPr>
            <w:tcW w:type="dxa" w:w="1440"/>
          </w:tcPr>
          <w:p>
            <w:r/>
            <w:r>
              <w:rPr>
                <w:b w:val="0"/>
                <w:sz w:val="18"/>
              </w:rPr>
              <w:t>Laptop</w:t>
            </w:r>
          </w:p>
        </w:tc>
        <w:tc>
          <w:tcPr>
            <w:tcW w:type="dxa" w:w="1872"/>
          </w:tcPr>
          <w:p>
            <w:r/>
            <w:r>
              <w:rPr>
                <w:b w:val="0"/>
                <w:sz w:val="18"/>
              </w:rPr>
              <w:t>1024 – 1439 px</w:t>
            </w:r>
          </w:p>
        </w:tc>
        <w:tc>
          <w:tcPr>
            <w:tcW w:type="dxa" w:w="6048"/>
          </w:tcPr>
          <w:p>
            <w:r/>
            <w:r>
              <w:rPr>
                <w:b w:val="0"/>
                <w:sz w:val="18"/>
              </w:rPr>
              <w:t>Full rail; standard gutters</w:t>
            </w:r>
          </w:p>
        </w:tc>
      </w:tr>
      <w:tr>
        <w:tc>
          <w:tcPr>
            <w:tcW w:type="dxa" w:w="1440"/>
          </w:tcPr>
          <w:p>
            <w:r/>
            <w:r>
              <w:rPr>
                <w:b w:val="0"/>
                <w:sz w:val="18"/>
              </w:rPr>
              <w:t>Desktop</w:t>
            </w:r>
          </w:p>
        </w:tc>
        <w:tc>
          <w:tcPr>
            <w:tcW w:type="dxa" w:w="1872"/>
          </w:tcPr>
          <w:p>
            <w:r/>
            <w:r>
              <w:rPr>
                <w:b w:val="0"/>
                <w:sz w:val="18"/>
              </w:rPr>
              <w:t>1440 – 1919 px</w:t>
            </w:r>
          </w:p>
        </w:tc>
        <w:tc>
          <w:tcPr>
            <w:tcW w:type="dxa" w:w="6048"/>
          </w:tcPr>
          <w:p>
            <w:r/>
            <w:r>
              <w:rPr>
                <w:b w:val="0"/>
                <w:sz w:val="18"/>
              </w:rPr>
              <w:t>Baseline layout</w:t>
            </w:r>
          </w:p>
        </w:tc>
      </w:tr>
      <w:tr>
        <w:tc>
          <w:tcPr>
            <w:tcW w:type="dxa" w:w="1440"/>
          </w:tcPr>
          <w:p>
            <w:r/>
            <w:r>
              <w:rPr>
                <w:b w:val="0"/>
                <w:sz w:val="18"/>
              </w:rPr>
              <w:t>4K</w:t>
            </w:r>
          </w:p>
        </w:tc>
        <w:tc>
          <w:tcPr>
            <w:tcW w:type="dxa" w:w="1872"/>
          </w:tcPr>
          <w:p>
            <w:r/>
            <w:r>
              <w:rPr>
                <w:b w:val="0"/>
                <w:sz w:val="18"/>
              </w:rPr>
              <w:t>1920 px +</w:t>
            </w:r>
          </w:p>
        </w:tc>
        <w:tc>
          <w:tcPr>
            <w:tcW w:type="dxa" w:w="6048"/>
          </w:tcPr>
          <w:p>
            <w:r/>
            <w:r>
              <w:rPr>
                <w:b w:val="0"/>
                <w:sz w:val="18"/>
              </w:rPr>
              <w:t>Content measure capped and centred so lines stay readable</w:t>
            </w:r>
          </w:p>
        </w:tc>
      </w:tr>
    </w:tbl>
    <w:p>
      <w:pPr>
        <w:spacing w:after="80"/>
      </w:pPr>
    </w:p>
    <w:p>
      <w:r>
        <w:rPr>
          <w:b w:val="0"/>
          <w:i w:val="0"/>
        </w:rPr>
        <w:t>Gutters are driven from a single --page-gutter variable, so the sticky heading band — which cancels that gutter with a negative margin — follows automatically at every breakpoint. No horizontal page scroll at any width; wide elements scroll inside their own container.</w:t>
      </w:r>
    </w:p>
    <w:p>
      <w:pPr>
        <w:pStyle w:val="Heading1"/>
      </w:pPr>
      <w:r>
        <w:t>10. Shared code introduced</w:t>
      </w:r>
    </w:p>
    <w:p>
      <w:pPr>
        <w:spacing w:after="80"/>
      </w:pPr>
      <w:r>
        <w:rPr>
          <w:b/>
          <w:i w:val="0"/>
        </w:rPr>
        <w:t>Components/Shared/OperatorFormat.cs</w:t>
      </w:r>
    </w:p>
    <w:p>
      <w:r>
        <w:rPr>
          <w:b w:val="0"/>
          <w:i w:val="0"/>
        </w:rPr>
        <w:t>A central formatting helper so the same value never renders two ways on two pages. Deliberately a .cs file rather than .razor, because the Razor parser misreads “&lt;” in switch expressions as markup.</w:t>
      </w:r>
    </w:p>
    <w:tbl>
      <w:tblPr>
        <w:tblStyle w:val="LightGrid-Accent1"/>
        <w:tblW w:type="auto" w:w="0"/>
        <w:jc w:val="left"/>
        <w:tblLook w:firstColumn="1" w:firstRow="1" w:lastColumn="0" w:lastRow="0" w:noHBand="0" w:noVBand="1" w:val="04A0"/>
      </w:tblPr>
      <w:tblGrid>
        <w:gridCol w:w="4320"/>
        <w:gridCol w:w="4320"/>
      </w:tblGrid>
      <w:tr>
        <w:tc>
          <w:tcPr>
            <w:tcW w:type="dxa" w:w="2880"/>
          </w:tcPr>
          <w:p>
            <w:r/>
            <w:r>
              <w:rPr>
                <w:b/>
                <w:sz w:val="18"/>
              </w:rPr>
              <w:t>Member</w:t>
            </w:r>
          </w:p>
        </w:tc>
        <w:tc>
          <w:tcPr>
            <w:tcW w:type="dxa" w:w="6480"/>
          </w:tcPr>
          <w:p>
            <w:r/>
            <w:r>
              <w:rPr>
                <w:b/>
                <w:sz w:val="18"/>
              </w:rPr>
              <w:t>Purpose</w:t>
            </w:r>
          </w:p>
        </w:tc>
      </w:tr>
      <w:tr>
        <w:tc>
          <w:tcPr>
            <w:tcW w:type="dxa" w:w="2880"/>
          </w:tcPr>
          <w:p>
            <w:r/>
            <w:r>
              <w:rPr>
                <w:b w:val="0"/>
                <w:sz w:val="18"/>
              </w:rPr>
              <w:t>Ago(utc)</w:t>
            </w:r>
          </w:p>
        </w:tc>
        <w:tc>
          <w:tcPr>
            <w:tcW w:type="dxa" w:w="6480"/>
          </w:tcPr>
          <w:p>
            <w:r/>
            <w:r>
              <w:rPr>
                <w:b w:val="0"/>
                <w:sz w:val="18"/>
              </w:rPr>
              <w:t>“2 min ago” / “never”</w:t>
            </w:r>
          </w:p>
        </w:tc>
      </w:tr>
      <w:tr>
        <w:tc>
          <w:tcPr>
            <w:tcW w:type="dxa" w:w="2880"/>
          </w:tcPr>
          <w:p>
            <w:r/>
            <w:r>
              <w:rPr>
                <w:b w:val="0"/>
                <w:sz w:val="18"/>
              </w:rPr>
              <w:t>Absolute(utc)</w:t>
            </w:r>
          </w:p>
        </w:tc>
        <w:tc>
          <w:tcPr>
            <w:tcW w:type="dxa" w:w="6480"/>
          </w:tcPr>
          <w:p>
            <w:r/>
            <w:r>
              <w:rPr>
                <w:b w:val="0"/>
                <w:sz w:val="18"/>
              </w:rPr>
              <w:t>Local time, never a raw ISO timestamp</w:t>
            </w:r>
          </w:p>
        </w:tc>
      </w:tr>
      <w:tr>
        <w:tc>
          <w:tcPr>
            <w:tcW w:type="dxa" w:w="2880"/>
          </w:tcPr>
          <w:p>
            <w:r/>
            <w:r>
              <w:rPr>
                <w:b w:val="0"/>
                <w:sz w:val="18"/>
              </w:rPr>
              <w:t>IsStale(utc, window)</w:t>
            </w:r>
          </w:p>
        </w:tc>
        <w:tc>
          <w:tcPr>
            <w:tcW w:type="dxa" w:w="6480"/>
          </w:tcPr>
          <w:p>
            <w:r/>
            <w:r>
              <w:rPr>
                <w:b w:val="0"/>
                <w:sz w:val="18"/>
              </w:rPr>
              <w:t>Freshness against a 5-minute default window</w:t>
            </w:r>
          </w:p>
        </w:tc>
      </w:tr>
      <w:tr>
        <w:tc>
          <w:tcPr>
            <w:tcW w:type="dxa" w:w="2880"/>
          </w:tcPr>
          <w:p>
            <w:r/>
            <w:r>
              <w:rPr>
                <w:b w:val="0"/>
                <w:sz w:val="18"/>
              </w:rPr>
              <w:t>Count(value)</w:t>
            </w:r>
          </w:p>
        </w:tc>
        <w:tc>
          <w:tcPr>
            <w:tcW w:type="dxa" w:w="6480"/>
          </w:tcPr>
          <w:p>
            <w:r/>
            <w:r>
              <w:rPr>
                <w:b w:val="0"/>
                <w:sz w:val="18"/>
              </w:rPr>
              <w:t>Thousands separators</w:t>
            </w:r>
          </w:p>
        </w:tc>
      </w:tr>
      <w:tr>
        <w:tc>
          <w:tcPr>
            <w:tcW w:type="dxa" w:w="2880"/>
          </w:tcPr>
          <w:p>
            <w:r/>
            <w:r>
              <w:rPr>
                <w:b w:val="0"/>
                <w:sz w:val="18"/>
              </w:rPr>
              <w:t>Bytes(value)</w:t>
            </w:r>
          </w:p>
        </w:tc>
        <w:tc>
          <w:tcPr>
            <w:tcW w:type="dxa" w:w="6480"/>
          </w:tcPr>
          <w:p>
            <w:r/>
            <w:r>
              <w:rPr>
                <w:b w:val="0"/>
                <w:sz w:val="18"/>
              </w:rPr>
              <w:t>“1.2 MB”; 0 renders as “0 B”, not a dash</w:t>
            </w:r>
          </w:p>
        </w:tc>
      </w:tr>
      <w:tr>
        <w:tc>
          <w:tcPr>
            <w:tcW w:type="dxa" w:w="2880"/>
          </w:tcPr>
          <w:p>
            <w:r/>
            <w:r>
              <w:rPr>
                <w:b w:val="0"/>
                <w:sz w:val="18"/>
              </w:rPr>
              <w:t>BufferModeLabel(mode)</w:t>
            </w:r>
          </w:p>
        </w:tc>
        <w:tc>
          <w:tcPr>
            <w:tcW w:type="dxa" w:w="6480"/>
          </w:tcPr>
          <w:p>
            <w:r/>
            <w:r>
              <w:rPr>
                <w:b w:val="0"/>
                <w:sz w:val="18"/>
              </w:rPr>
              <w:t>Config enum → what it means for the operator's data</w:t>
            </w:r>
          </w:p>
        </w:tc>
      </w:tr>
      <w:tr>
        <w:tc>
          <w:tcPr>
            <w:tcW w:type="dxa" w:w="2880"/>
          </w:tcPr>
          <w:p>
            <w:r/>
            <w:r>
              <w:rPr>
                <w:b w:val="0"/>
                <w:sz w:val="18"/>
              </w:rPr>
              <w:t>SinkKindLabel(kind)</w:t>
            </w:r>
          </w:p>
        </w:tc>
        <w:tc>
          <w:tcPr>
            <w:tcW w:type="dxa" w:w="6480"/>
          </w:tcPr>
          <w:p>
            <w:r/>
            <w:r>
              <w:rPr>
                <w:b w:val="0"/>
                <w:sz w:val="18"/>
              </w:rPr>
              <w:t>“opcua-server” → “OPC UA Server”</w:t>
            </w:r>
          </w:p>
        </w:tc>
      </w:tr>
    </w:tbl>
    <w:p>
      <w:pPr>
        <w:spacing w:after="80"/>
      </w:pPr>
    </w:p>
    <w:p>
      <w:r>
        <w:rPr>
          <w:b w:val="0"/>
          <w:i w:val="0"/>
        </w:rPr>
        <w:t>SinkKindLabel was duplicated in two pages and about to be written a third time; it was moved here so the list page and the detail page cannot drift apart.</w:t>
      </w:r>
    </w:p>
    <w:p>
      <w:pPr>
        <w:pStyle w:val="Heading1"/>
      </w:pPr>
      <w:r>
        <w:t>11. Correctness fixes beyond presentation</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tcPr>
          <w:p>
            <w:r/>
            <w:r>
              <w:rPr>
                <w:b/>
                <w:sz w:val="18"/>
              </w:rPr>
              <w:t>Location</w:t>
            </w:r>
          </w:p>
        </w:tc>
        <w:tc>
          <w:tcPr>
            <w:tcW w:type="dxa" w:w="3600"/>
          </w:tcPr>
          <w:p>
            <w:r/>
            <w:r>
              <w:rPr>
                <w:b/>
                <w:sz w:val="18"/>
              </w:rPr>
              <w:t>Defect</w:t>
            </w:r>
          </w:p>
        </w:tc>
        <w:tc>
          <w:tcPr>
            <w:tcW w:type="dxa" w:w="3600"/>
          </w:tcPr>
          <w:p>
            <w:r/>
            <w:r>
              <w:rPr>
                <w:b/>
                <w:sz w:val="18"/>
              </w:rPr>
              <w:t>Fix</w:t>
            </w:r>
          </w:p>
        </w:tc>
      </w:tr>
      <w:tr>
        <w:tc>
          <w:tcPr>
            <w:tcW w:type="dxa" w:w="2160"/>
          </w:tcPr>
          <w:p>
            <w:r/>
            <w:r>
              <w:rPr>
                <w:b w:val="0"/>
                <w:sz w:val="18"/>
              </w:rPr>
              <w:t>RouteDetail.razor</w:t>
            </w:r>
          </w:p>
        </w:tc>
        <w:tc>
          <w:tcPr>
            <w:tcW w:type="dxa" w:w="3600"/>
          </w:tcPr>
          <w:p>
            <w:r/>
            <w:r>
              <w:rPr>
                <w:b w:val="0"/>
                <w:sz w:val="18"/>
              </w:rPr>
              <w:t>Buffer percentage computed against a hard-coded assumed capacity of 10,000</w:t>
            </w:r>
          </w:p>
        </w:tc>
        <w:tc>
          <w:tcPr>
            <w:tcW w:type="dxa" w:w="3600"/>
          </w:tcPr>
          <w:p>
            <w:r/>
            <w:r>
              <w:rPr>
                <w:b w:val="0"/>
                <w:sz w:val="18"/>
              </w:rPr>
              <w:t>Replaced with delivered percentage from real totals (drained / enqueued)</w:t>
            </w:r>
          </w:p>
        </w:tc>
      </w:tr>
      <w:tr>
        <w:tc>
          <w:tcPr>
            <w:tcW w:type="dxa" w:w="2160"/>
          </w:tcPr>
          <w:p>
            <w:r/>
            <w:r>
              <w:rPr>
                <w:b w:val="0"/>
                <w:sz w:val="18"/>
              </w:rPr>
              <w:t>RouteCard.razor</w:t>
            </w:r>
          </w:p>
        </w:tc>
        <w:tc>
          <w:tcPr>
            <w:tcW w:type="dxa" w:w="3600"/>
          </w:tcPr>
          <w:p>
            <w:r/>
            <w:r>
              <w:rPr>
                <w:b w:val="0"/>
                <w:sz w:val="18"/>
              </w:rPr>
              <w:t>Stale and live errors presented identically</w:t>
            </w:r>
          </w:p>
        </w:tc>
        <w:tc>
          <w:tcPr>
            <w:tcW w:type="dxa" w:w="3600"/>
          </w:tcPr>
          <w:p>
            <w:r/>
            <w:r>
              <w:rPr>
                <w:b w:val="0"/>
                <w:sz w:val="18"/>
              </w:rPr>
              <w:t>Verdict ladder splits them; first-match-wins</w:t>
            </w:r>
          </w:p>
        </w:tc>
      </w:tr>
      <w:tr>
        <w:tc>
          <w:tcPr>
            <w:tcW w:type="dxa" w:w="2160"/>
          </w:tcPr>
          <w:p>
            <w:r/>
            <w:r>
              <w:rPr>
                <w:b w:val="0"/>
                <w:sz w:val="18"/>
              </w:rPr>
              <w:t>Sources / SourceDetail</w:t>
            </w:r>
          </w:p>
        </w:tc>
        <w:tc>
          <w:tcPr>
            <w:tcW w:type="dxa" w:w="3600"/>
          </w:tcPr>
          <w:p>
            <w:r/>
            <w:r>
              <w:rPr>
                <w:b w:val="0"/>
                <w:sz w:val="18"/>
              </w:rPr>
              <w:t>Raw adapter StateName shown in the cell</w:t>
            </w:r>
          </w:p>
        </w:tc>
        <w:tc>
          <w:tcPr>
            <w:tcW w:type="dxa" w:w="3600"/>
          </w:tcPr>
          <w:p>
            <w:r/>
            <w:r>
              <w:rPr>
                <w:b w:val="0"/>
                <w:sz w:val="18"/>
              </w:rPr>
              <w:t>Operator verdict in the cell; adapter state moved to the tooltip</w:t>
            </w:r>
          </w:p>
        </w:tc>
      </w:tr>
      <w:tr>
        <w:tc>
          <w:tcPr>
            <w:tcW w:type="dxa" w:w="2160"/>
          </w:tcPr>
          <w:p>
            <w:r/>
            <w:r>
              <w:rPr>
                <w:b w:val="0"/>
                <w:sz w:val="18"/>
              </w:rPr>
              <w:t>TagBrowseTreeView</w:t>
            </w:r>
          </w:p>
        </w:tc>
        <w:tc>
          <w:tcPr>
            <w:tcW w:type="dxa" w:w="3600"/>
          </w:tcPr>
          <w:p>
            <w:r/>
            <w:r>
              <w:rPr>
                <w:b w:val="0"/>
                <w:sz w:val="18"/>
              </w:rPr>
              <w:t>Re-entrant add duplicated every tag</w:t>
            </w:r>
          </w:p>
        </w:tc>
        <w:tc>
          <w:tcPr>
            <w:tcW w:type="dxa" w:w="3600"/>
          </w:tcPr>
          <w:p>
            <w:r/>
            <w:r>
              <w:rPr>
                <w:b w:val="0"/>
                <w:sz w:val="18"/>
              </w:rPr>
              <w:t>Busy guard on both add paths</w:t>
            </w:r>
          </w:p>
        </w:tc>
      </w:tr>
      <w:tr>
        <w:tc>
          <w:tcPr>
            <w:tcW w:type="dxa" w:w="2160"/>
          </w:tcPr>
          <w:p>
            <w:r/>
            <w:r>
              <w:rPr>
                <w:b w:val="0"/>
                <w:sz w:val="18"/>
              </w:rPr>
              <w:t>Tap.razor</w:t>
            </w:r>
          </w:p>
        </w:tc>
        <w:tc>
          <w:tcPr>
            <w:tcW w:type="dxa" w:w="3600"/>
          </w:tcPr>
          <w:p>
            <w:r/>
            <w:r>
              <w:rPr>
                <w:b w:val="0"/>
                <w:sz w:val="18"/>
              </w:rPr>
              <w:t>Tag text overlapped the timestamp column</w:t>
            </w:r>
          </w:p>
        </w:tc>
        <w:tc>
          <w:tcPr>
            <w:tcW w:type="dxa" w:w="3600"/>
          </w:tcPr>
          <w:p>
            <w:r/>
            <w:r>
              <w:rPr>
                <w:b w:val="0"/>
                <w:sz w:val="18"/>
              </w:rPr>
              <w:t>Column restructured; tag line truncates</w:t>
            </w:r>
          </w:p>
        </w:tc>
      </w:tr>
    </w:tbl>
    <w:p>
      <w:pPr>
        <w:spacing w:after="80"/>
      </w:pPr>
    </w:p>
    <w:p>
      <w:pPr>
        <w:pStyle w:val="Heading1"/>
      </w:pPr>
      <w:r>
        <w:t>12. Guided setup — Connect a device</w:t>
      </w:r>
    </w:p>
    <w:p>
      <w:r>
        <w:rPr>
          <w:b w:val="0"/>
          <w:i w:val="0"/>
        </w:rPr>
        <w:t>The meta-wizard ran both protocol pickers back to back, then both configuration screens: source protocol → destination protocol → configure source → configure destination. That asked the operator to commit to a destination before they had finished describing the device in front of them, and stacked two long forms at the end of the flow.</w:t>
      </w:r>
    </w:p>
    <w:p>
      <w:pPr>
        <w:spacing w:after="80"/>
      </w:pPr>
      <w:r>
        <w:rPr>
          <w:b/>
          <w:i w:val="0"/>
        </w:rPr>
        <w:t>Each half is now finished before the next begins:</w:t>
      </w:r>
    </w:p>
    <w:tbl>
      <w:tblPr>
        <w:tblStyle w:val="LightGrid-Accent1"/>
        <w:tblW w:type="auto" w:w="0"/>
        <w:jc w:val="left"/>
        <w:tblLook w:firstColumn="1" w:firstRow="1" w:lastColumn="0" w:lastRow="0" w:noHBand="0" w:noVBand="1" w:val="04A0"/>
      </w:tblPr>
      <w:tblGrid>
        <w:gridCol w:w="2880"/>
        <w:gridCol w:w="2880"/>
        <w:gridCol w:w="2880"/>
      </w:tblGrid>
      <w:tr>
        <w:tc>
          <w:tcPr>
            <w:tcW w:type="dxa" w:w="720"/>
          </w:tcPr>
          <w:p>
            <w:r/>
            <w:r>
              <w:rPr>
                <w:b/>
                <w:sz w:val="18"/>
              </w:rPr>
              <w:t>Step</w:t>
            </w:r>
          </w:p>
        </w:tc>
        <w:tc>
          <w:tcPr>
            <w:tcW w:type="dxa" w:w="4320"/>
          </w:tcPr>
          <w:p>
            <w:r/>
            <w:r>
              <w:rPr>
                <w:b/>
                <w:sz w:val="18"/>
              </w:rPr>
              <w:t>Screen</w:t>
            </w:r>
          </w:p>
        </w:tc>
        <w:tc>
          <w:tcPr>
            <w:tcW w:type="dxa" w:w="3744"/>
          </w:tcPr>
          <w:p>
            <w:r/>
            <w:r>
              <w:rPr>
                <w:b/>
                <w:sz w:val="18"/>
              </w:rPr>
              <w:t>How the operator advances</w:t>
            </w:r>
          </w:p>
        </w:tc>
      </w:tr>
      <w:tr>
        <w:tc>
          <w:tcPr>
            <w:tcW w:type="dxa" w:w="720"/>
          </w:tcPr>
          <w:p>
            <w:r/>
            <w:r>
              <w:rPr>
                <w:b w:val="0"/>
                <w:sz w:val="18"/>
              </w:rPr>
              <w:t>1</w:t>
            </w:r>
          </w:p>
        </w:tc>
        <w:tc>
          <w:tcPr>
            <w:tcW w:type="dxa" w:w="4320"/>
          </w:tcPr>
          <w:p>
            <w:r/>
            <w:r>
              <w:rPr>
                <w:b w:val="0"/>
                <w:sz w:val="18"/>
              </w:rPr>
              <w:t>Source — protocol tiles</w:t>
            </w:r>
          </w:p>
        </w:tc>
        <w:tc>
          <w:tcPr>
            <w:tcW w:type="dxa" w:w="3744"/>
          </w:tcPr>
          <w:p>
            <w:r/>
            <w:r>
              <w:rPr>
                <w:b w:val="0"/>
                <w:sz w:val="18"/>
              </w:rPr>
              <w:t>Clicking a tile auto-advances</w:t>
            </w:r>
          </w:p>
        </w:tc>
      </w:tr>
      <w:tr>
        <w:tc>
          <w:tcPr>
            <w:tcW w:type="dxa" w:w="720"/>
          </w:tcPr>
          <w:p>
            <w:r/>
            <w:r>
              <w:rPr>
                <w:b w:val="0"/>
                <w:sz w:val="18"/>
              </w:rPr>
              <w:t>2</w:t>
            </w:r>
          </w:p>
        </w:tc>
        <w:tc>
          <w:tcPr>
            <w:tcW w:type="dxa" w:w="4320"/>
          </w:tcPr>
          <w:p>
            <w:r/>
            <w:r>
              <w:rPr>
                <w:b w:val="0"/>
                <w:sz w:val="18"/>
              </w:rPr>
              <w:t>Configure source — that protocol's own page</w:t>
            </w:r>
          </w:p>
        </w:tc>
        <w:tc>
          <w:tcPr>
            <w:tcW w:type="dxa" w:w="3744"/>
          </w:tcPr>
          <w:p>
            <w:r/>
            <w:r>
              <w:rPr>
                <w:b w:val="0"/>
                <w:sz w:val="18"/>
              </w:rPr>
              <w:t>Fill in, then Next</w:t>
            </w:r>
          </w:p>
        </w:tc>
      </w:tr>
      <w:tr>
        <w:tc>
          <w:tcPr>
            <w:tcW w:type="dxa" w:w="720"/>
          </w:tcPr>
          <w:p>
            <w:r/>
            <w:r>
              <w:rPr>
                <w:b w:val="0"/>
                <w:sz w:val="18"/>
              </w:rPr>
              <w:t>3</w:t>
            </w:r>
          </w:p>
        </w:tc>
        <w:tc>
          <w:tcPr>
            <w:tcW w:type="dxa" w:w="4320"/>
          </w:tcPr>
          <w:p>
            <w:r/>
            <w:r>
              <w:rPr>
                <w:b w:val="0"/>
                <w:sz w:val="18"/>
              </w:rPr>
              <w:t>Destination — protocol tiles</w:t>
            </w:r>
          </w:p>
        </w:tc>
        <w:tc>
          <w:tcPr>
            <w:tcW w:type="dxa" w:w="3744"/>
          </w:tcPr>
          <w:p>
            <w:r/>
            <w:r>
              <w:rPr>
                <w:b w:val="0"/>
                <w:sz w:val="18"/>
              </w:rPr>
              <w:t>Clicking a tile auto-advances</w:t>
            </w:r>
          </w:p>
        </w:tc>
      </w:tr>
      <w:tr>
        <w:tc>
          <w:tcPr>
            <w:tcW w:type="dxa" w:w="720"/>
          </w:tcPr>
          <w:p>
            <w:r/>
            <w:r>
              <w:rPr>
                <w:b w:val="0"/>
                <w:sz w:val="18"/>
              </w:rPr>
              <w:t>4</w:t>
            </w:r>
          </w:p>
        </w:tc>
        <w:tc>
          <w:tcPr>
            <w:tcW w:type="dxa" w:w="4320"/>
          </w:tcPr>
          <w:p>
            <w:r/>
            <w:r>
              <w:rPr>
                <w:b w:val="0"/>
                <w:sz w:val="18"/>
              </w:rPr>
              <w:t>Configure destination — that protocol's page</w:t>
            </w:r>
          </w:p>
        </w:tc>
        <w:tc>
          <w:tcPr>
            <w:tcW w:type="dxa" w:w="3744"/>
          </w:tcPr>
          <w:p>
            <w:r/>
            <w:r>
              <w:rPr>
                <w:b w:val="0"/>
                <w:sz w:val="18"/>
              </w:rPr>
              <w:t>Fill in, then Next</w:t>
            </w:r>
          </w:p>
        </w:tc>
      </w:tr>
      <w:tr>
        <w:tc>
          <w:tcPr>
            <w:tcW w:type="dxa" w:w="720"/>
          </w:tcPr>
          <w:p>
            <w:r/>
            <w:r>
              <w:rPr>
                <w:b w:val="0"/>
                <w:sz w:val="18"/>
              </w:rPr>
              <w:t>5</w:t>
            </w:r>
          </w:p>
        </w:tc>
        <w:tc>
          <w:tcPr>
            <w:tcW w:type="dxa" w:w="4320"/>
          </w:tcPr>
          <w:p>
            <w:r/>
            <w:r>
              <w:rPr>
                <w:b w:val="0"/>
                <w:sz w:val="18"/>
              </w:rPr>
              <w:t>Route — pre-populated from both</w:t>
            </w:r>
          </w:p>
        </w:tc>
        <w:tc>
          <w:tcPr>
            <w:tcW w:type="dxa" w:w="3744"/>
          </w:tcPr>
          <w:p>
            <w:r/>
            <w:r>
              <w:rPr>
                <w:b w:val="0"/>
                <w:sz w:val="18"/>
              </w:rPr>
              <w:t>Next</w:t>
            </w:r>
          </w:p>
        </w:tc>
      </w:tr>
      <w:tr>
        <w:tc>
          <w:tcPr>
            <w:tcW w:type="dxa" w:w="720"/>
          </w:tcPr>
          <w:p>
            <w:r/>
            <w:r>
              <w:rPr>
                <w:b w:val="0"/>
                <w:sz w:val="18"/>
              </w:rPr>
              <w:t>6</w:t>
            </w:r>
          </w:p>
        </w:tc>
        <w:tc>
          <w:tcPr>
            <w:tcW w:type="dxa" w:w="4320"/>
          </w:tcPr>
          <w:p>
            <w:r/>
            <w:r>
              <w:rPr>
                <w:b w:val="0"/>
                <w:sz w:val="18"/>
              </w:rPr>
              <w:t>Connect — review, then apply</w:t>
            </w:r>
          </w:p>
        </w:tc>
        <w:tc>
          <w:tcPr>
            <w:tcW w:type="dxa" w:w="3744"/>
          </w:tcPr>
          <w:p>
            <w:r/>
            <w:r>
              <w:rPr>
                <w:b w:val="0"/>
                <w:sz w:val="18"/>
              </w:rPr>
              <w:t>Its own Connect button</w:t>
            </w:r>
          </w:p>
        </w:tc>
      </w:tr>
    </w:tbl>
    <w:p>
      <w:pPr>
        <w:spacing w:after="80"/>
      </w:pPr>
    </w:p>
    <w:p>
      <w:r>
        <w:rPr>
          <w:b w:val="0"/>
          <w:i w:val="0"/>
        </w:rPr>
        <w:t>Three things moved with the reorder, not just the markup: the per-step CanGoNext gating, the back-confirm that warns a protocol change will discard the configuration just entered, and the route step's guard message — which named step numbers that had shifted, so it now names the things instead.</w:t>
      </w:r>
    </w:p>
    <w:p>
      <w:r>
        <w:rPr>
          <w:b w:val="0"/>
          <w:i/>
          <w:color w:val="6B7280"/>
        </w:rPr>
        <w:t>The flow still ends in a single atomic apply, so nothing reaches the gateway until Connect (ADR-0016).</w:t>
      </w:r>
    </w:p>
    <w:p>
      <w:pPr>
        <w:pStyle w:val="Heading1"/>
      </w:pPr>
      <w:r>
        <w:t>13. Wizard fields — ten wizards made consistent</w:t>
      </w:r>
    </w:p>
    <w:p>
      <w:r>
        <w:rPr>
          <w:b w:val="0"/>
          <w:i w:val="0"/>
        </w:rPr>
        <w:t>Grid widths, input variants and margins were already uniform across the ten source and destination wizards. The problem was that the same field had different names, and several labels carried internal vocabulary.</w:t>
      </w:r>
    </w:p>
    <w:tbl>
      <w:tblPr>
        <w:tblStyle w:val="LightGrid-Accent1"/>
        <w:tblW w:type="auto" w:w="0"/>
        <w:jc w:val="left"/>
        <w:tblLook w:firstColumn="1" w:firstRow="1" w:lastColumn="0" w:lastRow="0" w:noHBand="0" w:noVBand="1" w:val="04A0"/>
      </w:tblPr>
      <w:tblGrid>
        <w:gridCol w:w="4320"/>
        <w:gridCol w:w="4320"/>
      </w:tblGrid>
      <w:tr>
        <w:tc>
          <w:tcPr>
            <w:tcW w:type="dxa" w:w="4464"/>
          </w:tcPr>
          <w:p>
            <w:r/>
            <w:r>
              <w:rPr>
                <w:b/>
                <w:sz w:val="18"/>
              </w:rPr>
              <w:t>Was</w:t>
            </w:r>
          </w:p>
        </w:tc>
        <w:tc>
          <w:tcPr>
            <w:tcW w:type="dxa" w:w="4896"/>
          </w:tcPr>
          <w:p>
            <w:r/>
            <w:r>
              <w:rPr>
                <w:b/>
                <w:sz w:val="18"/>
              </w:rPr>
              <w:t>Now</w:t>
            </w:r>
          </w:p>
        </w:tc>
      </w:tr>
      <w:tr>
        <w:tc>
          <w:tcPr>
            <w:tcW w:type="dxa" w:w="4464"/>
          </w:tcPr>
          <w:p>
            <w:r/>
            <w:r>
              <w:rPr>
                <w:b w:val="0"/>
                <w:sz w:val="18"/>
              </w:rPr>
              <w:t>“Instance id” in 5 wizards, “Source id” in 3</w:t>
            </w:r>
          </w:p>
        </w:tc>
        <w:tc>
          <w:tcPr>
            <w:tcW w:type="dxa" w:w="4896"/>
          </w:tcPr>
          <w:p>
            <w:r/>
            <w:r>
              <w:rPr>
                <w:b w:val="0"/>
                <w:sz w:val="18"/>
              </w:rPr>
              <w:t>Source id — or Destination id on the two sink wizards</w:t>
            </w:r>
          </w:p>
        </w:tc>
      </w:tr>
      <w:tr>
        <w:tc>
          <w:tcPr>
            <w:tcW w:type="dxa" w:w="4464"/>
          </w:tcPr>
          <w:p>
            <w:r/>
            <w:r>
              <w:rPr>
                <w:b w:val="0"/>
                <w:sz w:val="18"/>
              </w:rPr>
              <w:t>“Instance id (immutable in Edit)”</w:t>
            </w:r>
          </w:p>
        </w:tc>
        <w:tc>
          <w:tcPr>
            <w:tcW w:type="dxa" w:w="4896"/>
          </w:tcPr>
          <w:p>
            <w:r/>
            <w:r>
              <w:rPr>
                <w:b w:val="0"/>
                <w:sz w:val="18"/>
              </w:rPr>
              <w:t>“Source id (cannot be changed)”</w:t>
            </w:r>
          </w:p>
        </w:tc>
      </w:tr>
      <w:tr>
        <w:tc>
          <w:tcPr>
            <w:tcW w:type="dxa" w:w="4464"/>
          </w:tcPr>
          <w:p>
            <w:r/>
            <w:r>
              <w:rPr>
                <w:b w:val="0"/>
                <w:sz w:val="18"/>
              </w:rPr>
              <w:t>Section 1 titled “Device identity” (5), “Source” (3), “Identity” (2)</w:t>
            </w:r>
          </w:p>
        </w:tc>
        <w:tc>
          <w:tcPr>
            <w:tcW w:type="dxa" w:w="4896"/>
          </w:tcPr>
          <w:p>
            <w:r/>
            <w:r>
              <w:rPr>
                <w:b w:val="0"/>
                <w:sz w:val="18"/>
              </w:rPr>
              <w:t>Device identity / Destination identity</w:t>
            </w:r>
          </w:p>
        </w:tc>
      </w:tr>
      <w:tr>
        <w:tc>
          <w:tcPr>
            <w:tcW w:type="dxa" w:w="4464"/>
          </w:tcPr>
          <w:p>
            <w:r/>
            <w:r>
              <w:rPr>
                <w:b w:val="0"/>
                <w:sz w:val="18"/>
              </w:rPr>
              <w:t>“Wire to a route” vs “Wire data into a route”</w:t>
            </w:r>
          </w:p>
        </w:tc>
        <w:tc>
          <w:tcPr>
            <w:tcW w:type="dxa" w:w="4896"/>
          </w:tcPr>
          <w:p>
            <w:r/>
            <w:r>
              <w:rPr>
                <w:b w:val="0"/>
                <w:sz w:val="18"/>
              </w:rPr>
              <w:t>Wire data into a route</w:t>
            </w:r>
          </w:p>
        </w:tc>
      </w:tr>
      <w:tr>
        <w:tc>
          <w:tcPr>
            <w:tcW w:type="dxa" w:w="4464"/>
          </w:tcPr>
          <w:p>
            <w:r/>
            <w:r>
              <w:rPr>
                <w:b w:val="0"/>
                <w:sz w:val="18"/>
              </w:rPr>
              <w:t>“defaults to instance id if empty”</w:t>
            </w:r>
          </w:p>
        </w:tc>
        <w:tc>
          <w:tcPr>
            <w:tcW w:type="dxa" w:w="4896"/>
          </w:tcPr>
          <w:p>
            <w:r/>
            <w:r>
              <w:rPr>
                <w:b w:val="0"/>
                <w:sz w:val="18"/>
              </w:rPr>
              <w:t>“Defaults to the source id.”</w:t>
            </w:r>
          </w:p>
        </w:tc>
      </w:tr>
      <w:tr>
        <w:tc>
          <w:tcPr>
            <w:tcW w:type="dxa" w:w="4464"/>
          </w:tcPr>
          <w:p>
            <w:r/>
            <w:r>
              <w:rPr>
                <w:b w:val="0"/>
                <w:sz w:val="18"/>
              </w:rPr>
              <w:t>“Auto-generates 'edgeconnect-{InstanceId}' if blank”</w:t>
            </w:r>
          </w:p>
        </w:tc>
        <w:tc>
          <w:tcPr>
            <w:tcW w:type="dxa" w:w="4896"/>
          </w:tcPr>
          <w:p>
            <w:r/>
            <w:r>
              <w:rPr>
                <w:b w:val="0"/>
                <w:sz w:val="18"/>
              </w:rPr>
              <w:t>Plain sentence — the raw code token was printed on screen</w:t>
            </w:r>
          </w:p>
        </w:tc>
      </w:tr>
      <w:tr>
        <w:tc>
          <w:tcPr>
            <w:tcW w:type="dxa" w:w="4464"/>
          </w:tcPr>
          <w:p>
            <w:r/>
            <w:r>
              <w:rPr>
                <w:b w:val="0"/>
                <w:sz w:val="18"/>
              </w:rPr>
              <w:t>Four wordings of the duplicate-id error, two naming “Sink”</w:t>
            </w:r>
          </w:p>
        </w:tc>
        <w:tc>
          <w:tcPr>
            <w:tcW w:type="dxa" w:w="4896"/>
          </w:tcPr>
          <w:p>
            <w:r/>
            <w:r>
              <w:rPr>
                <w:b w:val="0"/>
                <w:sz w:val="18"/>
              </w:rPr>
              <w:t>One: “A destination with the id 'x' already exists on this gateway. Pick a different destination id.”</w:t>
            </w:r>
          </w:p>
        </w:tc>
      </w:tr>
    </w:tbl>
    <w:p>
      <w:pPr>
        <w:spacing w:after="80"/>
      </w:pPr>
    </w:p>
    <w:p>
      <w:r>
        <w:rPr>
          <w:b w:val="0"/>
          <w:i w:val="0"/>
        </w:rPr>
        <w:t>Two of these only surfaced by checking the rendered pages rather than the source: “Instance id is required.” lives in the wizard MODEL classes, not the Razor files, and the Modbus no-tags warning mentioned “the route, sink, and any downstream subscribers”. Verified by fetching all twelve wizard pages and counting “instance id”, “sink” and “immutable” — zero.</w:t>
      </w:r>
    </w:p>
    <w:p>
      <w:pPr>
        <w:pStyle w:val="Heading1"/>
      </w:pPr>
      <w:r>
        <w:t>14. Route cards — fault presentation</w:t>
      </w:r>
    </w:p>
    <w:p>
      <w:r>
        <w:rPr>
          <w:b w:val="0"/>
          <w:i w:val="0"/>
        </w:rPr>
        <w:t>A failing route rendered roughly three times the height of a healthy one. It opened with a red banner AND closed with a raw adapter dump — both carrying the error code, both ending with the same instruction, one saying “open its log below” and the other “open its log above”. Two red blocks pointing at each other read as two separate faults, and on a three-route board the healthy routes were pushed off screen.</w:t>
      </w:r>
    </w:p>
    <w:p>
      <w:pPr>
        <w:spacing w:after="80"/>
      </w:pPr>
      <w:r>
        <w:rPr>
          <w:b/>
          <w:i w:val="0"/>
        </w:rPr>
        <w:t>A broken card is now the same shape as a healthy one, plus one strip at the foot.</w:t>
      </w:r>
    </w:p>
    <w:p>
      <w:pPr>
        <w:pStyle w:val="Heading2"/>
      </w:pPr>
      <w:r>
        <w:t>14.1 Errors translated, not echoed</w:t>
      </w:r>
    </w:p>
    <w:p>
      <w:r>
        <w:rPr>
          <w:b w:val="0"/>
          <w:i w:val="0"/>
        </w:rPr>
        <w:t>A PlainFault helper turns the adapter's code and message into one sentence and one action. It matches on the code FAMILY rather than exact codes — every protocol names its failures differently, but “cannot be reached” means the same action whether Modbus, FOCAS2 or OPC UA reported it. Anything unrecognised falls through to a neutral sentence rather than a guess.</w:t>
      </w:r>
    </w:p>
    <w:tbl>
      <w:tblPr>
        <w:tblStyle w:val="LightGrid-Accent1"/>
        <w:tblW w:type="auto" w:w="0"/>
        <w:jc w:val="left"/>
        <w:tblLook w:firstColumn="1" w:firstRow="1" w:lastColumn="0" w:lastRow="0" w:noHBand="0" w:noVBand="1" w:val="04A0"/>
      </w:tblPr>
      <w:tblGrid>
        <w:gridCol w:w="4320"/>
        <w:gridCol w:w="4320"/>
      </w:tblGrid>
      <w:tr>
        <w:tc>
          <w:tcPr>
            <w:tcW w:type="dxa" w:w="4752"/>
          </w:tcPr>
          <w:p>
            <w:r/>
            <w:r>
              <w:rPr>
                <w:b/>
                <w:sz w:val="18"/>
              </w:rPr>
              <w:t>The adapter said</w:t>
            </w:r>
          </w:p>
        </w:tc>
        <w:tc>
          <w:tcPr>
            <w:tcW w:type="dxa" w:w="4608"/>
          </w:tcPr>
          <w:p>
            <w:r/>
            <w:r>
              <w:rPr>
                <w:b/>
                <w:sz w:val="18"/>
              </w:rPr>
              <w:t>The card says</w:t>
            </w:r>
          </w:p>
        </w:tc>
      </w:tr>
      <w:tr>
        <w:tc>
          <w:tcPr>
            <w:tcW w:type="dxa" w:w="4752"/>
          </w:tcPr>
          <w:p>
            <w:r/>
            <w:r>
              <w:rPr>
                <w:b w:val="0"/>
                <w:sz w:val="18"/>
              </w:rPr>
              <w:t>MODBUS.CONNECT_FAILED — “Modbus device 127.0.0.1:502 is not reachable — no connection (consecutive connect failures: 1, circuit breaker: Closed)”</w:t>
            </w:r>
          </w:p>
        </w:tc>
        <w:tc>
          <w:tcPr>
            <w:tcW w:type="dxa" w:w="4608"/>
          </w:tcPr>
          <w:p>
            <w:r/>
            <w:r>
              <w:rPr>
                <w:b w:val="0"/>
                <w:sz w:val="18"/>
              </w:rPr>
              <w:t>Cannot reach this device. Check it is powered on, plugged in, and that its address has not changed.</w:t>
            </w:r>
          </w:p>
        </w:tc>
      </w:tr>
      <w:tr>
        <w:tc>
          <w:tcPr>
            <w:tcW w:type="dxa" w:w="4752"/>
          </w:tcPr>
          <w:p>
            <w:r/>
            <w:r>
              <w:rPr>
                <w:b w:val="0"/>
                <w:sz w:val="18"/>
              </w:rPr>
              <w:t>FOCAS2.COLLECT_ERROR — “Could not load the Fanuc FOCAS2 native library. Tried: Fwlib64.dll…”</w:t>
            </w:r>
          </w:p>
        </w:tc>
        <w:tc>
          <w:tcPr>
            <w:tcW w:type="dxa" w:w="4608"/>
          </w:tcPr>
          <w:p>
            <w:r/>
            <w:r>
              <w:rPr>
                <w:b w:val="0"/>
                <w:sz w:val="18"/>
              </w:rPr>
              <w:t>A driver file this protocol needs is missing on the gateway. Nothing is wrong with the machine. Send this to Elpis support.</w:t>
            </w:r>
          </w:p>
        </w:tc>
      </w:tr>
    </w:tbl>
    <w:p>
      <w:pPr>
        <w:spacing w:after="80"/>
      </w:pPr>
    </w:p>
    <w:p>
      <w:r>
        <w:rPr>
          <w:b w:val="0"/>
          <w:i w:val="0"/>
        </w:rPr>
        <w:t>That second case matters operationally: it is a gateway problem, not a plant problem, and the old message had an engineer checking cables on a machine that was fine.</w:t>
      </w:r>
    </w:p>
    <w:p>
      <w:pPr>
        <w:pStyle w:val="Heading2"/>
      </w:pPr>
      <w:r>
        <w:t>14.2 Detail one click away</w:t>
      </w:r>
    </w:p>
    <w:p>
      <w:pPr>
        <w:pStyle w:val="ListBullet"/>
        <w:spacing w:after="60"/>
        <w:ind w:left="360"/>
      </w:pPr>
      <w:r>
        <w:rPr>
          <w:b w:val="0"/>
        </w:rPr>
        <w:t>The adapter's own words sit in a native &lt;details&gt;, collapsed, showing only the code and the age. Native rather than a MudBlazor collapse deliberately — these pages poll every few seconds, and component state bound to a field would snap shut on every refresh.</w:t>
      </w:r>
    </w:p>
    <w:p>
      <w:pPr>
        <w:pStyle w:val="ListBullet"/>
        <w:spacing w:after="60"/>
        <w:ind w:left="360"/>
      </w:pPr>
      <w:r>
        <w:rPr>
          <w:b w:val="0"/>
        </w:rPr>
        <w:t>The buffer line went from two lines to one; “held on disk if a destination drops” was identical on every card, so it became a tooltip instead of noise repeated per route.</w:t>
      </w:r>
    </w:p>
    <w:p>
      <w:pPr>
        <w:pStyle w:val="ListBullet"/>
        <w:spacing w:after="60"/>
        <w:ind w:left="360"/>
      </w:pPr>
      <w:r>
        <w:rPr>
          <w:b w:val="0"/>
        </w:rPr>
        <w:t>Card padding tightened, and the log-note icon moved ahead of the state chip so all three chips line up down the card's right edge.</w:t>
      </w:r>
    </w:p>
    <w:p>
      <w:pPr>
        <w:pStyle w:val="Heading2"/>
      </w:pPr>
      <w:r>
        <w:t>14.3 A Razor bug this introduced, and its fix</w:t>
      </w:r>
    </w:p>
    <w:p>
      <w:r>
        <w:rPr>
          <w:b w:val="0"/>
          <w:i/>
          <w:color w:val="6B7280"/>
        </w:rPr>
        <w:t>Writing “delivered@if (…)” with no whitespace before the @ meant Razor never transitioned into code and printed the block verbatim on screen. It compiles cleanly — only the rendered page reveals it. Fixed, and every .razor file swept for the same pattern.</w:t>
      </w:r>
    </w:p>
    <w:p>
      <w:pPr>
        <w:pStyle w:val="Heading1"/>
      </w:pPr>
      <w:r>
        <w:t>15. Branding, icons and notifications</w:t>
      </w:r>
    </w:p>
    <w:p>
      <w:pPr>
        <w:pStyle w:val="Heading2"/>
      </w:pPr>
      <w:r>
        <w:t>15.1 The tab icon never worked</w:t>
      </w:r>
    </w:p>
    <w:p>
      <w:r>
        <w:rPr>
          <w:b w:val="0"/>
          <w:i w:val="0"/>
        </w:rPr>
        <w:t>App.razor requested favicon.svg from the site root, but the file sat in wwwroot/js/ — and it was not an SVG at all: it was the logo PNG under an .svg name. /favicon.svg returned 404 and every browser fell back to its default globe. A square favicon.png (256×256) and a multi-resolution favicon.ico (16→256) are now generated from the logo, and the sidebar serves the same image file so the two cannot drift apart.</w:t>
      </w:r>
    </w:p>
    <w:p>
      <w:pPr>
        <w:pStyle w:val="Heading2"/>
      </w:pPr>
      <w:r>
        <w:t>15.2 Two marks, opposite constraints</w:t>
      </w:r>
    </w:p>
    <w:p>
      <w:r>
        <w:rPr>
          <w:b w:val="0"/>
          <w:i w:val="0"/>
        </w:rPr>
        <w:t>The brand mark was switched several times between the ELPIS wordmark and the square mark. They need different rules, which is worth recording:</w:t>
      </w:r>
    </w:p>
    <w:tbl>
      <w:tblPr>
        <w:tblStyle w:val="LightGrid-Accent1"/>
        <w:tblW w:type="auto" w:w="0"/>
        <w:jc w:val="left"/>
        <w:tblLook w:firstColumn="1" w:firstRow="1" w:lastColumn="0" w:lastRow="0" w:noHBand="0" w:noVBand="1" w:val="04A0"/>
      </w:tblPr>
      <w:tblGrid>
        <w:gridCol w:w="2880"/>
        <w:gridCol w:w="2880"/>
        <w:gridCol w:w="2880"/>
      </w:tblGrid>
      <w:tr>
        <w:tc>
          <w:tcPr>
            <w:tcW w:type="dxa" w:w="1872"/>
          </w:tcPr>
          <w:p>
            <w:r/>
            <w:r>
              <w:rPr>
                <w:b/>
                <w:sz w:val="18"/>
              </w:rPr>
            </w:r>
          </w:p>
        </w:tc>
        <w:tc>
          <w:tcPr>
            <w:tcW w:type="dxa" w:w="3888"/>
          </w:tcPr>
          <w:p>
            <w:r/>
            <w:r>
              <w:rPr>
                <w:b/>
                <w:sz w:val="18"/>
              </w:rPr>
              <w:t>Wordmark (148×34, 4.35:1)</w:t>
            </w:r>
          </w:p>
        </w:tc>
        <w:tc>
          <w:tcPr>
            <w:tcW w:type="dxa" w:w="3600"/>
          </w:tcPr>
          <w:p>
            <w:r/>
            <w:r>
              <w:rPr>
                <w:b/>
                <w:sz w:val="18"/>
              </w:rPr>
              <w:t>Square mark (229×179, 1.28:1)</w:t>
            </w:r>
          </w:p>
        </w:tc>
      </w:tr>
      <w:tr>
        <w:tc>
          <w:tcPr>
            <w:tcW w:type="dxa" w:w="1872"/>
          </w:tcPr>
          <w:p>
            <w:r/>
            <w:r>
              <w:rPr>
                <w:b w:val="0"/>
                <w:sz w:val="18"/>
              </w:rPr>
              <w:t>Expanded rail</w:t>
            </w:r>
          </w:p>
        </w:tc>
        <w:tc>
          <w:tcPr>
            <w:tcW w:type="dxa" w:w="3888"/>
          </w:tcPr>
          <w:p>
            <w:r/>
            <w:r>
              <w:rPr>
                <w:b w:val="0"/>
                <w:sz w:val="18"/>
              </w:rPr>
              <w:t>height 20px — bounded by height, kept under its source size</w:t>
            </w:r>
          </w:p>
        </w:tc>
        <w:tc>
          <w:tcPr>
            <w:tcW w:type="dxa" w:w="3600"/>
          </w:tcPr>
          <w:p>
            <w:r/>
            <w:r>
              <w:rPr>
                <w:b w:val="0"/>
                <w:sz w:val="18"/>
              </w:rPr>
              <w:t>height 34–38px</w:t>
            </w:r>
          </w:p>
        </w:tc>
      </w:tr>
      <w:tr>
        <w:tc>
          <w:tcPr>
            <w:tcW w:type="dxa" w:w="1872"/>
          </w:tcPr>
          <w:p>
            <w:r/>
            <w:r>
              <w:rPr>
                <w:b w:val="0"/>
                <w:sz w:val="18"/>
              </w:rPr>
              <w:t>Collapsed rail (62px)</w:t>
            </w:r>
          </w:p>
        </w:tc>
        <w:tc>
          <w:tcPr>
            <w:tcW w:type="dxa" w:w="3888"/>
          </w:tcPr>
          <w:p>
            <w:r/>
            <w:r>
              <w:rPr>
                <w:b w:val="0"/>
                <w:sz w:val="18"/>
              </w:rPr>
              <w:t>MUST be width-bound or it overflows</w:t>
            </w:r>
          </w:p>
        </w:tc>
        <w:tc>
          <w:tcPr>
            <w:tcW w:type="dxa" w:w="3600"/>
          </w:tcPr>
          <w:p>
            <w:r/>
            <w:r>
              <w:rPr>
                <w:b w:val="0"/>
                <w:sz w:val="18"/>
              </w:rPr>
              <w:t>no override needed; ~44px fits</w:t>
            </w:r>
          </w:p>
        </w:tc>
      </w:tr>
    </w:tbl>
    <w:p>
      <w:pPr>
        <w:spacing w:after="80"/>
      </w:pPr>
    </w:p>
    <w:p>
      <w:pPr>
        <w:pStyle w:val="Heading2"/>
      </w:pPr>
      <w:r>
        <w:t>15.3 Notifications</w:t>
      </w:r>
    </w:p>
    <w:p>
      <w:r>
        <w:rPr>
          <w:b w:val="0"/>
          <w:i w:val="0"/>
        </w:rPr>
        <w:t>Toast position was only ever set per message, so every notification except one fell back to MudBlazor's corner default. It is now configured once at service registration as top-centre, with newest-on-top, duplicate suppression and a close icon. Top-centre rather than dead-centre deliberately: on a wide plant monitor the corner is the furthest point from where the operator is looking, but a centred overlay would cover the button they are about to press.</w:t>
      </w:r>
    </w:p>
    <w:p>
      <w:pPr>
        <w:pStyle w:val="Heading1"/>
      </w:pPr>
      <w:r>
        <w:t>16. Build, environment and operations</w:t>
      </w:r>
    </w:p>
    <w:p>
      <w:pPr>
        <w:pStyle w:val="ListBullet"/>
        <w:spacing w:after="60"/>
        <w:ind w:left="360"/>
      </w:pPr>
      <w:r>
        <w:rPr>
          <w:b w:val="0"/>
        </w:rPr>
      </w:r>
      <w:r>
        <w:rPr>
          <w:b/>
        </w:rPr>
        <w:t>SDK mismatch.</w:t>
      </w:r>
      <w:r>
        <w:rPr>
          <w:b w:val="0"/>
        </w:rPr>
        <w:t xml:space="preserve"> global.json pins 8.0.100 while only 10.0.300 is installed. Each build temporarily switched rollForward to latestMajor and restored the file immediately afterwards — the pin itself was never changed.</w:t>
      </w:r>
    </w:p>
    <w:p>
      <w:pPr>
        <w:pStyle w:val="ListBullet"/>
        <w:spacing w:after="60"/>
        <w:ind w:left="360"/>
      </w:pPr>
      <w:r>
        <w:rPr>
          <w:b w:val="0"/>
        </w:rPr>
      </w:r>
      <w:r>
        <w:rPr>
          <w:b/>
        </w:rPr>
        <w:t>Analyzer suppression</w:t>
      </w:r>
      <w:r>
        <w:rPr>
          <w:b w:val="0"/>
        </w:rPr>
        <w:t xml:space="preserve"> (TreatWarningsAsErrors / EnableNETAnalyzers) applied to verification builds only, never committed as a project change.</w:t>
      </w:r>
    </w:p>
    <w:p>
      <w:pPr>
        <w:pStyle w:val="ListBullet"/>
        <w:spacing w:after="60"/>
        <w:ind w:left="360"/>
      </w:pPr>
      <w:r>
        <w:rPr>
          <w:b w:val="0"/>
        </w:rPr>
      </w:r>
      <w:r>
        <w:rPr>
          <w:b/>
        </w:rPr>
        <w:t>Working loop:</w:t>
      </w:r>
      <w:r>
        <w:rPr>
          <w:b w:val="0"/>
        </w:rPr>
        <w:t xml:space="preserve"> stop the application → build → relaunch. The running process locks its own bin, and the stylesheet cache-buster token is computed at startup, so even CSS-only changes need a restart.</w:t>
      </w:r>
    </w:p>
    <w:p>
      <w:pPr>
        <w:pStyle w:val="ListBullet"/>
        <w:spacing w:after="60"/>
        <w:ind w:left="360"/>
      </w:pPr>
      <w:r>
        <w:rPr>
          <w:b w:val="0"/>
        </w:rPr>
      </w:r>
      <w:r>
        <w:rPr>
          <w:b/>
        </w:rPr>
        <w:t>Cache-busted stylesheet</w:t>
      </w:r>
      <w:r>
        <w:rPr>
          <w:b w:val="0"/>
        </w:rPr>
        <w:t xml:space="preserve"> added to App.razor. A stale cached stylesheet was the true cause of a reported “sidebar not appearing” — removing the app bar had made the old .mud-appbar .nav-menu selectors stop matching.</w:t>
      </w:r>
    </w:p>
    <w:p>
      <w:pPr>
        <w:pStyle w:val="ListBullet"/>
        <w:spacing w:after="60"/>
        <w:ind w:left="360"/>
      </w:pPr>
      <w:r>
        <w:rPr>
          <w:b w:val="0"/>
        </w:rPr>
      </w:r>
      <w:r>
        <w:rPr>
          <w:b/>
        </w:rPr>
        <w:t>Gateway configuration recovered twice</w:t>
      </w:r>
      <w:r>
        <w:rPr>
          <w:b w:val="0"/>
        </w:rPr>
        <w:t xml:space="preserve"> from the Recycle Bin. Each candidate's route count was checked before committing rather than taking the newest — the newest had only one route.</w:t>
      </w:r>
    </w:p>
    <w:p>
      <w:pPr>
        <w:pStyle w:val="ListBullet"/>
        <w:spacing w:after="60"/>
        <w:ind w:left="360"/>
      </w:pPr>
      <w:r>
        <w:rPr>
          <w:b w:val="0"/>
        </w:rPr>
      </w:r>
      <w:r>
        <w:rPr>
          <w:b/>
        </w:rPr>
        <w:t>A second application instance was deliberately not started.</w:t>
      </w:r>
      <w:r>
        <w:rPr>
          <w:b w:val="0"/>
        </w:rPr>
        <w:t xml:space="preserve"> Program.cs composes the full runtime at startup, which would have opened second connections to live PLCs.</w:t>
      </w:r>
    </w:p>
    <w:p>
      <w:pPr>
        <w:spacing w:after="80"/>
      </w:pPr>
      <w:r>
        <w:rPr>
          <w:b/>
          <w:i w:val="0"/>
        </w:rPr>
        <w:t>Verification performed after every change:</w:t>
      </w:r>
    </w:p>
    <w:p>
      <w:pPr>
        <w:pStyle w:val="ListBullet"/>
        <w:spacing w:after="60"/>
        <w:ind w:left="360"/>
      </w:pPr>
      <w:r>
        <w:rPr>
          <w:b w:val="0"/>
        </w:rPr>
        <w:t>Build reports 0 errors and 0 warnings</w:t>
      </w:r>
    </w:p>
    <w:p>
      <w:pPr>
        <w:pStyle w:val="ListBullet"/>
        <w:spacing w:after="60"/>
        <w:ind w:left="360"/>
      </w:pPr>
      <w:r>
        <w:rPr>
          <w:b w:val="0"/>
        </w:rPr>
        <w:t>All routes return to Running (3 / 3)</w:t>
      </w:r>
    </w:p>
    <w:p>
      <w:pPr>
        <w:pStyle w:val="ListBullet"/>
        <w:spacing w:after="60"/>
        <w:ind w:left="360"/>
      </w:pPr>
      <w:r>
        <w:rPr>
          <w:b w:val="0"/>
        </w:rPr>
        <w:t>Every page returns HTTP 200</w:t>
      </w:r>
    </w:p>
    <w:p>
      <w:pPr>
        <w:pStyle w:val="ListBullet"/>
        <w:spacing w:after="60"/>
        <w:ind w:left="360"/>
      </w:pPr>
      <w:r>
        <w:rPr>
          <w:b w:val="0"/>
        </w:rPr>
        <w:t>The specific rule or markup change is confirmed in the served output, not just in source</w:t>
      </w:r>
    </w:p>
    <w:p>
      <w:pPr>
        <w:pStyle w:val="Heading1"/>
      </w:pPr>
      <w:r>
        <w:t>17. Known limitations and outstanding items</w:t>
      </w:r>
    </w:p>
    <w:p>
      <w:r>
        <w:rPr>
          <w:b w:val="0"/>
          <w:i/>
          <w:color w:val="6B7280"/>
        </w:rPr>
        <w:t>Recorded honestly rather than omitted — these were either out of scope, blocked, or deliberately deferred.</w:t>
      </w:r>
    </w:p>
    <w:p>
      <w:pPr>
        <w:pStyle w:val="Heading2"/>
      </w:pPr>
      <w:r>
        <w:t>17.1 Requires backend work</w:t>
      </w:r>
    </w:p>
    <w:tbl>
      <w:tblPr>
        <w:tblStyle w:val="LightGrid-Accent1"/>
        <w:tblW w:type="auto" w:w="0"/>
        <w:jc w:val="left"/>
        <w:tblLook w:firstColumn="1" w:firstRow="1" w:lastColumn="0" w:lastRow="0" w:noHBand="0" w:noVBand="1" w:val="04A0"/>
      </w:tblPr>
      <w:tblGrid>
        <w:gridCol w:w="4320"/>
        <w:gridCol w:w="4320"/>
      </w:tblGrid>
      <w:tr>
        <w:tc>
          <w:tcPr>
            <w:tcW w:type="dxa" w:w="2592"/>
          </w:tcPr>
          <w:p>
            <w:r/>
            <w:r>
              <w:rPr>
                <w:b/>
                <w:sz w:val="18"/>
              </w:rPr>
              <w:t>Item</w:t>
            </w:r>
          </w:p>
        </w:tc>
        <w:tc>
          <w:tcPr>
            <w:tcW w:type="dxa" w:w="6768"/>
          </w:tcPr>
          <w:p>
            <w:r/>
            <w:r>
              <w:rPr>
                <w:b/>
                <w:sz w:val="18"/>
              </w:rPr>
              <w:t>Detail</w:t>
            </w:r>
          </w:p>
        </w:tc>
      </w:tr>
      <w:tr>
        <w:tc>
          <w:tcPr>
            <w:tcW w:type="dxa" w:w="2592"/>
          </w:tcPr>
          <w:p>
            <w:r/>
            <w:r>
              <w:rPr>
                <w:b w:val="0"/>
                <w:sz w:val="18"/>
              </w:rPr>
              <w:t>Three-way diagnostics</w:t>
            </w:r>
          </w:p>
        </w:tc>
        <w:tc>
          <w:tcPr>
            <w:tcW w:type="dxa" w:w="6768"/>
          </w:tcPr>
          <w:p>
            <w:r/>
            <w:r>
              <w:rPr>
                <w:b w:val="0"/>
                <w:sz w:val="18"/>
              </w:rPr>
              <w:t>DiagnosticsEventCodes has no SOURCE.* codes, so the source third of the source / pipeline / destination split cannot be populated</w:t>
            </w:r>
          </w:p>
        </w:tc>
      </w:tr>
      <w:tr>
        <w:tc>
          <w:tcPr>
            <w:tcW w:type="dxa" w:w="2592"/>
          </w:tcPr>
          <w:p>
            <w:r/>
            <w:r>
              <w:rPr>
                <w:b w:val="0"/>
                <w:sz w:val="18"/>
              </w:rPr>
              <w:t>Buffer capacity</w:t>
            </w:r>
          </w:p>
        </w:tc>
        <w:tc>
          <w:tcPr>
            <w:tcW w:type="dxa" w:w="6768"/>
          </w:tcPr>
          <w:p>
            <w:r/>
            <w:r>
              <w:rPr>
                <w:b w:val="0"/>
                <w:sz w:val="18"/>
              </w:rPr>
              <w:t>RouteBufferSummaryDto exposes no capacity field, so a true “percent full” cannot be shown</w:t>
            </w:r>
          </w:p>
        </w:tc>
      </w:tr>
      <w:tr>
        <w:tc>
          <w:tcPr>
            <w:tcW w:type="dxa" w:w="2592"/>
          </w:tcPr>
          <w:p>
            <w:r/>
            <w:r>
              <w:rPr>
                <w:b w:val="0"/>
                <w:sz w:val="18"/>
              </w:rPr>
              <w:t>OPC UA certificate probe</w:t>
            </w:r>
          </w:p>
        </w:tc>
        <w:tc>
          <w:tcPr>
            <w:tcW w:type="dxa" w:w="6768"/>
          </w:tcPr>
          <w:p>
            <w:r/>
            <w:r>
              <w:rPr>
                <w:b w:val="0"/>
                <w:sz w:val="18"/>
              </w:rPr>
              <w:t>OpcUaClientTestConnectionService.cs — per-probe certificate handling defect, not a UI concern</w:t>
            </w:r>
          </w:p>
        </w:tc>
      </w:tr>
    </w:tbl>
    <w:p>
      <w:pPr>
        <w:spacing w:after="80"/>
      </w:pPr>
    </w:p>
    <w:p>
      <w:pPr>
        <w:pStyle w:val="Heading2"/>
      </w:pPr>
      <w:r>
        <w:t>17.2 Deferred UI polish</w:t>
      </w:r>
    </w:p>
    <w:p>
      <w:pPr>
        <w:pStyle w:val="ListBullet"/>
        <w:spacing w:after="60"/>
        <w:ind w:left="360"/>
      </w:pPr>
      <w:r>
        <w:rPr>
          <w:b w:val="0"/>
        </w:rPr>
        <w:t>Roughly 15 medium and low severity findings remain from the audits — mainly duplicate-button and busy-state polish on secondary screens.</w:t>
      </w:r>
    </w:p>
    <w:p>
      <w:pPr>
        <w:pStyle w:val="ListBullet"/>
        <w:spacing w:after="60"/>
        <w:ind w:left="360"/>
      </w:pPr>
      <w:r>
        <w:rPr>
          <w:b w:val="0"/>
        </w:rPr>
        <w:t>Tooltips cover the navigation rail and the destructive and primary actions on the hourly-use pages. The application has roughly 180 buttons in total, largely in the wizards; the remainder were not blanket-wrapped.</w:t>
      </w:r>
    </w:p>
    <w:p>
      <w:pPr>
        <w:pStyle w:val="ListBullet"/>
        <w:spacing w:after="60"/>
        <w:ind w:left="360"/>
      </w:pPr>
      <w:r>
        <w:rPr>
          <w:b w:val="0"/>
        </w:rPr>
        <w:t>Overview route cards were deliberately left without tooltips — they already carry a state chip, a verdict line and per-row captions, so a hover panel would only repeat what is on screen.</w:t>
      </w:r>
    </w:p>
    <w:p>
      <w:pPr>
        <w:pStyle w:val="Heading2"/>
      </w:pPr>
      <w:r>
        <w:t>17.3 Verification limits</w:t>
      </w:r>
    </w:p>
    <w:p>
      <w:pPr>
        <w:pStyle w:val="ListBullet"/>
        <w:spacing w:after="60"/>
        <w:ind w:left="360"/>
      </w:pPr>
      <w:r>
        <w:rPr>
          <w:b w:val="0"/>
        </w:rPr>
      </w:r>
      <w:r>
        <w:rPr>
          <w:b/>
        </w:rPr>
        <w:t>Blazor event wiring</w:t>
      </w:r>
      <w:r>
        <w:rPr>
          <w:b w:val="0"/>
        </w:rPr>
        <w:t xml:space="preserve"> cannot be confirmed from prerendered HTML — handlers attach over the SignalR circuit after hydration. The filter fix was verified at source level and by page render; the typing behaviour itself needs a browser.</w:t>
      </w:r>
    </w:p>
    <w:p>
      <w:pPr>
        <w:pStyle w:val="ListBullet"/>
        <w:spacing w:after="60"/>
        <w:ind w:left="360"/>
      </w:pPr>
      <w:r>
        <w:rPr>
          <w:b w:val="0"/>
        </w:rPr>
      </w:r>
      <w:r>
        <w:rPr>
          <w:b/>
        </w:rPr>
        <w:t>MudTooltip text</w:t>
      </w:r>
      <w:r>
        <w:rPr>
          <w:b w:val="0"/>
        </w:rPr>
        <w:t xml:space="preserve"> is rendered into a popover created on hover, so it is absent from static HTML by design. Wrapper structure was verified instead (11 tabs, 11 wrappers).</w:t>
      </w:r>
    </w:p>
    <w:p>
      <w:pPr>
        <w:pStyle w:val="ListBullet"/>
        <w:spacing w:after="60"/>
        <w:ind w:left="360"/>
      </w:pPr>
      <w:r>
        <w:rPr>
          <w:b w:val="0"/>
        </w:rPr>
      </w:r>
      <w:r>
        <w:rPr>
          <w:b/>
        </w:rPr>
        <w:t>Protocol picker tiles</w:t>
      </w:r>
      <w:r>
        <w:rPr>
          <w:b w:val="0"/>
        </w:rPr>
        <w:t xml:space="preserve"> — the served HTML contains only the licensed tiles; the muted states arrive once the interactive circuit connects, so those were verified in markup rather than end to end.</w:t>
      </w:r>
    </w:p>
    <w:p>
      <w:pPr>
        <w:pStyle w:val="Heading2"/>
      </w:pPr>
      <w:r>
        <w:t>17.4 Logo</w:t>
      </w:r>
    </w:p>
    <w:p>
      <w:r>
        <w:rPr>
          <w:b w:val="0"/>
          <w:i w:val="0"/>
        </w:rPr>
        <w:t>Two marks are retained side by side in the working directory: the original Elpis wordmark (148 × 34) and the square mark currently in use (229 × 179). The rail is presently configured for the square mark. Note that the two have opposite proportions and therefore need different constraints — the square mark is bounded by height, whereas the 4.35:1 wordmark must be bounded by width or it overflows the 62 px collapsed rail. Switching between them is a file copy plus that one sizing change.</w:t>
      </w:r>
    </w:p>
    <w:p>
      <w:pPr>
        <w:pStyle w:val="Heading1"/>
      </w:pPr>
      <w:r>
        <w:t>18. Files changed</w:t>
      </w:r>
    </w:p>
    <w:tbl>
      <w:tblPr>
        <w:tblStyle w:val="LightGrid-Accent1"/>
        <w:tblW w:type="auto" w:w="0"/>
        <w:jc w:val="left"/>
        <w:tblLook w:firstColumn="1" w:firstRow="1" w:lastColumn="0" w:lastRow="0" w:noHBand="0" w:noVBand="1" w:val="04A0"/>
      </w:tblPr>
      <w:tblGrid>
        <w:gridCol w:w="4320"/>
        <w:gridCol w:w="4320"/>
      </w:tblGrid>
      <w:tr>
        <w:tc>
          <w:tcPr>
            <w:tcW w:type="dxa" w:w="1584"/>
          </w:tcPr>
          <w:p>
            <w:r/>
            <w:r>
              <w:rPr>
                <w:b/>
                <w:sz w:val="18"/>
              </w:rPr>
              <w:t>Area</w:t>
            </w:r>
          </w:p>
        </w:tc>
        <w:tc>
          <w:tcPr>
            <w:tcW w:type="dxa" w:w="7776"/>
          </w:tcPr>
          <w:p>
            <w:r/>
            <w:r>
              <w:rPr>
                <w:b/>
                <w:sz w:val="18"/>
              </w:rPr>
              <w:t>Files</w:t>
            </w:r>
          </w:p>
        </w:tc>
      </w:tr>
      <w:tr>
        <w:tc>
          <w:tcPr>
            <w:tcW w:type="dxa" w:w="1584"/>
          </w:tcPr>
          <w:p>
            <w:r/>
            <w:r>
              <w:rPr>
                <w:b w:val="0"/>
                <w:sz w:val="18"/>
              </w:rPr>
              <w:t>Shared</w:t>
            </w:r>
          </w:p>
        </w:tc>
        <w:tc>
          <w:tcPr>
            <w:tcW w:type="dxa" w:w="7776"/>
          </w:tcPr>
          <w:p>
            <w:r/>
            <w:r>
              <w:rPr>
                <w:b w:val="0"/>
                <w:sz w:val="18"/>
              </w:rPr>
              <w:t>Components/Shared/OperatorFormat.cs (new), WizardShell.razor, WizardActions.razor, TagBrowseTreeView.razor, StaleEditWarningBanner.razor</w:t>
            </w:r>
          </w:p>
        </w:tc>
      </w:tr>
      <w:tr>
        <w:tc>
          <w:tcPr>
            <w:tcW w:type="dxa" w:w="1584"/>
          </w:tcPr>
          <w:p>
            <w:r/>
            <w:r>
              <w:rPr>
                <w:b w:val="0"/>
                <w:sz w:val="18"/>
              </w:rPr>
              <w:t>Layout</w:t>
            </w:r>
          </w:p>
        </w:tc>
        <w:tc>
          <w:tcPr>
            <w:tcW w:type="dxa" w:w="7776"/>
          </w:tcPr>
          <w:p>
            <w:r/>
            <w:r>
              <w:rPr>
                <w:b w:val="0"/>
                <w:sz w:val="18"/>
              </w:rPr>
              <w:t>MainLayout.razor, NavMenu.razor, App.razor</w:t>
            </w:r>
          </w:p>
        </w:tc>
      </w:tr>
      <w:tr>
        <w:tc>
          <w:tcPr>
            <w:tcW w:type="dxa" w:w="1584"/>
          </w:tcPr>
          <w:p>
            <w:r/>
            <w:r>
              <w:rPr>
                <w:b w:val="0"/>
                <w:sz w:val="18"/>
              </w:rPr>
              <w:t>Pages</w:t>
            </w:r>
          </w:p>
        </w:tc>
        <w:tc>
          <w:tcPr>
            <w:tcW w:type="dxa" w:w="7776"/>
          </w:tcPr>
          <w:p>
            <w:r/>
            <w:r>
              <w:rPr>
                <w:b w:val="0"/>
                <w:sz w:val="18"/>
              </w:rPr>
              <w:t>Overview, Sources, SourceDetail, Sinks, SinkDetail, Routes, RouteDetail, RouteCard, Config, Diagnostics, Tap, License, Backup, Bundle, Checklist</w:t>
            </w:r>
          </w:p>
        </w:tc>
      </w:tr>
      <w:tr>
        <w:tc>
          <w:tcPr>
            <w:tcW w:type="dxa" w:w="1584"/>
          </w:tcPr>
          <w:p>
            <w:r/>
            <w:r>
              <w:rPr>
                <w:b w:val="0"/>
                <w:sz w:val="18"/>
              </w:rPr>
              <w:t>Wizards</w:t>
            </w:r>
          </w:p>
        </w:tc>
        <w:tc>
          <w:tcPr>
            <w:tcW w:type="dxa" w:w="7776"/>
          </w:tcPr>
          <w:p>
            <w:r/>
            <w:r>
              <w:rPr>
                <w:b w:val="0"/>
                <w:sz w:val="18"/>
              </w:rPr>
              <w:t>ChooseSourceProtocol, ChooseDestinationProtocol, AddRoute, AddModbusSource, AddMelsecSource, AddS7Source, AddFocas2Source, AddEthernetIpSource, AddOpcUaClientSource, AddMqttDestination, AddOpcUaServerDestination, BulkImportSources, OnboardingFlow</w:t>
            </w:r>
          </w:p>
        </w:tc>
      </w:tr>
      <w:tr>
        <w:tc>
          <w:tcPr>
            <w:tcW w:type="dxa" w:w="1584"/>
          </w:tcPr>
          <w:p>
            <w:r/>
            <w:r>
              <w:rPr>
                <w:b w:val="0"/>
                <w:sz w:val="18"/>
              </w:rPr>
              <w:t>Styles</w:t>
            </w:r>
          </w:p>
        </w:tc>
        <w:tc>
          <w:tcPr>
            <w:tcW w:type="dxa" w:w="7776"/>
          </w:tcPr>
          <w:p>
            <w:r/>
            <w:r>
              <w:rPr>
                <w:b w:val="0"/>
                <w:sz w:val="18"/>
              </w:rPr>
              <w:t>wwwroot/css/site.css (extensively revised)</w:t>
            </w:r>
          </w:p>
        </w:tc>
      </w:tr>
      <w:tr>
        <w:tc>
          <w:tcPr>
            <w:tcW w:type="dxa" w:w="1584"/>
          </w:tcPr>
          <w:p>
            <w:r/>
            <w:r>
              <w:rPr>
                <w:b w:val="0"/>
                <w:sz w:val="18"/>
              </w:rPr>
              <w:t>Assets</w:t>
            </w:r>
          </w:p>
        </w:tc>
        <w:tc>
          <w:tcPr>
            <w:tcW w:type="dxa" w:w="7776"/>
          </w:tcPr>
          <w:p>
            <w:r/>
            <w:r>
              <w:rPr>
                <w:b w:val="0"/>
                <w:sz w:val="18"/>
              </w:rPr>
              <w:t>wwwroot/img/elpis-Logo.png</w:t>
            </w:r>
          </w:p>
        </w:tc>
      </w:tr>
    </w:tbl>
    <w:p>
      <w:pPr>
        <w:spacing w:after="80"/>
      </w:pPr>
    </w:p>
    <w:p/>
    <w:p>
      <w:r>
        <w:rPr>
          <w:i/>
          <w:color w:val="6B7280"/>
          <w:sz w:val="17"/>
        </w:rPr>
        <w:t>Prepared from the change record of 4–5 August 2026. Every item listed was applied to source, compiled, and confirmed against the running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Segoe UI" w:hAnsi="Segoe UI"/>
      <w:b/>
      <w:bCs/>
      <w:color w:val="1976D2"/>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Segoe UI" w:hAnsi="Segoe U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