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Check-in plan — branch Sony_Development_License</w:t>
      </w:r>
    </w:p>
    <w:p>
      <w:r>
        <w:rPr>
          <w:b/>
        </w:rPr>
        <w:t>Repo:</w:t>
      </w:r>
      <w:r>
        <w:t xml:space="preserve"> https://github.com/elpisitsolutions/EdgeConnect/tree/Sony_Development_License</w:t>
      </w:r>
    </w:p>
    <w:p>
      <w:r>
        <w:rPr>
          <w:b/>
        </w:rPr>
        <w:t>Prepared:</w:t>
      </w:r>
      <w:r>
        <w:t xml:space="preserve"> 2026-08-06</w:t>
      </w:r>
    </w:p>
    <w:p>
      <w:r>
        <w:rPr>
          <w:b/>
        </w:rPr>
        <w:t>Local HEAD:</w:t>
      </w:r>
      <w:r>
        <w:t xml:space="preserve"> </w:t>
      </w:r>
      <w:r>
        <w:rPr>
          <w:rFonts w:ascii="Consolas" w:hAnsi="Consolas"/>
          <w:color w:val="B03060"/>
          <w:sz w:val="18"/>
        </w:rPr>
        <w:t>1f52df3</w:t>
      </w:r>
      <w:r>
        <w:t xml:space="preserve"> — </w:t>
      </w:r>
      <w:r>
        <w:rPr>
          <w:i/>
        </w:rPr>
        <w:t>fix(modbus): TL-28 report serial endpoint (COMx) instead of :502</w:t>
      </w:r>
    </w:p>
    <w:p>
      <w:pPr>
        <w:pStyle w:val="Heading2"/>
      </w:pPr>
      <w:r>
        <w:t>Branch state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origin/Sony_Development_License</w:t>
            </w:r>
            <w:r>
              <w:t xml:space="preserve"> vs local </w:t>
            </w:r>
            <w:r>
              <w:rPr>
                <w:rFonts w:ascii="Consolas" w:hAnsi="Consolas"/>
                <w:color w:val="B03060"/>
                <w:sz w:val="18"/>
              </w:rPr>
              <w:t>HEAD</w:t>
            </w:r>
            <w:r>
              <w:t xml:space="preserve"> (after </w:t>
            </w:r>
            <w:r>
              <w:rPr>
                <w:rFonts w:ascii="Consolas" w:hAnsi="Consolas"/>
                <w:color w:val="B03060"/>
                <w:sz w:val="18"/>
              </w:rPr>
              <w:t>git fetch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0 ahead / 0 behind</w:t>
            </w:r>
            <w:r>
              <w:t xml:space="preserve"> — every commit is already pushed</w:t>
            </w:r>
          </w:p>
        </w:tc>
      </w:tr>
      <w:tr>
        <w:tc>
          <w:tcPr>
            <w:tcW w:type="dxa" w:w="4320"/>
          </w:tcPr>
          <w:p>
            <w:r/>
            <w:r>
              <w:t xml:space="preserve">Tracked files modified but </w:t>
            </w:r>
            <w:r>
              <w:rPr>
                <w:b/>
              </w:rPr>
              <w:t>not committed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48</w:t>
            </w:r>
          </w:p>
        </w:tc>
      </w:tr>
      <w:tr>
        <w:tc>
          <w:tcPr>
            <w:tcW w:type="dxa" w:w="4320"/>
          </w:tcPr>
          <w:p>
            <w:r/>
            <w:r>
              <w:t>Untracked paths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dotnet build ElpisEdgeConnect.sln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Succeeded — 0 warnings, 0 errors</w:t>
            </w:r>
            <w:r>
              <w:t xml:space="preserve"> (verified 2026-08-06)</w:t>
            </w:r>
          </w:p>
        </w:tc>
      </w:tr>
      <w:tr>
        <w:tc>
          <w:tcPr>
            <w:tcW w:type="dxa" w:w="4320"/>
          </w:tcPr>
          <w:p>
            <w:r/>
            <w:r>
              <w:t>Diff size</w:t>
            </w:r>
          </w:p>
        </w:tc>
        <w:tc>
          <w:tcPr>
            <w:tcW w:type="dxa" w:w="4320"/>
          </w:tcPr>
          <w:p>
            <w:r/>
            <w:r>
              <w:t>+2,593 / −857 across tracked files</w:t>
            </w:r>
          </w:p>
        </w:tc>
      </w:tr>
    </w:tbl>
    <w:p/>
    <w:p>
      <w:r>
        <w:rPr>
          <w:b/>
        </w:rPr>
        <w:t>Conclusion:</w:t>
      </w:r>
      <w:r>
        <w:t xml:space="preserve"> nothing is waiting to be </w:t>
      </w:r>
      <w:r>
        <w:rPr>
          <w:i/>
        </w:rPr>
        <w:t>pushed</w:t>
      </w:r>
      <w:r>
        <w:t>. Everything below is work sitting in the</w:t>
      </w:r>
    </w:p>
    <w:p>
      <w:r>
        <w:t>working tree that has never been committed. The list is grouped into the commits it should</w:t>
      </w:r>
    </w:p>
    <w:p>
      <w:r>
        <w:t>become, in the order they should land.</w:t>
      </w:r>
    </w:p>
    <w:p/>
    <w:p>
      <w:pPr>
        <w:pStyle w:val="Heading2"/>
      </w:pPr>
      <w:r>
        <w:t>1. Items to check in</w:t>
      </w:r>
    </w:p>
    <w:p>
      <w:pPr>
        <w:pStyle w:val="Heading3"/>
      </w:pPr>
      <w:r>
        <w:t>A. Studio operator-UI redesign — 43 files (largest item)</w:t>
      </w:r>
    </w:p>
    <w:p>
      <w:r>
        <w:t>The bulk of the pending work. Left-rail navigation replacing the top bar, pinned page</w:t>
      </w:r>
    </w:p>
    <w:p>
      <w:r>
        <w:t>headings, restyled cards/wizards, and a shared formatting helper so no screen shows a raw</w:t>
      </w:r>
    </w:p>
    <w:p>
      <w:r>
        <w:t>ISO timestamp, un-separated number, or lowercase protocol slug.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Components/Shared/OperatorFormat.cs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new</w:t>
            </w:r>
          </w:p>
        </w:tc>
        <w:tc>
          <w:tcPr>
            <w:tcW w:type="dxa" w:w="2880"/>
          </w:tcPr>
          <w:p>
            <w:r/>
            <w:r>
              <w:t>Shared operator-facing formatters (</w:t>
            </w:r>
            <w:r>
              <w:rPr>
                <w:rFonts w:ascii="Consolas" w:hAnsi="Consolas"/>
                <w:color w:val="B03060"/>
                <w:sz w:val="18"/>
              </w:rPr>
              <w:t>Ago</w:t>
            </w:r>
            <w:r>
              <w:t xml:space="preserve">, byte counts, protocol names). Plain </w:t>
            </w:r>
            <w:r>
              <w:rPr>
                <w:rFonts w:ascii="Consolas" w:hAnsi="Consolas"/>
                <w:color w:val="B03060"/>
                <w:sz w:val="18"/>
              </w:rPr>
              <w:t>.cs</w:t>
            </w:r>
            <w:r>
              <w:t xml:space="preserve">, not </w:t>
            </w:r>
            <w:r>
              <w:rPr>
                <w:rFonts w:ascii="Consolas" w:hAnsi="Consolas"/>
                <w:color w:val="B03060"/>
                <w:sz w:val="18"/>
              </w:rPr>
              <w:t>.razor</w:t>
            </w:r>
            <w:r>
              <w:t xml:space="preserve">, because the Razor parser misreads </w:t>
            </w:r>
            <w:r>
              <w:rPr>
                <w:rFonts w:ascii="Consolas" w:hAnsi="Consolas"/>
                <w:color w:val="B03060"/>
                <w:sz w:val="18"/>
              </w:rPr>
              <w:t>&lt;</w:t>
            </w:r>
            <w:r>
              <w:t xml:space="preserve"> in switch expressions. </w:t>
            </w:r>
            <w:r>
              <w:rPr>
                <w:b/>
              </w:rPr>
              <w:t>Referenced by 12 of the modified pages — must land in the same commit or the build breaks.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wwwroot/css/site.css</w:t>
            </w:r>
          </w:p>
        </w:tc>
        <w:tc>
          <w:tcPr>
            <w:tcW w:type="dxa" w:w="2880"/>
          </w:tcPr>
          <w:p>
            <w:r/>
            <w:r>
              <w:t>+875</w:t>
            </w:r>
          </w:p>
        </w:tc>
        <w:tc>
          <w:tcPr>
            <w:tcW w:type="dxa" w:w="2880"/>
          </w:tcPr>
          <w:p>
            <w:r/>
            <w:r>
              <w:t>Rail, heading band, card and wizard styling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Components/Layout/NavMenu.razor</w:t>
            </w:r>
          </w:p>
        </w:tc>
        <w:tc>
          <w:tcPr>
            <w:tcW w:type="dxa" w:w="2880"/>
          </w:tcPr>
          <w:p>
            <w:r/>
            <w:r>
              <w:t>+305</w:t>
            </w:r>
          </w:p>
        </w:tc>
        <w:tc>
          <w:tcPr>
            <w:tcW w:type="dxa" w:w="2880"/>
          </w:tcPr>
          <w:p>
            <w:r/>
            <w:r>
              <w:t>Left rail, collapse chevron, Menu/System groups, active-tab bar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Components/Layout/MainLayout.razor</w:t>
            </w:r>
          </w:p>
        </w:tc>
        <w:tc>
          <w:tcPr>
            <w:tcW w:type="dxa" w:w="2880"/>
          </w:tcPr>
          <w:p>
            <w:r/>
            <w:r>
              <w:t>+140</w:t>
            </w:r>
          </w:p>
        </w:tc>
        <w:tc>
          <w:tcPr>
            <w:tcW w:type="dxa" w:w="2880"/>
          </w:tcPr>
          <w:p>
            <w:r/>
            <w:r>
              <w:t>Rail + pinned-heading shell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Components/Pages/Onboarding/OnboardingFlow.razor</w:t>
            </w:r>
          </w:p>
        </w:tc>
        <w:tc>
          <w:tcPr>
            <w:tcW w:type="dxa" w:w="2880"/>
          </w:tcPr>
          <w:p>
            <w:r/>
            <w:r>
              <w:t>+264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Components/Pages/Sources.razor</w:t>
            </w:r>
          </w:p>
        </w:tc>
        <w:tc>
          <w:tcPr>
            <w:tcW w:type="dxa" w:w="2880"/>
          </w:tcPr>
          <w:p>
            <w:r/>
            <w:r>
              <w:t>+120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Components/Pages/Diagnostics.razor</w:t>
            </w:r>
          </w:p>
        </w:tc>
        <w:tc>
          <w:tcPr>
            <w:tcW w:type="dxa" w:w="2880"/>
          </w:tcPr>
          <w:p>
            <w:r/>
            <w:r>
              <w:t>+108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Components/Pages/Routes.razor</w:t>
            </w:r>
          </w:p>
        </w:tc>
        <w:tc>
          <w:tcPr>
            <w:tcW w:type="dxa" w:w="2880"/>
          </w:tcPr>
          <w:p>
            <w:r/>
            <w:r>
              <w:t>+96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Components/Pages/RouteDetail.razor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SinkDetail.razor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Config.razor</w:t>
            </w:r>
          </w:p>
        </w:tc>
        <w:tc>
          <w:tcPr>
            <w:tcW w:type="dxa" w:w="2880"/>
          </w:tcPr>
          <w:p>
            <w:r/>
            <w:r>
              <w:t>+92 / +90 / +88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Components/Pages/Backup.razor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Sinks.razor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SourceDetail.razor</w:t>
            </w:r>
          </w:p>
        </w:tc>
        <w:tc>
          <w:tcPr>
            <w:tcW w:type="dxa" w:w="2880"/>
          </w:tcPr>
          <w:p>
            <w:r/>
            <w:r>
              <w:t>+87 / +80 / +78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 xml:space="preserve">24 further </w:t>
            </w:r>
            <w:r>
              <w:rPr>
                <w:rFonts w:ascii="Consolas" w:hAnsi="Consolas"/>
                <w:color w:val="B03060"/>
                <w:sz w:val="18"/>
              </w:rPr>
              <w:t>.razor</w:t>
            </w:r>
            <w:r>
              <w:t xml:space="preserve"> files (Overview, RouteCard, Tap, StatusFooter, App, Checklist, Bundle, License, all 10 source wizards, 3 sink wizards, AddRoute, WizardShell, WizardActions, TagBrowseTreeView, SourceLogDialog, OnboardingNavigation, OnboardingProgress)</w:t>
            </w:r>
          </w:p>
        </w:tc>
        <w:tc>
          <w:tcPr>
            <w:tcW w:type="dxa" w:w="2880"/>
          </w:tcPr>
          <w:p>
            <w:r/>
            <w:r>
              <w:t>1–54 each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wwwroot/img/elpis-mark.png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new</w:t>
            </w:r>
          </w:p>
        </w:tc>
        <w:tc>
          <w:tcPr>
            <w:tcW w:type="dxa" w:w="2880"/>
          </w:tcPr>
          <w:p>
            <w:r/>
            <w:r>
              <w:t xml:space="preserve">Rail brand mark — referenced by </w:t>
            </w:r>
            <w:r>
              <w:rPr>
                <w:rFonts w:ascii="Consolas" w:hAnsi="Consolas"/>
                <w:color w:val="B03060"/>
                <w:sz w:val="18"/>
              </w:rPr>
              <w:t>NavMenu.razor:32</w:t>
            </w:r>
            <w:r>
              <w:t xml:space="preserve">. </w:t>
            </w:r>
            <w:r>
              <w:rPr>
                <w:b/>
              </w:rPr>
              <w:t>Binary asset; if it is not committed the rail falls back to the "E" tile.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wwwroot/favicon.ico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new</w:t>
            </w:r>
          </w:p>
        </w:tc>
        <w:tc>
          <w:tcPr>
            <w:tcW w:type="dxa" w:w="2880"/>
          </w:tcPr>
          <w:p>
            <w:r/>
            <w:r>
              <w:t xml:space="preserve">Referenced by </w:t>
            </w:r>
            <w:r>
              <w:rPr>
                <w:rFonts w:ascii="Consolas" w:hAnsi="Consolas"/>
                <w:color w:val="B03060"/>
                <w:sz w:val="18"/>
              </w:rPr>
              <w:t>App.razor:24</w:t>
            </w:r>
            <w:r>
              <w:t>. Same rule — commit or the tab icon 404s.</w:t>
            </w:r>
          </w:p>
        </w:tc>
      </w:tr>
    </w:tbl>
    <w:p/>
    <w:p>
      <w:r>
        <w:rPr>
          <w:b/>
        </w:rPr>
        <w:t>Check-in risk:</w:t>
      </w:r>
      <w:r>
        <w:t xml:space="preserve"> the two binary assets are untracked and easy to miss with a</w:t>
      </w:r>
    </w:p>
    <w:p>
      <w:r>
        <w:rPr>
          <w:rFonts w:ascii="Consolas" w:hAnsi="Consolas"/>
          <w:color w:val="B03060"/>
          <w:sz w:val="18"/>
        </w:rPr>
        <w:t>git add -u</w:t>
      </w:r>
      <w:r>
        <w:t xml:space="preserve">. Use explicit </w:t>
      </w:r>
      <w:r>
        <w:rPr>
          <w:rFonts w:ascii="Consolas" w:hAnsi="Consolas"/>
          <w:color w:val="B03060"/>
          <w:sz w:val="18"/>
        </w:rPr>
        <w:t>git add</w:t>
      </w:r>
      <w:r>
        <w:t xml:space="preserve"> for them.</w:t>
      </w:r>
    </w:p>
    <w:p>
      <w:pPr>
        <w:pStyle w:val="Heading3"/>
      </w:pPr>
      <w:r>
        <w:t>B. MQTT client-id collision fix — 3 files</w:t>
      </w:r>
    </w:p>
    <w:p>
      <w:r>
        <w:t xml:space="preserve">A real field bug, not cosmetics. Default client id was </w:t>
      </w:r>
      <w:r>
        <w:rPr>
          <w:rFonts w:ascii="Consolas" w:hAnsi="Consolas"/>
          <w:color w:val="B03060"/>
          <w:sz w:val="18"/>
        </w:rPr>
        <w:t>edgeconnect-{InstanceId}</w:t>
      </w:r>
      <w:r>
        <w:t>, which</w:t>
      </w:r>
    </w:p>
    <w:p>
      <w:r>
        <w:t>collides whenever two gateways have a destination of the same name (and the wizard suggests</w:t>
      </w:r>
    </w:p>
    <w:p>
      <w:r>
        <w:t>"MQTT"). Brokers enforce client-id uniqueness, so the two clients evict each other in a loop</w:t>
      </w:r>
    </w:p>
    <w:p>
      <w:r>
        <w:t xml:space="preserve">and the operator sees </w:t>
      </w:r>
      <w:r>
        <w:rPr>
          <w:rFonts w:ascii="Consolas" w:hAnsi="Consolas"/>
          <w:color w:val="B03060"/>
          <w:sz w:val="18"/>
        </w:rPr>
        <w:t>MQTT.PERTAG_PUBLISH_FAILED — client is disconnected</w:t>
      </w:r>
      <w:r>
        <w:t xml:space="preserve"> with no cause.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changed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src/ElpisEdgeConnect.Sinks.Mqtt/MqttSinkAdapter.cs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DefaultClientId()</w:t>
            </w:r>
            <w:r>
              <w:t xml:space="preserve"> now includes a sanitised, 24-char-capped machine name; new </w:t>
            </w:r>
            <w:r>
              <w:rPr>
                <w:rFonts w:ascii="Consolas" w:hAnsi="Consolas"/>
                <w:color w:val="B03060"/>
                <w:sz w:val="18"/>
              </w:rPr>
              <w:t>_disconnectCount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_firstDisconnectAt</w:t>
            </w:r>
            <w:r>
              <w:t xml:space="preserve"> counters; </w:t>
            </w:r>
            <w:r>
              <w:rPr>
                <w:rFonts w:ascii="Consolas" w:hAnsi="Consolas"/>
                <w:color w:val="B03060"/>
                <w:sz w:val="18"/>
              </w:rPr>
              <w:t>DescribeFlapping()</w:t>
            </w:r>
            <w:r>
              <w:t xml:space="preserve"> appends a plain-English cause to error text once drops exceed 5 </w:t>
            </w:r>
            <w:r>
              <w:rPr>
                <w:b/>
              </w:rPr>
              <w:t>and</w:t>
            </w:r>
            <w:r>
              <w:t xml:space="preserve"> ~1/min; </w:t>
            </w:r>
            <w:r>
              <w:rPr>
                <w:rFonts w:ascii="Consolas" w:hAnsi="Consolas"/>
                <w:color w:val="B03060"/>
                <w:sz w:val="18"/>
              </w:rPr>
              <w:t>disconnectCount</w:t>
            </w:r>
            <w:r>
              <w:t xml:space="preserve"> added to diagnostics so the bundle carries flap evidence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src/ElpisEdgeConnect.Sinks.Mqtt/MqttSinkConfiguration.cs</w:t>
            </w:r>
          </w:p>
        </w:tc>
        <w:tc>
          <w:tcPr>
            <w:tcW w:type="dxa" w:w="4320"/>
          </w:tcPr>
          <w:p>
            <w:r/>
            <w:r>
              <w:t>Doc comment 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src/ElpisEdgeConnect.Management/Wizards/MqttSinkWizardModel.cs</w:t>
            </w:r>
          </w:p>
        </w:tc>
        <w:tc>
          <w:tcPr>
            <w:tcW w:type="dxa" w:w="4320"/>
          </w:tcPr>
          <w:p>
            <w:r/>
            <w:r>
              <w:t>Doc comment only</w:t>
            </w:r>
          </w:p>
        </w:tc>
      </w:tr>
    </w:tbl>
    <w:p/>
    <w:p>
      <w:r>
        <w:rPr>
          <w:b/>
        </w:rPr>
        <w:t>Gap to close before check-in:</w:t>
      </w:r>
      <w:r>
        <w:t xml:space="preserve"> </w:t>
      </w:r>
      <w:r>
        <w:rPr>
          <w:rFonts w:ascii="Consolas" w:hAnsi="Consolas"/>
          <w:color w:val="B03060"/>
          <w:sz w:val="18"/>
        </w:rPr>
        <w:t>tests/ElpisEdgeConnect.Sinks.Mqtt.Tests/</w:t>
      </w:r>
      <w:r>
        <w:t xml:space="preserve"> exists but</w:t>
      </w:r>
    </w:p>
    <w:p>
      <w:r>
        <w:t xml:space="preserve">contains </w:t>
      </w:r>
      <w:r>
        <w:rPr>
          <w:b/>
        </w:rPr>
        <w:t>no test for `DefaultClientId` or `DescribeFlapping`</w:t>
      </w:r>
      <w:r>
        <w:t xml:space="preserve">. </w:t>
      </w:r>
      <w:r>
        <w:rPr>
          <w:rFonts w:ascii="Consolas" w:hAnsi="Consolas"/>
          <w:color w:val="B03060"/>
          <w:sz w:val="18"/>
        </w:rPr>
        <w:t>DefaultClientId</w:t>
      </w:r>
      <w:r>
        <w:t xml:space="preserve"> is already</w:t>
      </w:r>
    </w:p>
    <w:p>
      <w:r>
        <w:rPr>
          <w:rFonts w:ascii="Consolas" w:hAnsi="Consolas"/>
          <w:color w:val="B03060"/>
          <w:sz w:val="18"/>
        </w:rPr>
        <w:t>internal static</w:t>
      </w:r>
      <w:r>
        <w:t xml:space="preserve"> — trivially testable (sanitisation, length cap, empty-hostname fallback).</w:t>
      </w:r>
    </w:p>
    <w:p>
      <w:r>
        <w:t xml:space="preserve">Per </w:t>
      </w:r>
      <w:r>
        <w:rPr>
          <w:rFonts w:ascii="Consolas" w:hAnsi="Consolas"/>
          <w:color w:val="B03060"/>
          <w:sz w:val="18"/>
        </w:rPr>
        <w:t>CLAUDE.md</w:t>
      </w:r>
      <w:r>
        <w:t xml:space="preserve"> §7 this behaviour should not ship untested.</w:t>
      </w:r>
    </w:p>
    <w:p>
      <w:r>
        <w:rPr>
          <w:b/>
        </w:rPr>
        <w:t>Behaviour note for the release notes:</w:t>
      </w:r>
      <w:r>
        <w:t xml:space="preserve"> existing deployments that left Client id blank will</w:t>
      </w:r>
    </w:p>
    <w:p>
      <w:r>
        <w:t xml:space="preserve">reconnect under a </w:t>
      </w:r>
      <w:r>
        <w:rPr>
          <w:i/>
        </w:rPr>
        <w:t>new</w:t>
      </w:r>
      <w:r>
        <w:t xml:space="preserve"> id. Safe (</w:t>
      </w:r>
      <w:r>
        <w:rPr>
          <w:rFonts w:ascii="Consolas" w:hAnsi="Consolas"/>
          <w:color w:val="B03060"/>
          <w:sz w:val="18"/>
        </w:rPr>
        <w:t>WithCleanSession(true)</w:t>
      </w:r>
      <w:r>
        <w:t>, no orphaned session state), but</w:t>
      </w:r>
    </w:p>
    <w:p>
      <w:r>
        <w:t>broker-side ACLs or dashboards keyed on the old id need updating.</w:t>
      </w:r>
    </w:p>
    <w:p>
      <w:pPr>
        <w:pStyle w:val="Heading3"/>
      </w:pPr>
      <w:r>
        <w:t>C. Installer — service recovery + FOCAS2 native libraries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changed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installer/ElpisEdgeConnect.wxs</w:t>
            </w:r>
          </w:p>
        </w:tc>
        <w:tc>
          <w:tcPr>
            <w:tcW w:type="dxa" w:w="4320"/>
          </w:tcPr>
          <w:p>
            <w:r/>
            <w:r>
              <w:t xml:space="preserve">(1) </w:t>
            </w:r>
            <w:r>
              <w:rPr>
                <w:rFonts w:ascii="Consolas" w:hAnsi="Consolas"/>
                <w:color w:val="B03060"/>
                <w:sz w:val="18"/>
              </w:rPr>
              <w:t>util:ServiceConfig</w:t>
            </w:r>
            <w:r>
              <w:t xml:space="preserve"> — auto-restart the service on 1st/2nd/3rd failure after 30 s, counter reset daily. (2) </w:t>
            </w:r>
            <w:r>
              <w:rPr>
                <w:rFonts w:ascii="Consolas" w:hAnsi="Consolas"/>
                <w:color w:val="B03060"/>
                <w:sz w:val="18"/>
              </w:rPr>
              <w:t>&lt;Files Include="!(bindpath.FocasSrc)\*.dll" /&gt;</w:t>
            </w:r>
            <w:r>
              <w:t xml:space="preserve"> added to </w:t>
            </w:r>
            <w:r>
              <w:rPr>
                <w:b/>
              </w:rPr>
              <w:t>both</w:t>
            </w:r>
            <w:r>
              <w:t xml:space="preserve"> the Management and Host component groups, so </w:t>
            </w:r>
            <w:r>
              <w:rPr>
                <w:rFonts w:ascii="Consolas" w:hAnsi="Consolas"/>
                <w:color w:val="B03060"/>
                <w:sz w:val="18"/>
              </w:rPr>
              <w:t>Fwlib64.dll</w:t>
            </w:r>
            <w:r>
              <w:t xml:space="preserve"> and its five per-model libraries ship beside the exe</w:t>
            </w:r>
          </w:p>
        </w:tc>
      </w:tr>
    </w:tbl>
    <w:p/>
    <w:p>
      <w:r>
        <w:rPr>
          <w:b/>
        </w:rPr>
        <w:t>Two blockers on this one — fix before committing:</w:t>
      </w:r>
    </w:p>
    <w:p>
      <w:pPr>
        <w:pStyle w:val="ListNumber"/>
      </w:pPr>
      <w:r>
        <w:rPr>
          <w:b/>
        </w:rPr>
        <w:t>`FocasSrc` bindpath is not documented.</w:t>
      </w:r>
      <w:r>
        <w:t xml:space="preserve"> The build command in the file header</w:t>
      </w:r>
    </w:p>
    <w:p>
      <w:r>
        <w:t>(</w:t>
      </w:r>
      <w:r>
        <w:rPr>
          <w:rFonts w:ascii="Consolas" w:hAnsi="Consolas"/>
          <w:color w:val="B03060"/>
          <w:sz w:val="18"/>
        </w:rPr>
        <w:t>ElpisEdgeConnect.wxs:23-27</w:t>
      </w:r>
      <w:r>
        <w:t xml:space="preserve">) still lists only </w:t>
      </w:r>
      <w:r>
        <w:rPr>
          <w:rFonts w:ascii="Consolas" w:hAnsi="Consolas"/>
          <w:color w:val="B03060"/>
          <w:sz w:val="18"/>
        </w:rPr>
        <w:t>HostSrc</w:t>
      </w:r>
      <w:r>
        <w:t xml:space="preserve"> and </w:t>
      </w:r>
      <w:r>
        <w:rPr>
          <w:rFonts w:ascii="Consolas" w:hAnsi="Consolas"/>
          <w:color w:val="B03060"/>
          <w:sz w:val="18"/>
        </w:rPr>
        <w:t>MgmtSrc</w:t>
      </w:r>
      <w:r>
        <w:t>. As written,</w:t>
      </w:r>
    </w:p>
    <w:p>
      <w:r>
        <w:rPr>
          <w:rFonts w:ascii="Consolas" w:hAnsi="Consolas"/>
          <w:color w:val="B03060"/>
          <w:sz w:val="18"/>
        </w:rPr>
        <w:t>wix build</w:t>
      </w:r>
      <w:r>
        <w:t xml:space="preserve"> fails on an undefined bindpath. Add</w:t>
      </w:r>
    </w:p>
    <w:p>
      <w:r>
        <w:rPr>
          <w:rFonts w:ascii="Consolas" w:hAnsi="Consolas"/>
          <w:color w:val="B03060"/>
          <w:sz w:val="18"/>
        </w:rPr>
        <w:t>-bindpath "FocasSrc=&lt;root&gt;/fwlib0iD64"</w:t>
      </w:r>
      <w:r>
        <w:t xml:space="preserve"> (or wherever the libraries are staged) to the</w:t>
      </w:r>
    </w:p>
    <w:p>
      <w:r>
        <w:t xml:space="preserve">header comment </w:t>
      </w:r>
      <w:r>
        <w:rPr>
          <w:b/>
        </w:rPr>
        <w:t>and</w:t>
      </w:r>
      <w:r>
        <w:t xml:space="preserve"> to whatever CI/publish script invokes </w:t>
      </w:r>
      <w:r>
        <w:rPr>
          <w:rFonts w:ascii="Consolas" w:hAnsi="Consolas"/>
          <w:color w:val="B03060"/>
          <w:sz w:val="18"/>
        </w:rPr>
        <w:t>wix build</w:t>
      </w:r>
      <w:r>
        <w:t>.</w:t>
      </w:r>
    </w:p>
    <w:p>
      <w:pPr>
        <w:pStyle w:val="ListNumber"/>
      </w:pPr>
      <w:r>
        <w:rPr>
          <w:b/>
        </w:rPr>
        <w:t>Where do the DLLs come from?</w:t>
      </w:r>
      <w:r>
        <w:t xml:space="preserve"> See §2, </w:t>
      </w:r>
      <w:r>
        <w:rPr>
          <w:rFonts w:ascii="Consolas" w:hAnsi="Consolas"/>
          <w:color w:val="B03060"/>
          <w:sz w:val="18"/>
        </w:rPr>
        <w:t>fwlib0iD64/</w:t>
      </w:r>
      <w:r>
        <w:t>.</w:t>
      </w:r>
    </w:p>
    <w:p>
      <w:pPr>
        <w:pStyle w:val="Heading3"/>
      </w:pPr>
      <w:r>
        <w:t>D. License Generator tool — product catalogue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changed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tools/LicenseGeneratorApp/LicenseDatabase.cs</w:t>
            </w:r>
          </w:p>
        </w:tc>
        <w:tc>
          <w:tcPr>
            <w:tcW w:type="dxa" w:w="4320"/>
          </w:tcPr>
          <w:p>
            <w:r/>
            <w:r>
              <w:t xml:space="preserve">New </w:t>
            </w:r>
            <w:r>
              <w:rPr>
                <w:rFonts w:ascii="Consolas" w:hAnsi="Consolas"/>
                <w:color w:val="B03060"/>
                <w:sz w:val="18"/>
              </w:rPr>
              <w:t>Products</w:t>
            </w:r>
            <w:r>
              <w:t xml:space="preserve"> table + idempotent seed of "Elpis EdgeConnect" and "EREMOS V2"; </w:t>
            </w:r>
            <w:r>
              <w:rPr>
                <w:rFonts w:ascii="Consolas" w:hAnsi="Consolas"/>
                <w:color w:val="B03060"/>
                <w:sz w:val="18"/>
              </w:rPr>
              <w:t>GetProductCatalog()</w:t>
            </w:r>
            <w:r>
              <w:t xml:space="preserve"> and </w:t>
            </w:r>
            <w:r>
              <w:rPr>
                <w:rFonts w:ascii="Consolas" w:hAnsi="Consolas"/>
                <w:color w:val="B03060"/>
                <w:sz w:val="18"/>
              </w:rPr>
              <w:t>AddProduct()</w:t>
            </w:r>
            <w:r>
              <w:t xml:space="preserve"> (case-insensitive duplicate guard)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tools/LicenseGeneratorApp/MainForm.cs</w:t>
            </w:r>
          </w:p>
        </w:tc>
        <w:tc>
          <w:tcPr>
            <w:tcW w:type="dxa" w:w="4320"/>
          </w:tcPr>
          <w:p>
            <w:r/>
            <w:r>
              <w:t xml:space="preserve">"Add product" row above the Product dropdown (text box + Save, Enter-to-save); dropdown now catalogue-driven; window/header title "Elpis EdgeConnect — License Generator" → </w:t>
            </w:r>
            <w:r>
              <w:rPr>
                <w:b/>
              </w:rPr>
              <w:t>"Elpis — License Generator"</w:t>
            </w:r>
            <w:r>
              <w:t>; footer copyright 2024 → 2026</w:t>
            </w:r>
          </w:p>
        </w:tc>
      </w:tr>
    </w:tbl>
    <w:p/>
    <w:p>
      <w:r>
        <w:rPr>
          <w:b/>
        </w:rPr>
        <w:t>Note:</w:t>
      </w:r>
      <w:r>
        <w:t xml:space="preserve"> the schema addition is additive and </w:t>
      </w:r>
      <w:r>
        <w:rPr>
          <w:rFonts w:ascii="Consolas" w:hAnsi="Consolas"/>
          <w:color w:val="B03060"/>
          <w:sz w:val="18"/>
        </w:rPr>
        <w:t>CREATE TABLE IF NOT EXISTS</w:t>
      </w:r>
      <w:r>
        <w:t xml:space="preserve"> + </w:t>
      </w:r>
      <w:r>
        <w:rPr>
          <w:rFonts w:ascii="Consolas" w:hAnsi="Consolas"/>
          <w:color w:val="B03060"/>
          <w:sz w:val="18"/>
        </w:rPr>
        <w:t>INSERT OR IGNORE</w:t>
      </w:r>
      <w:r>
        <w:t>,</w:t>
      </w:r>
    </w:p>
    <w:p>
      <w:r>
        <w:t xml:space="preserve">so an existing </w:t>
      </w:r>
      <w:r>
        <w:rPr>
          <w:rFonts w:ascii="Consolas" w:hAnsi="Consolas"/>
          <w:color w:val="B03060"/>
          <w:sz w:val="18"/>
        </w:rPr>
        <w:t>.db</w:t>
      </w:r>
      <w:r>
        <w:t xml:space="preserve"> upgrades in place. Worth a smoke test against a real existing database</w:t>
      </w:r>
    </w:p>
    <w:p>
      <w:r>
        <w:t>before check-in.</w:t>
      </w:r>
    </w:p>
    <w:p>
      <w:pPr>
        <w:pStyle w:val="Heading3"/>
      </w:pPr>
      <w:r>
        <w:t>E. Copyright / branding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changed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Directory.Build.props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Copyright © 2024</w:t>
            </w:r>
            <w: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© 2026</w:t>
            </w:r>
            <w:r>
              <w:t xml:space="preserve"> — stamps every assembly in the solution</w:t>
            </w:r>
          </w:p>
        </w:tc>
      </w:tr>
    </w:tbl>
    <w:p/>
    <w:p>
      <w:r>
        <w:t xml:space="preserve">Pairs with the footer string in </w:t>
      </w:r>
      <w:r>
        <w:rPr>
          <w:rFonts w:ascii="Consolas" w:hAnsi="Consolas"/>
          <w:color w:val="B03060"/>
          <w:sz w:val="18"/>
        </w:rPr>
        <w:t>MainForm.cs</w:t>
      </w:r>
      <w:r>
        <w:t>. Commit them together or note the split.</w:t>
      </w:r>
    </w:p>
    <w:p/>
    <w:p>
      <w:pPr>
        <w:pStyle w:val="Heading2"/>
      </w:pPr>
      <w:r>
        <w:t>2. Untracked paths — decide before adding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Recommendation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fwlib0iD64/</w:t>
            </w:r>
            <w:r>
              <w:t xml:space="preserve"> — </w:t>
            </w:r>
            <w:r>
              <w:rPr>
                <w:rFonts w:ascii="Consolas" w:hAnsi="Consolas"/>
                <w:color w:val="B03060"/>
                <w:sz w:val="18"/>
              </w:rPr>
              <w:t>Fwlib64.dll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fwlib0DN64.dll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fwlib0iD64.dll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fwlib30i64.dll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fwlibNCG64.dll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fwlibe64.dll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~11.5 MB, 6 binaries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Needs an explicit decision.</w:t>
            </w:r>
            <w:r>
              <w:t xml:space="preserve"> These are FANUC-licensed native libraries, and the installer change in item C now depends on them being staged somewhere. Options: (a) commit them (repo grows 11.5 MB permanently, FANUC redistribution terms apply), (b) keep them out of git and have the build/publish script fetch or copy them from a known location, adding </w:t>
            </w:r>
            <w:r>
              <w:rPr>
                <w:rFonts w:ascii="Consolas" w:hAnsi="Consolas"/>
                <w:color w:val="B03060"/>
                <w:sz w:val="18"/>
              </w:rPr>
              <w:t>fwlib0iD64/</w:t>
            </w:r>
            <w:r>
              <w:t xml:space="preserve"> to </w:t>
            </w:r>
            <w:r>
              <w:rPr>
                <w:rFonts w:ascii="Consolas" w:hAnsi="Consolas"/>
                <w:color w:val="B03060"/>
                <w:sz w:val="18"/>
              </w:rPr>
              <w:t>.gitignore</w:t>
            </w:r>
            <w:r>
              <w:t xml:space="preserve">. </w:t>
            </w:r>
            <w:r>
              <w:rPr>
                <w:b/>
              </w:rPr>
              <w:t>Nothing in `.gitignore` currently covers them, so they will be swept in by `git add .`.</w:t>
            </w:r>
            <w:r>
              <w:t xml:space="preserve"> Today no FOCAS binary is tracked in the repo.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docs/UI-Changes-Only-Sony-vs-Rajendra-2026-08-05.md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Commit — useful record of the Sony vs Rajendra UI divergence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docs/UI-Comparison-Sony-vs-Rajendra-2026-08-05.md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Commit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docs/UI-Changes-Only-Sony-vs-Rajendra-2026-08-05.docx</w:t>
            </w:r>
          </w:p>
        </w:tc>
        <w:tc>
          <w:tcPr>
            <w:tcW w:type="dxa" w:w="2880"/>
          </w:tcPr>
          <w:p>
            <w:r/>
            <w:r>
              <w:t>binary</w:t>
            </w:r>
          </w:p>
        </w:tc>
        <w:tc>
          <w:tcPr>
            <w:tcW w:type="dxa" w:w="2880"/>
          </w:tcPr>
          <w:p>
            <w:r/>
            <w:r>
              <w:t xml:space="preserve">Generated from the </w:t>
            </w:r>
            <w:r>
              <w:rPr>
                <w:rFonts w:ascii="Consolas" w:hAnsi="Consolas"/>
                <w:color w:val="B03060"/>
                <w:sz w:val="18"/>
              </w:rPr>
              <w:t>.md</w:t>
            </w:r>
            <w:r>
              <w:t xml:space="preserve">. Suggest </w:t>
            </w:r>
            <w:r>
              <w:rPr>
                <w:b/>
              </w:rPr>
              <w:t>not</w:t>
            </w:r>
            <w:r>
              <w:t xml:space="preserve"> committing — keep one source of truth and regenerate.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docs/UI-Comparison-Sony-vs-Rajendra-2026-08-05.docx</w:t>
            </w:r>
          </w:p>
        </w:tc>
        <w:tc>
          <w:tcPr>
            <w:tcW w:type="dxa" w:w="2880"/>
          </w:tcPr>
          <w:p>
            <w:r/>
            <w:r>
              <w:t>binary</w:t>
            </w:r>
          </w:p>
        </w:tc>
        <w:tc>
          <w:tcPr>
            <w:tcW w:type="dxa" w:w="2880"/>
          </w:tcPr>
          <w:p>
            <w:r/>
            <w:r>
              <w:t>Same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docs/EdgeConnect-Studio-UI-Change-Report.docx</w:t>
            </w:r>
          </w:p>
        </w:tc>
        <w:tc>
          <w:tcPr>
            <w:tcW w:type="dxa" w:w="2880"/>
          </w:tcPr>
          <w:p>
            <w:r/>
            <w:r>
              <w:t>binary</w:t>
            </w:r>
          </w:p>
        </w:tc>
        <w:tc>
          <w:tcPr>
            <w:tcW w:type="dxa" w:w="2880"/>
          </w:tcPr>
          <w:p>
            <w:r/>
            <w:r>
              <w:t xml:space="preserve">Same — has no </w:t>
            </w:r>
            <w:r>
              <w:rPr>
                <w:rFonts w:ascii="Consolas" w:hAnsi="Consolas"/>
                <w:color w:val="B03060"/>
                <w:sz w:val="18"/>
              </w:rPr>
              <w:t>.md</w:t>
            </w:r>
            <w:r>
              <w:t xml:space="preserve"> counterpart, so if it is the only copy, either commit it or export a </w:t>
            </w:r>
            <w:r>
              <w:rPr>
                <w:rFonts w:ascii="Consolas" w:hAnsi="Consolas"/>
                <w:color w:val="B03060"/>
                <w:sz w:val="18"/>
              </w:rPr>
              <w:t>.md</w:t>
            </w:r>
            <w:r>
              <w:t xml:space="preserve"> first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.claude/settings.json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Project-level Claude Code permission allowlist (</w:t>
            </w:r>
            <w:r>
              <w:rPr>
                <w:rFonts w:ascii="Consolas" w:hAnsi="Consolas"/>
                <w:color w:val="B03060"/>
                <w:sz w:val="18"/>
              </w:rPr>
              <w:t>git fetch/push/rev-list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dotnet test</w:t>
            </w:r>
            <w:r>
              <w:t xml:space="preserve">, …). Shared dev convenience — commit it if the team wants it, otherwise </w:t>
            </w:r>
            <w:r>
              <w:rPr>
                <w:rFonts w:ascii="Consolas" w:hAnsi="Consolas"/>
                <w:color w:val="B03060"/>
                <w:sz w:val="18"/>
              </w:rPr>
              <w:t>.gitignore</w:t>
            </w:r>
            <w:r>
              <w:t xml:space="preserve"> it. Contains no secrets.</w:t>
            </w:r>
          </w:p>
        </w:tc>
      </w:tr>
    </w:tbl>
    <w:p/>
    <w:p/>
    <w:p>
      <w:pPr>
        <w:pStyle w:val="Heading2"/>
      </w:pPr>
      <w:r>
        <w:t>3. Pre-check-in gate</w:t>
      </w:r>
    </w:p>
    <w:p>
      <w:r>
        <w:t>Run in this order:</w:t>
      </w:r>
    </w:p>
    <w:p>
      <w:pPr>
        <w:ind w:left="360"/>
      </w:pPr>
      <w:r>
        <w:t xml:space="preserve">☐  </w:t>
      </w:r>
      <w:r>
        <w:rPr>
          <w:rFonts w:ascii="Consolas" w:hAnsi="Consolas"/>
          <w:color w:val="B03060"/>
          <w:sz w:val="18"/>
        </w:rPr>
        <w:t>dotnet build ElpisEdgeConnect.sln</w:t>
      </w:r>
      <w:r>
        <w:t xml:space="preserve"> → 0 warnings, 0 errors </w:t>
      </w:r>
      <w:r>
        <w:rPr>
          <w:i/>
        </w:rPr>
        <w:t>(passing as of 2026-08-06)</w:t>
      </w:r>
    </w:p>
    <w:p>
      <w:pPr>
        <w:ind w:left="360"/>
      </w:pPr>
      <w:r>
        <w:t xml:space="preserve">☐  </w:t>
      </w:r>
      <w:r>
        <w:rPr>
          <w:rFonts w:ascii="Consolas" w:hAnsi="Consolas"/>
          <w:color w:val="B03060"/>
          <w:sz w:val="18"/>
        </w:rPr>
        <w:t>dotnet test --filter "Category!=Flaky"</w:t>
      </w:r>
      <w:r>
        <w:t xml:space="preserve"> — full run not yet executed against this working tree</w:t>
      </w:r>
    </w:p>
    <w:p>
      <w:pPr>
        <w:ind w:left="360"/>
      </w:pPr>
      <w:r>
        <w:t xml:space="preserve">☐  </w:t>
      </w:r>
      <w:r>
        <w:t xml:space="preserve">Add the </w:t>
      </w:r>
      <w:r>
        <w:rPr>
          <w:rFonts w:ascii="Consolas" w:hAnsi="Consolas"/>
          <w:color w:val="B03060"/>
          <w:sz w:val="18"/>
        </w:rPr>
        <w:t>DefaultClientId</w:t>
      </w:r>
      <w:r>
        <w:t xml:space="preserve"> / </w:t>
      </w:r>
      <w:r>
        <w:rPr>
          <w:rFonts w:ascii="Consolas" w:hAnsi="Consolas"/>
          <w:color w:val="B03060"/>
          <w:sz w:val="18"/>
        </w:rPr>
        <w:t>DescribeFlapping</w:t>
      </w:r>
      <w:r>
        <w:t xml:space="preserve"> tests (item B gap)</w:t>
      </w:r>
    </w:p>
    <w:p>
      <w:pPr>
        <w:ind w:left="360"/>
      </w:pPr>
      <w:r>
        <w:t xml:space="preserve">☐  </w:t>
      </w:r>
      <w:r>
        <w:t xml:space="preserve">Fix the </w:t>
      </w:r>
      <w:r>
        <w:rPr>
          <w:rFonts w:ascii="Consolas" w:hAnsi="Consolas"/>
          <w:color w:val="B03060"/>
          <w:sz w:val="18"/>
        </w:rPr>
        <w:t>FocasSrc</w:t>
      </w:r>
      <w:r>
        <w:t xml:space="preserve"> bindpath documentation + build script (item C blocker 1)</w:t>
      </w:r>
    </w:p>
    <w:p>
      <w:pPr>
        <w:ind w:left="360"/>
      </w:pPr>
      <w:r>
        <w:t xml:space="preserve">☐  </w:t>
      </w:r>
      <w:r>
        <w:t xml:space="preserve">Decide the </w:t>
      </w:r>
      <w:r>
        <w:rPr>
          <w:rFonts w:ascii="Consolas" w:hAnsi="Consolas"/>
          <w:color w:val="B03060"/>
          <w:sz w:val="18"/>
        </w:rPr>
        <w:t>fwlib0iD64/</w:t>
      </w:r>
      <w:r>
        <w:t xml:space="preserve"> question (§2) and update </w:t>
      </w:r>
      <w:r>
        <w:rPr>
          <w:rFonts w:ascii="Consolas" w:hAnsi="Consolas"/>
          <w:color w:val="B03060"/>
          <w:sz w:val="18"/>
        </w:rPr>
        <w:t>.gitignore</w:t>
      </w:r>
      <w:r>
        <w:t xml:space="preserve"> either way</w:t>
      </w:r>
    </w:p>
    <w:p>
      <w:pPr>
        <w:ind w:left="360"/>
      </w:pPr>
      <w:r>
        <w:t xml:space="preserve">☐  </w:t>
      </w:r>
      <w:r>
        <w:t>Build the MSI end-to-end and confirm the FOCAS DLLs land beside both exes and that</w:t>
      </w:r>
    </w:p>
    <w:p>
      <w:r>
        <w:t>service recovery is registered (</w:t>
      </w:r>
      <w:r>
        <w:rPr>
          <w:rFonts w:ascii="Consolas" w:hAnsi="Consolas"/>
          <w:color w:val="B03060"/>
          <w:sz w:val="18"/>
        </w:rPr>
        <w:t>sc qfailure ElpisEdgeConnect</w:t>
      </w:r>
      <w:r>
        <w:t>)</w:t>
      </w:r>
    </w:p>
    <w:p>
      <w:pPr>
        <w:ind w:left="360"/>
      </w:pPr>
      <w:r>
        <w:t xml:space="preserve">☐  </w:t>
      </w:r>
      <w:r>
        <w:t xml:space="preserve">Smoke-test the License Generator against an existing </w:t>
      </w:r>
      <w:r>
        <w:rPr>
          <w:rFonts w:ascii="Consolas" w:hAnsi="Consolas"/>
          <w:color w:val="B03060"/>
          <w:sz w:val="18"/>
        </w:rPr>
        <w:t>.db</w:t>
      </w:r>
    </w:p>
    <w:p>
      <w:pPr>
        <w:ind w:left="360"/>
      </w:pPr>
      <w:r>
        <w:t xml:space="preserve">☐  </w:t>
      </w:r>
      <w:r>
        <w:t>Note the MQTT client-id change in the release notes (broker ACL impact)</w:t>
      </w:r>
    </w:p>
    <w:p>
      <w:pPr>
        <w:ind w:left="360"/>
      </w:pPr>
      <w:r>
        <w:t xml:space="preserve">☐  </w:t>
      </w:r>
      <w:r>
        <w:t xml:space="preserve">Confirm the CRLF/LF warnings on 11 </w:t>
      </w:r>
      <w:r>
        <w:rPr>
          <w:rFonts w:ascii="Consolas" w:hAnsi="Consolas"/>
          <w:color w:val="B03060"/>
          <w:sz w:val="18"/>
        </w:rPr>
        <w:t>.razor</w:t>
      </w:r>
      <w:r>
        <w:t xml:space="preserve"> files are just line-ending normalisation and</w:t>
      </w:r>
    </w:p>
    <w:p>
      <w:r>
        <w:t>not unintended whole-file rewrites (</w:t>
      </w:r>
      <w:r>
        <w:rPr>
          <w:rFonts w:ascii="Consolas" w:hAnsi="Consolas"/>
          <w:color w:val="B03060"/>
          <w:sz w:val="18"/>
        </w:rPr>
        <w:t>git diff --stat --ignore-cr-at-eol</w:t>
      </w:r>
      <w:r>
        <w:t>)</w:t>
      </w:r>
    </w:p>
    <w:p>
      <w:pPr>
        <w:pStyle w:val="Heading2"/>
      </w:pPr>
      <w:r>
        <w:t>4. Suggested commit sequence</w:t>
      </w:r>
    </w:p>
    <w:p>
      <w:pPr>
        <w:pStyle w:val="ListNumber"/>
      </w:pPr>
      <w:r>
        <w:rPr>
          <w:rFonts w:ascii="Consolas" w:hAnsi="Consolas"/>
          <w:color w:val="B03060"/>
          <w:sz w:val="18"/>
        </w:rPr>
        <w:t>feat(studio): operator-UI redesign — left rail, pinned headings, shared formatters</w:t>
      </w:r>
      <w:r>
        <w:t xml:space="preserve"> (item A, 43 files)</w:t>
      </w:r>
    </w:p>
    <w:p>
      <w:pPr>
        <w:pStyle w:val="ListNumber"/>
      </w:pPr>
      <w:r>
        <w:rPr>
          <w:rFonts w:ascii="Consolas" w:hAnsi="Consolas"/>
          <w:color w:val="B03060"/>
          <w:sz w:val="18"/>
        </w:rPr>
        <w:t>fix(mqtt): make the default client id unique per machine and name the flap cause</w:t>
      </w:r>
      <w:r>
        <w:t xml:space="preserve"> (item B + its tests)</w:t>
      </w:r>
    </w:p>
    <w:p>
      <w:pPr>
        <w:pStyle w:val="ListNumber"/>
      </w:pPr>
      <w:r>
        <w:rPr>
          <w:rFonts w:ascii="Consolas" w:hAnsi="Consolas"/>
          <w:color w:val="B03060"/>
          <w:sz w:val="18"/>
        </w:rPr>
        <w:t>build: stamp 2026 copyright across all assemblies</w:t>
      </w:r>
      <w:r>
        <w:t xml:space="preserve"> (item E)</w:t>
      </w:r>
    </w:p>
    <w:p>
      <w:pPr>
        <w:pStyle w:val="ListNumber"/>
      </w:pPr>
      <w:r>
        <w:rPr>
          <w:rFonts w:ascii="Consolas" w:hAnsi="Consolas"/>
          <w:color w:val="B03060"/>
          <w:sz w:val="18"/>
        </w:rPr>
        <w:t>feat(installer): auto-restart the service and ship the FOCAS2 native libraries</w:t>
      </w:r>
      <w:r>
        <w:t xml:space="preserve"> (item C, after both blockers are cleared)</w:t>
      </w:r>
    </w:p>
    <w:p>
      <w:pPr>
        <w:pStyle w:val="ListNumber"/>
      </w:pPr>
      <w:r>
        <w:rPr>
          <w:rFonts w:ascii="Consolas" w:hAnsi="Consolas"/>
          <w:color w:val="B03060"/>
          <w:sz w:val="18"/>
        </w:rPr>
        <w:t>feat(tools): catalogue-driven product list in the License Generator</w:t>
      </w:r>
      <w:r>
        <w:t xml:space="preserve"> (item D)</w:t>
      </w:r>
    </w:p>
    <w:p>
      <w:pPr>
        <w:pStyle w:val="ListNumber"/>
      </w:pPr>
      <w:r>
        <w:rPr>
          <w:rFonts w:ascii="Consolas" w:hAnsi="Consolas"/>
          <w:color w:val="B03060"/>
          <w:sz w:val="18"/>
        </w:rPr>
        <w:t>docs: Sony vs Rajendra UI comparison</w:t>
      </w:r>
      <w:r>
        <w:t xml:space="preserve"> (§2 text files)</w:t>
      </w:r>
    </w:p>
    <w:p>
      <w:r>
        <w:t>Items 1–3 and 5 are independently shippable today. Item 4 is blocked.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