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License-Driven Installer — Design &amp; Implementation Plan</w:t>
      </w:r>
    </w:p>
    <w:p>
      <w:r>
        <w:rPr>
          <w:b/>
        </w:rPr>
        <w:t>Status:</w:t>
      </w:r>
      <w:r>
        <w:t xml:space="preserve"> PROPOSAL. Nothing here is implemented. No ADR has been written yet.</w:t>
      </w:r>
    </w:p>
    <w:p>
      <w:r>
        <w:rPr>
          <w:b/>
        </w:rPr>
        <w:t>Date:</w:t>
      </w:r>
      <w:r>
        <w:t xml:space="preserve"> 2026-08-06</w:t>
      </w:r>
    </w:p>
    <w:p>
      <w:r>
        <w:rPr>
          <w:b/>
        </w:rPr>
        <w:t>Scope:</w:t>
      </w:r>
      <w:r>
        <w:t xml:space="preserve"> Licensing Layer 1 ("Packaging") per </w:t>
      </w:r>
      <w:r>
        <w:rPr>
          <w:rFonts w:ascii="Consolas" w:hAnsi="Consolas"/>
          <w:color w:val="A03030"/>
          <w:sz w:val="18"/>
        </w:rPr>
        <w:t>ARCHITECTURE_BLUEPRINT.md</w:t>
      </w:r>
      <w:r>
        <w:t xml:space="preserve"> §7.1 and Appendix A (</w:t>
      </w:r>
      <w:r>
        <w:rPr>
          <w:rFonts w:ascii="Consolas" w:hAnsi="Consolas"/>
          <w:color w:val="A03030"/>
          <w:sz w:val="18"/>
        </w:rPr>
        <w:t>Module delivery | Compile-time assemblies, per-edition installers | **LOCKED**</w:t>
      </w:r>
      <w:r>
        <w:t>).</w:t>
      </w:r>
    </w:p>
    <w:p>
      <w:r>
        <w:rPr>
          <w:b/>
        </w:rPr>
        <w:t>Non-scope:</w:t>
      </w:r>
      <w:r>
        <w:t xml:space="preserve"> Layers 2 and 3 (runtime activation, UI/API enforcement) already exist and this plan must not weaken either.</w:t>
      </w:r>
    </w:p>
    <w:p/>
    <w:p>
      <w:pPr>
        <w:pStyle w:val="Heading2"/>
      </w:pPr>
      <w:r>
        <w:t>1. Recommendation</w:t>
      </w:r>
    </w:p>
    <w:p>
      <w:r>
        <w:rPr>
          <w:b/>
        </w:rPr>
        <w:t>Build N per-edition MSIs from N per-edition publishes (Mechanism A1). Do not read the license file at install time (Mechanisms A2/A4). Do not use the manual feature tree for edition gating (Mechanism A3).</w:t>
      </w:r>
    </w:p>
    <w:p>
      <w:r>
        <w:t xml:space="preserve">The decisive reason is not preference, it is sequencing: </w:t>
      </w:r>
      <w:r>
        <w:rPr>
          <w:b/>
        </w:rPr>
        <w:t>ADR-0036</w:t>
      </w:r>
      <w:r>
        <w:t xml:space="preserve"> and </w:t>
      </w:r>
      <w:r>
        <w:rPr>
          <w:b/>
        </w:rPr>
        <w:t>ADR-0038</w:t>
      </w:r>
      <w:r>
        <w:t xml:space="preserve"> node-lock a license to a gateway id that </w:t>
      </w:r>
      <w:r>
        <w:rPr>
          <w:i/>
        </w:rPr>
        <w:t>does not exist until the product has been installed and started once</w:t>
      </w:r>
      <w:r>
        <w:t>. The documented issuance flow is literally:</w:t>
      </w:r>
    </w:p>
    <w:p>
      <w:r>
        <w:t xml:space="preserve">&gt; 1. Install → first start generates the gateway UUID at </w:t>
      </w:r>
      <w:r>
        <w:rPr>
          <w:rFonts w:ascii="Consolas" w:hAnsi="Consolas"/>
          <w:color w:val="A03030"/>
          <w:sz w:val="18"/>
        </w:rPr>
        <w:t>&lt;dataRoot&gt;/identity</w:t>
      </w:r>
      <w:r>
        <w:t xml:space="preserve">. &gt; 2. Operator reads the id from the Studio License page… &gt; 3. Elpis issues a license with </w:t>
      </w:r>
      <w:r>
        <w:rPr>
          <w:rFonts w:ascii="Consolas" w:hAnsi="Consolas"/>
          <w:color w:val="A03030"/>
          <w:sz w:val="18"/>
        </w:rPr>
        <w:t>gatewayId</w:t>
      </w:r>
      <w:r>
        <w:t xml:space="preserve"> = that id… &gt; — </w:t>
      </w:r>
      <w:r>
        <w:rPr>
          <w:rFonts w:ascii="Consolas" w:hAnsi="Consolas"/>
          <w:color w:val="A03030"/>
          <w:sz w:val="18"/>
        </w:rPr>
        <w:t>docs/decisions/0036-single-machine-license-binding.md</w:t>
      </w:r>
      <w:r>
        <w:t>, "Issuance flow"</w:t>
      </w:r>
    </w:p>
    <w:p>
      <w:r>
        <w:t xml:space="preserve">On a fresh machine there is </w:t>
      </w:r>
      <w:r>
        <w:rPr>
          <w:b/>
        </w:rPr>
        <w:t>no license file to point the installer at</w:t>
      </w:r>
      <w:r>
        <w:t xml:space="preserve">. Any design that asks the customer to supply </w:t>
      </w:r>
      <w:r>
        <w:rPr>
          <w:rFonts w:ascii="Consolas" w:hAnsi="Consolas"/>
          <w:color w:val="A03030"/>
          <w:sz w:val="18"/>
        </w:rPr>
        <w:t>edgelicense.json</w:t>
      </w:r>
      <w:r>
        <w:t xml:space="preserve"> during setup is inverted with respect to the product's own activation model, and would only ever work on re-installs or on floating (</w:t>
      </w:r>
      <w:r>
        <w:rPr>
          <w:rFonts w:ascii="Consolas" w:hAnsi="Consolas"/>
          <w:color w:val="A03030"/>
          <w:sz w:val="18"/>
        </w:rPr>
        <w:t>gatewayId == "*"</w:t>
      </w:r>
      <w:r>
        <w:t>) licenses.</w:t>
      </w:r>
    </w:p>
    <w:p>
      <w:r>
        <w:t>Three further findings shape the recommendation:</w:t>
      </w:r>
    </w:p>
    <w:p>
      <w:pPr>
        <w:pStyle w:val="ListNumber"/>
      </w:pPr>
      <w:r>
        <w:rPr>
          <w:b/>
        </w:rPr>
        <w:t>The runtime almost certainly cannot survive a missing adapter DLL today.</w:t>
      </w:r>
      <w:r>
        <w:t xml:space="preserve"> This is the</w:t>
      </w:r>
    </w:p>
    <w:p>
      <w:r>
        <w:t>biggest technical risk and it blocks every mechanism equally. See §5.</w:t>
      </w:r>
    </w:p>
    <w:p>
      <w:pPr>
        <w:pStyle w:val="ListNumber"/>
      </w:pPr>
      <w:r>
        <w:rPr>
          <w:b/>
        </w:rPr>
        <w:t>The strongest driver for this work is redistribution compliance, not download size.</w:t>
      </w:r>
    </w:p>
    <w:p>
      <w:r>
        <w:t xml:space="preserve">The current MSI ships </w:t>
      </w:r>
      <w:r>
        <w:rPr>
          <w:b/>
        </w:rPr>
        <w:t>~23.5 MB of Fanuc-licensed FOCAS2 native DLLs</w:t>
      </w:r>
      <w:r>
        <w:t xml:space="preserve"> to every customer, and </w:t>
      </w:r>
      <w:r>
        <w:rPr>
          <w:rFonts w:ascii="Consolas" w:hAnsi="Consolas"/>
          <w:color w:val="A03030"/>
          <w:sz w:val="18"/>
        </w:rPr>
        <w:t>docs/licensing/module-catalog.md</w:t>
      </w:r>
      <w:r>
        <w:t xml:space="preserve"> states we do </w:t>
      </w:r>
      <w:r>
        <w:rPr>
          <w:i/>
        </w:rPr>
        <w:t>not</w:t>
      </w:r>
      <w:r>
        <w:t xml:space="preserve"> redistribute them. See §6.3. This is a live contradiction, not a hypothetical.</w:t>
      </w:r>
    </w:p>
    <w:p>
      <w:pPr>
        <w:pStyle w:val="ListNumber"/>
      </w:pPr>
      <w:r>
        <w:rPr>
          <w:b/>
        </w:rPr>
        <w:t>This is not a new idea — it is an unshipped locked deliverable.</w:t>
      </w:r>
      <w:r>
        <w:t xml:space="preserve"> Blueprint Phase 3</w:t>
      </w:r>
    </w:p>
    <w:p>
      <w:r>
        <w:t>lists "Edition-based installer builds (Starter/Professional/Enterprise)"; CLAUDE.md §8 Phase 3 lists "</w:t>
      </w:r>
      <w:r>
        <w:rPr>
          <w:b/>
        </w:rPr>
        <w:t>Not started:</w:t>
      </w:r>
      <w:r>
        <w:t xml:space="preserve"> … edition installers".</w:t>
      </w:r>
    </w:p>
    <w:p>
      <w:r>
        <w:t xml:space="preserve">Consequently the plan below does </w:t>
      </w:r>
      <w:r>
        <w:rPr>
          <w:b/>
        </w:rPr>
        <w:t>not</w:t>
      </w:r>
      <w:r>
        <w:t xml:space="preserve"> open with "slice five editions". It opens with a half-day spike that decides whether the rest is even buildable, then a runtime graceful-absence refactor, then a </w:t>
      </w:r>
      <w:r>
        <w:rPr>
          <w:b/>
        </w:rPr>
        <w:t>two-edition</w:t>
      </w:r>
      <w:r>
        <w:t xml:space="preserve"> first shippable slice split on the one axis that has a real legal driver.</w:t>
      </w:r>
    </w:p>
    <w:p>
      <w:pPr>
        <w:pStyle w:val="Heading3"/>
      </w:pPr>
      <w:r>
        <w:t>The owner's framing, validated</w:t>
      </w:r>
    </w:p>
    <w:p>
      <w:r>
        <w:t>&gt; "I want to create an installer application or option based on license type — not in the &gt; EdgeConnect UI."</w:t>
      </w:r>
    </w:p>
    <w:p>
      <w:r>
        <w:t xml:space="preserve">The research </w:t>
      </w:r>
      <w:r>
        <w:rPr>
          <w:b/>
        </w:rPr>
        <w:t>supports</w:t>
      </w:r>
      <w:r>
        <w:t xml:space="preserve"> the stated interpretation. Blueprint §7.1 says it in as many words:</w:t>
      </w:r>
    </w:p>
    <w:p>
      <w:r>
        <w:t>&gt; "Build and ship edition-specific installers. Each edition includes only the protocol &gt; module assemblies for that tier. Customers on Starter edition literally don't receive the &gt; Modbus or OPC UA assemblies."</w:t>
      </w:r>
    </w:p>
    <w:p>
      <w:r>
        <w:t xml:space="preserve">One qualification: the phrase </w:t>
      </w:r>
      <w:r>
        <w:rPr>
          <w:i/>
        </w:rPr>
        <w:t>"installer application"</w:t>
      </w:r>
      <w:r>
        <w:t xml:space="preserve"> most literally describes Mechanism A4 (a licensing-aware launcher EXE). That specific reading is the one the evidence contradicts, for the ADR-0036 reason above. Everything else in the ask holds.</w:t>
      </w:r>
    </w:p>
    <w:p/>
    <w:p>
      <w:pPr>
        <w:pStyle w:val="Heading2"/>
      </w:pPr>
      <w:r>
        <w:t>2. Evidence base</w:t>
      </w:r>
    </w:p>
    <w:p>
      <w:r>
        <w:t>Everything below was read in this repository at commit-time of writing.</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8"/>
              </w:rPr>
            </w:r>
            <w:r>
              <w:rPr>
                <w:b/>
                <w:sz w:val="18"/>
              </w:rPr>
              <w:t>Source</w:t>
            </w:r>
          </w:p>
        </w:tc>
        <w:tc>
          <w:tcPr>
            <w:tcW w:type="dxa" w:w="4320"/>
          </w:tcPr>
          <w:p>
            <w:r>
              <w:rPr>
                <w:b/>
                <w:sz w:val="18"/>
              </w:rPr>
            </w:r>
            <w:r>
              <w:rPr>
                <w:b/>
                <w:sz w:val="18"/>
              </w:rPr>
              <w:t>What it establishes</w:t>
            </w:r>
          </w:p>
        </w:tc>
      </w:tr>
      <w:tr>
        <w:tc>
          <w:tcPr>
            <w:tcW w:type="dxa" w:w="4320"/>
          </w:tcPr>
          <w:p>
            <w:r>
              <w:rPr>
                <w:sz w:val="18"/>
              </w:rPr>
            </w:r>
            <w:r>
              <w:rPr>
                <w:rFonts w:ascii="Consolas" w:hAnsi="Consolas"/>
                <w:color w:val="A03030"/>
                <w:sz w:val="18"/>
              </w:rPr>
              <w:t>docs/ARCHITECTURE_BLUEPRINT.md</w:t>
            </w:r>
            <w:r>
              <w:rPr>
                <w:sz w:val="18"/>
              </w:rPr>
              <w:t xml:space="preserve"> §7.1</w:t>
            </w:r>
          </w:p>
        </w:tc>
        <w:tc>
          <w:tcPr>
            <w:tcW w:type="dxa" w:w="4320"/>
          </w:tcPr>
          <w:p>
            <w:r>
              <w:rPr>
                <w:sz w:val="18"/>
              </w:rPr>
            </w:r>
            <w:r>
              <w:rPr>
                <w:sz w:val="18"/>
              </w:rPr>
              <w:t>Packaging layer intent, verbatim. Edition table (</w:t>
            </w:r>
            <w:r>
              <w:rPr>
                <w:b/>
                <w:sz w:val="18"/>
              </w:rPr>
              <w:t>stale</w:t>
            </w:r>
            <w:r>
              <w:rPr>
                <w:sz w:val="18"/>
              </w:rPr>
              <w:t xml:space="preserve"> — see §3.3).</w:t>
            </w:r>
          </w:p>
        </w:tc>
      </w:tr>
      <w:tr>
        <w:tc>
          <w:tcPr>
            <w:tcW w:type="dxa" w:w="4320"/>
          </w:tcPr>
          <w:p>
            <w:r>
              <w:rPr>
                <w:sz w:val="18"/>
              </w:rPr>
            </w:r>
            <w:r>
              <w:rPr>
                <w:rFonts w:ascii="Consolas" w:hAnsi="Consolas"/>
                <w:color w:val="A03030"/>
                <w:sz w:val="18"/>
              </w:rPr>
              <w:t>docs/ARCHITECTURE_BLUEPRINT.md</w:t>
            </w:r>
            <w:r>
              <w:rPr>
                <w:sz w:val="18"/>
              </w:rPr>
              <w:t xml:space="preserve"> Appendix A</w:t>
            </w:r>
          </w:p>
        </w:tc>
        <w:tc>
          <w:tcPr>
            <w:tcW w:type="dxa" w:w="4320"/>
          </w:tcPr>
          <w:p>
            <w:r>
              <w:rPr>
                <w:sz w:val="18"/>
              </w:rPr>
            </w:r>
            <w:r>
              <w:rPr>
                <w:rFonts w:ascii="Consolas" w:hAnsi="Consolas"/>
                <w:color w:val="A03030"/>
                <w:sz w:val="18"/>
              </w:rPr>
              <w:t>Module delivery — compile-time assemblies, per-edition installers — LOCKED</w:t>
            </w:r>
            <w:r>
              <w:rPr>
                <w:sz w:val="18"/>
              </w:rPr>
              <w:t xml:space="preserve">; </w:t>
            </w:r>
            <w:r>
              <w:rPr>
                <w:rFonts w:ascii="Consolas" w:hAnsi="Consolas"/>
                <w:color w:val="A03030"/>
                <w:sz w:val="18"/>
              </w:rPr>
              <w:t>Licensing enforcement — 3 layers — LOCKED</w:t>
            </w:r>
            <w:r>
              <w:rPr>
                <w:sz w:val="18"/>
              </w:rPr>
              <w:t xml:space="preserve">; </w:t>
            </w:r>
            <w:r>
              <w:rPr>
                <w:rFonts w:ascii="Consolas" w:hAnsi="Consolas"/>
                <w:color w:val="A03030"/>
                <w:sz w:val="18"/>
              </w:rPr>
              <w:t>License mode — fully offline, no phone-home — LOCKED</w:t>
            </w:r>
            <w:r>
              <w:rPr>
                <w:sz w:val="18"/>
              </w:rPr>
              <w:t>.</w:t>
            </w:r>
          </w:p>
        </w:tc>
      </w:tr>
      <w:tr>
        <w:tc>
          <w:tcPr>
            <w:tcW w:type="dxa" w:w="4320"/>
          </w:tcPr>
          <w:p>
            <w:r>
              <w:rPr>
                <w:sz w:val="18"/>
              </w:rPr>
            </w:r>
            <w:r>
              <w:rPr>
                <w:rFonts w:ascii="Consolas" w:hAnsi="Consolas"/>
                <w:color w:val="A03030"/>
                <w:sz w:val="18"/>
              </w:rPr>
              <w:t>docs/ARCHITECTURE_BLUEPRINT.md</w:t>
            </w:r>
            <w:r>
              <w:rPr>
                <w:sz w:val="18"/>
              </w:rPr>
              <w:t xml:space="preserve"> §Phase 3</w:t>
            </w:r>
          </w:p>
        </w:tc>
        <w:tc>
          <w:tcPr>
            <w:tcW w:type="dxa" w:w="4320"/>
          </w:tcPr>
          <w:p>
            <w:r>
              <w:rPr>
                <w:sz w:val="18"/>
              </w:rPr>
            </w:r>
            <w:r>
              <w:rPr>
                <w:sz w:val="18"/>
              </w:rPr>
              <w:t>"Edition-based installer builds (Starter/Professional/Enterprise)" — a listed, never-delivered deliverable.</w:t>
            </w:r>
          </w:p>
        </w:tc>
      </w:tr>
      <w:tr>
        <w:tc>
          <w:tcPr>
            <w:tcW w:type="dxa" w:w="4320"/>
          </w:tcPr>
          <w:p>
            <w:r>
              <w:rPr>
                <w:sz w:val="18"/>
              </w:rPr>
            </w:r>
            <w:r>
              <w:rPr>
                <w:rFonts w:ascii="Consolas" w:hAnsi="Consolas"/>
                <w:color w:val="A03030"/>
                <w:sz w:val="18"/>
              </w:rPr>
              <w:t>src/ElpisEdgeConnect.Core/Licensing/LicenseEdition.cs</w:t>
            </w:r>
          </w:p>
        </w:tc>
        <w:tc>
          <w:tcPr>
            <w:tcW w:type="dxa" w:w="4320"/>
          </w:tcPr>
          <w:p>
            <w:r>
              <w:rPr>
                <w:sz w:val="18"/>
              </w:rPr>
            </w:r>
            <w:r>
              <w:rPr>
                <w:sz w:val="18"/>
              </w:rPr>
              <w:t xml:space="preserve">The </w:t>
            </w:r>
            <w:r>
              <w:rPr>
                <w:b/>
                <w:sz w:val="18"/>
              </w:rPr>
              <w:t>actual</w:t>
            </w:r>
            <w:r>
              <w:rPr>
                <w:sz w:val="18"/>
              </w:rPr>
              <w:t xml:space="preserve"> five editions.</w:t>
            </w:r>
          </w:p>
        </w:tc>
      </w:tr>
      <w:tr>
        <w:tc>
          <w:tcPr>
            <w:tcW w:type="dxa" w:w="4320"/>
          </w:tcPr>
          <w:p>
            <w:r>
              <w:rPr>
                <w:sz w:val="18"/>
              </w:rPr>
            </w:r>
            <w:r>
              <w:rPr>
                <w:rFonts w:ascii="Consolas" w:hAnsi="Consolas"/>
                <w:color w:val="A03030"/>
                <w:sz w:val="18"/>
              </w:rPr>
              <w:t>src/ElpisEdgeConnect.Core/Licensing/LicenseModuleKeys.cs</w:t>
            </w:r>
          </w:p>
        </w:tc>
        <w:tc>
          <w:tcPr>
            <w:tcW w:type="dxa" w:w="4320"/>
          </w:tcPr>
          <w:p>
            <w:r>
              <w:rPr>
                <w:sz w:val="18"/>
              </w:rPr>
            </w:r>
            <w:r>
              <w:rPr>
                <w:sz w:val="18"/>
              </w:rPr>
              <w:t xml:space="preserve">The </w:t>
            </w:r>
            <w:r>
              <w:rPr>
                <w:b/>
                <w:sz w:val="18"/>
              </w:rPr>
              <w:t>actual</w:t>
            </w:r>
            <w:r>
              <w:rPr>
                <w:sz w:val="18"/>
              </w:rPr>
              <w:t xml:space="preserve"> module key constants.</w:t>
            </w:r>
          </w:p>
        </w:tc>
      </w:tr>
      <w:tr>
        <w:tc>
          <w:tcPr>
            <w:tcW w:type="dxa" w:w="4320"/>
          </w:tcPr>
          <w:p>
            <w:r>
              <w:rPr>
                <w:sz w:val="18"/>
              </w:rPr>
            </w:r>
            <w:r>
              <w:rPr>
                <w:rFonts w:ascii="Consolas" w:hAnsi="Consolas"/>
                <w:color w:val="A03030"/>
                <w:sz w:val="18"/>
              </w:rPr>
              <w:t>src/ElpisEdgeConnect.Core/Licensing/LicenseEditionCatalog.cs</w:t>
            </w:r>
          </w:p>
        </w:tc>
        <w:tc>
          <w:tcPr>
            <w:tcW w:type="dxa" w:w="4320"/>
          </w:tcPr>
          <w:p>
            <w:r>
              <w:rPr>
                <w:sz w:val="18"/>
              </w:rPr>
            </w:r>
            <w:r>
              <w:rPr>
                <w:sz w:val="18"/>
              </w:rPr>
              <w:t xml:space="preserve">The </w:t>
            </w:r>
            <w:r>
              <w:rPr>
                <w:b/>
                <w:sz w:val="18"/>
              </w:rPr>
              <w:t>actual</w:t>
            </w:r>
            <w:r>
              <w:rPr>
                <w:sz w:val="18"/>
              </w:rPr>
              <w:t xml:space="preserve"> edition→module offering matrix.</w:t>
            </w:r>
          </w:p>
        </w:tc>
      </w:tr>
      <w:tr>
        <w:tc>
          <w:tcPr>
            <w:tcW w:type="dxa" w:w="4320"/>
          </w:tcPr>
          <w:p>
            <w:r>
              <w:rPr>
                <w:sz w:val="18"/>
              </w:rPr>
            </w:r>
            <w:r>
              <w:rPr>
                <w:rFonts w:ascii="Consolas" w:hAnsi="Consolas"/>
                <w:color w:val="A03030"/>
                <w:sz w:val="18"/>
              </w:rPr>
              <w:t>src/ElpisEdgeConnect.Host/EdgeConnectComposition.cs</w:t>
            </w:r>
          </w:p>
        </w:tc>
        <w:tc>
          <w:tcPr>
            <w:tcW w:type="dxa" w:w="4320"/>
          </w:tcPr>
          <w:p>
            <w:r>
              <w:rPr>
                <w:sz w:val="18"/>
              </w:rPr>
            </w:r>
            <w:r>
              <w:rPr>
                <w:sz w:val="18"/>
              </w:rPr>
              <w:t xml:space="preserve">Composition root; unconditional adapter wiring. </w:t>
            </w:r>
            <w:r>
              <w:rPr>
                <w:b/>
                <w:sz w:val="18"/>
              </w:rPr>
              <w:t>Primary risk site.</w:t>
            </w:r>
          </w:p>
        </w:tc>
      </w:tr>
      <w:tr>
        <w:tc>
          <w:tcPr>
            <w:tcW w:type="dxa" w:w="4320"/>
          </w:tcPr>
          <w:p>
            <w:r>
              <w:rPr>
                <w:sz w:val="18"/>
              </w:rPr>
            </w:r>
            <w:r>
              <w:rPr>
                <w:rFonts w:ascii="Consolas" w:hAnsi="Consolas"/>
                <w:color w:val="A03030"/>
                <w:sz w:val="18"/>
              </w:rPr>
              <w:t>src/ElpisEdgeConnect.Management/Hosting/ManagementHostingExtensions.cs</w:t>
            </w:r>
          </w:p>
        </w:tc>
        <w:tc>
          <w:tcPr>
            <w:tcW w:type="dxa" w:w="4320"/>
          </w:tcPr>
          <w:p>
            <w:r>
              <w:rPr>
                <w:sz w:val="18"/>
              </w:rPr>
            </w:r>
            <w:r>
              <w:rPr>
                <w:sz w:val="18"/>
              </w:rPr>
              <w:t xml:space="preserve">Studio startup wiring; unconditional per-protocol probe services + endpoint mapping. </w:t>
            </w:r>
            <w:r>
              <w:rPr>
                <w:b/>
                <w:sz w:val="18"/>
              </w:rPr>
              <w:t>Secondary risk site.</w:t>
            </w:r>
          </w:p>
        </w:tc>
      </w:tr>
      <w:tr>
        <w:tc>
          <w:tcPr>
            <w:tcW w:type="dxa" w:w="4320"/>
          </w:tcPr>
          <w:p>
            <w:r>
              <w:rPr>
                <w:sz w:val="18"/>
              </w:rPr>
            </w:r>
            <w:r>
              <w:rPr>
                <w:rFonts w:ascii="Consolas" w:hAnsi="Consolas"/>
                <w:color w:val="A03030"/>
                <w:sz w:val="18"/>
              </w:rPr>
              <w:t>installer/ElpisEdgeConnect.wxs</w:t>
            </w:r>
          </w:p>
        </w:tc>
        <w:tc>
          <w:tcPr>
            <w:tcW w:type="dxa" w:w="4320"/>
          </w:tcPr>
          <w:p>
            <w:r>
              <w:rPr>
                <w:sz w:val="18"/>
              </w:rPr>
            </w:r>
            <w:r>
              <w:rPr>
                <w:sz w:val="18"/>
              </w:rPr>
              <w:t xml:space="preserve">Single MSI, </w:t>
            </w:r>
            <w:r>
              <w:rPr>
                <w:rFonts w:ascii="Consolas" w:hAnsi="Consolas"/>
                <w:color w:val="A03030"/>
                <w:sz w:val="18"/>
              </w:rPr>
              <w:t>WixUI_FeatureTree</w:t>
            </w:r>
            <w:r>
              <w:rPr>
                <w:sz w:val="18"/>
              </w:rPr>
              <w:t xml:space="preserve">, two harvest ComponentGroups, fixed </w:t>
            </w:r>
            <w:r>
              <w:rPr>
                <w:rFonts w:ascii="Consolas" w:hAnsi="Consolas"/>
                <w:color w:val="A03030"/>
                <w:sz w:val="18"/>
              </w:rPr>
              <w:t>UpgradeCode</w:t>
            </w:r>
            <w:r>
              <w:rPr>
                <w:sz w:val="18"/>
              </w:rPr>
              <w:t>.</w:t>
            </w:r>
          </w:p>
        </w:tc>
      </w:tr>
      <w:tr>
        <w:tc>
          <w:tcPr>
            <w:tcW w:type="dxa" w:w="4320"/>
          </w:tcPr>
          <w:p>
            <w:r>
              <w:rPr>
                <w:sz w:val="18"/>
              </w:rPr>
            </w:r>
            <w:r>
              <w:rPr>
                <w:rFonts w:ascii="Consolas" w:hAnsi="Consolas"/>
                <w:color w:val="A03030"/>
                <w:sz w:val="18"/>
              </w:rPr>
              <w:t>installer/ElpisEdgeConnect.Bundle.wxs</w:t>
            </w:r>
          </w:p>
        </w:tc>
        <w:tc>
          <w:tcPr>
            <w:tcW w:type="dxa" w:w="4320"/>
          </w:tcPr>
          <w:p>
            <w:r>
              <w:rPr>
                <w:sz w:val="18"/>
              </w:rPr>
            </w:r>
            <w:r>
              <w:rPr>
                <w:sz w:val="18"/>
              </w:rPr>
              <w:t xml:space="preserve">Burn bundle, its own </w:t>
            </w:r>
            <w:r>
              <w:rPr>
                <w:rFonts w:ascii="Consolas" w:hAnsi="Consolas"/>
                <w:color w:val="A03030"/>
                <w:sz w:val="18"/>
              </w:rPr>
              <w:t>UpgradeCode</w:t>
            </w:r>
            <w:r>
              <w:rPr>
                <w:sz w:val="18"/>
              </w:rPr>
              <w:t xml:space="preserve">, single </w:t>
            </w:r>
            <w:r>
              <w:rPr>
                <w:rFonts w:ascii="Consolas" w:hAnsi="Consolas"/>
                <w:color w:val="A03030"/>
                <w:sz w:val="18"/>
              </w:rPr>
              <w:t>&lt;MsiPackage&gt;</w:t>
            </w:r>
            <w:r>
              <w:rPr>
                <w:sz w:val="18"/>
              </w:rPr>
              <w:t>.</w:t>
            </w:r>
          </w:p>
        </w:tc>
      </w:tr>
      <w:tr>
        <w:tc>
          <w:tcPr>
            <w:tcW w:type="dxa" w:w="4320"/>
          </w:tcPr>
          <w:p>
            <w:r>
              <w:rPr>
                <w:sz w:val="18"/>
              </w:rPr>
            </w:r>
            <w:r>
              <w:rPr>
                <w:rFonts w:ascii="Consolas" w:hAnsi="Consolas"/>
                <w:color w:val="A03030"/>
                <w:sz w:val="18"/>
              </w:rPr>
              <w:t>docs/installer/creating-the-installer.md</w:t>
            </w:r>
          </w:p>
        </w:tc>
        <w:tc>
          <w:tcPr>
            <w:tcW w:type="dxa" w:w="4320"/>
          </w:tcPr>
          <w:p>
            <w:r>
              <w:rPr>
                <w:sz w:val="18"/>
              </w:rPr>
            </w:r>
            <w:r>
              <w:rPr>
                <w:sz w:val="18"/>
              </w:rPr>
              <w:t xml:space="preserve">Current build recipe: </w:t>
            </w:r>
            <w:r>
              <w:rPr>
                <w:rFonts w:ascii="Consolas" w:hAnsi="Consolas"/>
                <w:color w:val="A03030"/>
                <w:sz w:val="18"/>
              </w:rPr>
              <w:t>-d Version=</w:t>
            </w:r>
            <w:r>
              <w:rPr>
                <w:sz w:val="18"/>
              </w:rPr>
              <w:t xml:space="preserve">, two </w:t>
            </w:r>
            <w:r>
              <w:rPr>
                <w:rFonts w:ascii="Consolas" w:hAnsi="Consolas"/>
                <w:color w:val="A03030"/>
                <w:sz w:val="18"/>
              </w:rPr>
              <w:t>-ext</w:t>
            </w:r>
            <w:r>
              <w:rPr>
                <w:sz w:val="18"/>
              </w:rPr>
              <w:t>, three bindpaths.</w:t>
            </w:r>
          </w:p>
        </w:tc>
      </w:tr>
      <w:tr>
        <w:tc>
          <w:tcPr>
            <w:tcW w:type="dxa" w:w="4320"/>
          </w:tcPr>
          <w:p>
            <w:r>
              <w:rPr>
                <w:sz w:val="18"/>
              </w:rPr>
            </w:r>
            <w:r>
              <w:rPr>
                <w:rFonts w:ascii="Consolas" w:hAnsi="Consolas"/>
                <w:color w:val="A03030"/>
                <w:sz w:val="18"/>
              </w:rPr>
              <w:t>docs/decisions/0035-unlicensed-runtime-cutoff.md</w:t>
            </w:r>
          </w:p>
        </w:tc>
        <w:tc>
          <w:tcPr>
            <w:tcW w:type="dxa" w:w="4320"/>
          </w:tcPr>
          <w:p>
            <w:r>
              <w:rPr>
                <w:sz w:val="18"/>
              </w:rPr>
            </w:r>
            <w:r>
              <w:rPr>
                <w:sz w:val="18"/>
              </w:rPr>
              <w:t xml:space="preserve">2h hard stop when status ≠ </w:t>
            </w:r>
            <w:r>
              <w:rPr>
                <w:rFonts w:ascii="Consolas" w:hAnsi="Consolas"/>
                <w:color w:val="A03030"/>
                <w:sz w:val="18"/>
              </w:rPr>
              <w:t>Valid</w:t>
            </w:r>
            <w:r>
              <w:rPr>
                <w:sz w:val="18"/>
              </w:rPr>
              <w:t>.</w:t>
            </w:r>
          </w:p>
        </w:tc>
      </w:tr>
      <w:tr>
        <w:tc>
          <w:tcPr>
            <w:tcW w:type="dxa" w:w="4320"/>
          </w:tcPr>
          <w:p>
            <w:r>
              <w:rPr>
                <w:sz w:val="18"/>
              </w:rPr>
            </w:r>
            <w:r>
              <w:rPr>
                <w:rFonts w:ascii="Consolas" w:hAnsi="Consolas"/>
                <w:color w:val="A03030"/>
                <w:sz w:val="18"/>
              </w:rPr>
              <w:t>docs/decisions/0036-single-machine-license-binding.md</w:t>
            </w:r>
          </w:p>
        </w:tc>
        <w:tc>
          <w:tcPr>
            <w:tcW w:type="dxa" w:w="4320"/>
          </w:tcPr>
          <w:p>
            <w:r>
              <w:rPr>
                <w:sz w:val="18"/>
              </w:rPr>
            </w:r>
            <w:r>
              <w:rPr>
                <w:sz w:val="18"/>
              </w:rPr>
              <w:t xml:space="preserve">Node-locking + issuance flow. </w:t>
            </w:r>
            <w:r>
              <w:rPr>
                <w:b/>
                <w:sz w:val="18"/>
              </w:rPr>
              <w:t>Decisive.</w:t>
            </w:r>
          </w:p>
        </w:tc>
      </w:tr>
      <w:tr>
        <w:tc>
          <w:tcPr>
            <w:tcW w:type="dxa" w:w="4320"/>
          </w:tcPr>
          <w:p>
            <w:r>
              <w:rPr>
                <w:sz w:val="18"/>
              </w:rPr>
            </w:r>
            <w:r>
              <w:rPr>
                <w:rFonts w:ascii="Consolas" w:hAnsi="Consolas"/>
                <w:color w:val="A03030"/>
                <w:sz w:val="18"/>
              </w:rPr>
              <w:t>docs/decisions/0038-machine-anchored-gateway-identity.md</w:t>
            </w:r>
          </w:p>
        </w:tc>
        <w:tc>
          <w:tcPr>
            <w:tcW w:type="dxa" w:w="4320"/>
          </w:tcPr>
          <w:p>
            <w:r>
              <w:rPr>
                <w:sz w:val="18"/>
              </w:rPr>
            </w:r>
            <w:r>
              <w:rPr>
                <w:sz w:val="18"/>
              </w:rPr>
              <w:t>Identity survives data-root deletion (HKLM + machine-wide file).</w:t>
            </w:r>
          </w:p>
        </w:tc>
      </w:tr>
      <w:tr>
        <w:tc>
          <w:tcPr>
            <w:tcW w:type="dxa" w:w="4320"/>
          </w:tcPr>
          <w:p>
            <w:r>
              <w:rPr>
                <w:sz w:val="18"/>
              </w:rPr>
            </w:r>
            <w:r>
              <w:rPr>
                <w:rFonts w:ascii="Consolas" w:hAnsi="Consolas"/>
                <w:color w:val="A03030"/>
                <w:sz w:val="18"/>
              </w:rPr>
              <w:t>docs/licensing/module-catalog.md</w:t>
            </w:r>
          </w:p>
        </w:tc>
        <w:tc>
          <w:tcPr>
            <w:tcW w:type="dxa" w:w="4320"/>
          </w:tcPr>
          <w:p>
            <w:r>
              <w:rPr>
                <w:sz w:val="18"/>
              </w:rPr>
            </w:r>
            <w:r>
              <w:rPr>
                <w:sz w:val="18"/>
              </w:rPr>
              <w:t xml:space="preserve">Module keys, DI enforcement semantics, </w:t>
            </w:r>
            <w:r>
              <w:rPr>
                <w:b/>
                <w:sz w:val="18"/>
              </w:rPr>
              <w:t>third-party redistribution posture</w:t>
            </w:r>
            <w:r>
              <w:rPr>
                <w:sz w:val="18"/>
              </w:rPr>
              <w:t>.</w:t>
            </w:r>
          </w:p>
        </w:tc>
      </w:tr>
      <w:tr>
        <w:tc>
          <w:tcPr>
            <w:tcW w:type="dxa" w:w="4320"/>
          </w:tcPr>
          <w:p>
            <w:r>
              <w:rPr>
                <w:sz w:val="18"/>
              </w:rPr>
            </w:r>
            <w:r>
              <w:rPr>
                <w:rFonts w:ascii="Consolas" w:hAnsi="Consolas"/>
                <w:color w:val="A03030"/>
                <w:sz w:val="18"/>
              </w:rPr>
              <w:t>docs/licensing/license-generator-app.md</w:t>
            </w:r>
          </w:p>
        </w:tc>
        <w:tc>
          <w:tcPr>
            <w:tcW w:type="dxa" w:w="4320"/>
          </w:tcPr>
          <w:p>
            <w:r>
              <w:rPr>
                <w:sz w:val="18"/>
              </w:rPr>
            </w:r>
            <w:r>
              <w:rPr>
                <w:sz w:val="18"/>
              </w:rPr>
              <w:t xml:space="preserve">Edition dropdown drives offered modules via </w:t>
            </w:r>
            <w:r>
              <w:rPr>
                <w:rFonts w:ascii="Consolas" w:hAnsi="Consolas"/>
                <w:color w:val="A03030"/>
                <w:sz w:val="18"/>
              </w:rPr>
              <w:t>LicenseEditionCatalog</w:t>
            </w:r>
            <w:r>
              <w:rPr>
                <w:sz w:val="18"/>
              </w:rPr>
              <w:t>.</w:t>
            </w:r>
          </w:p>
        </w:tc>
      </w:tr>
      <w:tr>
        <w:tc>
          <w:tcPr>
            <w:tcW w:type="dxa" w:w="4320"/>
          </w:tcPr>
          <w:p>
            <w:r>
              <w:rPr>
                <w:sz w:val="18"/>
              </w:rPr>
            </w:r>
            <w:r>
              <w:rPr>
                <w:rFonts w:ascii="Consolas" w:hAnsi="Consolas"/>
                <w:color w:val="A03030"/>
                <w:sz w:val="18"/>
              </w:rPr>
              <w:t>publish/Management/</w:t>
            </w:r>
            <w:r>
              <w:rPr>
                <w:sz w:val="18"/>
              </w:rPr>
              <w:t xml:space="preserve"> (real build output on disk)</w:t>
            </w:r>
          </w:p>
        </w:tc>
        <w:tc>
          <w:tcPr>
            <w:tcW w:type="dxa" w:w="4320"/>
          </w:tcPr>
          <w:p>
            <w:r>
              <w:rPr>
                <w:sz w:val="18"/>
              </w:rPr>
            </w:r>
            <w:r>
              <w:rPr>
                <w:sz w:val="18"/>
              </w:rPr>
              <w:t>Actual DLL names and byte sizes quoted throughout.</w:t>
            </w:r>
          </w:p>
        </w:tc>
      </w:tr>
    </w:tbl>
    <w:p/>
    <w:p/>
    <w:p>
      <w:pPr>
        <w:pStyle w:val="Heading2"/>
      </w:pPr>
      <w:r>
        <w:t>3. What actually exists today</w:t>
      </w:r>
    </w:p>
    <w:p>
      <w:pPr>
        <w:pStyle w:val="Heading3"/>
      </w:pPr>
      <w:r>
        <w:t>3.1 Editions (code truth)</w:t>
      </w:r>
    </w:p>
    <w:p>
      <w:r>
        <w:rPr>
          <w:rFonts w:ascii="Consolas" w:hAnsi="Consolas"/>
          <w:color w:val="A03030"/>
          <w:sz w:val="18"/>
        </w:rPr>
        <w:t>src/ElpisEdgeConnect.Core/Licensing/LicenseEdition.cs</w:t>
      </w:r>
      <w:r>
        <w:t>:</w:t>
      </w:r>
    </w:p>
    <w:p>
      <w:pPr>
        <w:pStyle w:val="CodeBlock"/>
      </w:pPr>
      <w:r>
        <w:t>public enum LicenseEdition</w:t>
      </w:r>
    </w:p>
    <w:p>
      <w:pPr>
        <w:pStyle w:val="CodeBlock"/>
      </w:pPr>
      <w:r>
        <w:t>{</w:t>
      </w:r>
    </w:p>
    <w:p>
      <w:pPr>
        <w:pStyle w:val="CodeBlock"/>
      </w:pPr>
      <w:r>
        <w:t xml:space="preserve">    Unknown = 0, Starter = 1, Professional = 2,</w:t>
      </w:r>
    </w:p>
    <w:p>
      <w:pPr>
        <w:pStyle w:val="CodeBlock"/>
      </w:pPr>
      <w:r>
        <w:t xml:space="preserve">    Enterprise = 3, CncPro = 4, TrialPeriod = 5,</w:t>
      </w:r>
    </w:p>
    <w:p>
      <w:pPr>
        <w:pStyle w:val="CodeBlock"/>
      </w:pPr>
      <w:r>
        <w:t>}</w:t>
      </w:r>
    </w:p>
    <w:p>
      <w:pPr>
        <w:pStyle w:val="Heading3"/>
      </w:pPr>
      <w:r>
        <w:t>3.2 Edition → offered modules (code truth)</w:t>
      </w:r>
    </w:p>
    <w:p>
      <w:r>
        <w:t xml:space="preserve">From the header of </w:t>
      </w:r>
      <w:r>
        <w:rPr>
          <w:rFonts w:ascii="Consolas" w:hAnsi="Consolas"/>
          <w:color w:val="A03030"/>
          <w:sz w:val="18"/>
        </w:rPr>
        <w:t>src/ElpisEdgeConnect.Core/Licensing/LicenseEditionCatalog.cs</w:t>
      </w:r>
      <w:r>
        <w:t>, verbatim:</w:t>
      </w:r>
    </w:p>
    <w:p>
      <w:pPr>
        <w:pStyle w:val="CodeBlock"/>
      </w:pPr>
      <w:r>
        <w:t xml:space="preserve">  Edition       Sources                                 Destinations</w:t>
      </w:r>
    </w:p>
    <w:p>
      <w:pPr>
        <w:pStyle w:val="CodeBlock"/>
      </w:pPr>
      <w:r>
        <w:t xml:space="preserve">  ----------    -----------------------------------     ------------------</w:t>
      </w:r>
    </w:p>
    <w:p>
      <w:pPr>
        <w:pStyle w:val="CodeBlock"/>
      </w:pPr>
      <w:r>
        <w:t xml:space="preserve">  Unknown(dev)  all                                     all</w:t>
      </w:r>
    </w:p>
    <w:p>
      <w:pPr>
        <w:pStyle w:val="CodeBlock"/>
      </w:pPr>
      <w:r>
        <w:t xml:space="preserve">  Starter       Modbus TCP only                         MQTT only</w:t>
      </w:r>
    </w:p>
    <w:p>
      <w:pPr>
        <w:pStyle w:val="CodeBlock"/>
      </w:pPr>
      <w:r>
        <w:t xml:space="preserve">  Professional  all EXCEPT OPC UA Client                MQTT only</w:t>
      </w:r>
    </w:p>
    <w:p>
      <w:pPr>
        <w:pStyle w:val="CodeBlock"/>
      </w:pPr>
      <w:r>
        <w:t xml:space="preserve">  CncPro        FOCAS2 + Brother HTTP + MTConnect only   MQTT only</w:t>
      </w:r>
    </w:p>
    <w:p>
      <w:pPr>
        <w:pStyle w:val="CodeBlock"/>
      </w:pPr>
      <w:r>
        <w:t xml:space="preserve">  Enterprise    all                                     MQTT + OPC UA Server</w:t>
      </w:r>
    </w:p>
    <w:p>
      <w:pPr>
        <w:pStyle w:val="CodeBlock"/>
      </w:pPr>
      <w:r>
        <w:t xml:space="preserve">  TrialPeriod   all                                     all</w:t>
      </w:r>
    </w:p>
    <w:p>
      <w:r>
        <w:t>Module keys (</w:t>
      </w:r>
      <w:r>
        <w:rPr>
          <w:rFonts w:ascii="Consolas" w:hAnsi="Consolas"/>
          <w:color w:val="A03030"/>
          <w:sz w:val="18"/>
        </w:rPr>
        <w:t>LicenseModuleKeys.cs</w:t>
      </w:r>
      <w:r>
        <w:t>), quoted:</w:t>
      </w:r>
    </w:p>
    <w:p>
      <w:r>
        <w:rPr>
          <w:rFonts w:ascii="Consolas" w:hAnsi="Consolas"/>
          <w:color w:val="A03030"/>
          <w:sz w:val="18"/>
        </w:rPr>
        <w:t>core-runtime</w:t>
      </w:r>
      <w:r>
        <w:t xml:space="preserve">, </w:t>
      </w:r>
      <w:r>
        <w:rPr>
          <w:rFonts w:ascii="Consolas" w:hAnsi="Consolas"/>
          <w:color w:val="A03030"/>
          <w:sz w:val="18"/>
        </w:rPr>
        <w:t>sink-mqtt</w:t>
      </w:r>
      <w:r>
        <w:t xml:space="preserve">, </w:t>
      </w:r>
      <w:r>
        <w:rPr>
          <w:rFonts w:ascii="Consolas" w:hAnsi="Consolas"/>
          <w:color w:val="A03030"/>
          <w:sz w:val="18"/>
        </w:rPr>
        <w:t>sink-opc-ua-server</w:t>
      </w:r>
      <w:r>
        <w:t xml:space="preserve">, </w:t>
      </w:r>
      <w:r>
        <w:rPr>
          <w:rFonts w:ascii="Consolas" w:hAnsi="Consolas"/>
          <w:color w:val="A03030"/>
          <w:sz w:val="18"/>
        </w:rPr>
        <w:t>sink-http</w:t>
      </w:r>
      <w:r>
        <w:t xml:space="preserve"> </w:t>
      </w:r>
      <w:r>
        <w:rPr>
          <w:i/>
        </w:rPr>
        <w:t>(reserved)</w:t>
      </w:r>
      <w:r>
        <w:t xml:space="preserve">, </w:t>
      </w:r>
      <w:r>
        <w:rPr>
          <w:rFonts w:ascii="Consolas" w:hAnsi="Consolas"/>
          <w:color w:val="A03030"/>
          <w:sz w:val="18"/>
        </w:rPr>
        <w:t>sink-tcp</w:t>
      </w:r>
      <w:r>
        <w:t xml:space="preserve"> </w:t>
      </w:r>
      <w:r>
        <w:rPr>
          <w:i/>
        </w:rPr>
        <w:t>(reserved)</w:t>
      </w:r>
      <w:r>
        <w:t xml:space="preserve">, </w:t>
      </w:r>
      <w:r>
        <w:rPr>
          <w:rFonts w:ascii="Consolas" w:hAnsi="Consolas"/>
          <w:color w:val="A03030"/>
          <w:sz w:val="18"/>
        </w:rPr>
        <w:t>source-modbus-tcp</w:t>
      </w:r>
      <w:r>
        <w:t xml:space="preserve">, </w:t>
      </w:r>
      <w:r>
        <w:rPr>
          <w:rFonts w:ascii="Consolas" w:hAnsi="Consolas"/>
          <w:color w:val="A03030"/>
          <w:sz w:val="18"/>
        </w:rPr>
        <w:t>source-focas2</w:t>
      </w:r>
      <w:r>
        <w:t xml:space="preserve">, </w:t>
      </w:r>
      <w:r>
        <w:rPr>
          <w:rFonts w:ascii="Consolas" w:hAnsi="Consolas"/>
          <w:color w:val="A03030"/>
          <w:sz w:val="18"/>
        </w:rPr>
        <w:t>source-mtconnect</w:t>
      </w:r>
      <w:r>
        <w:t xml:space="preserve">, </w:t>
      </w:r>
      <w:r>
        <w:rPr>
          <w:rFonts w:ascii="Consolas" w:hAnsi="Consolas"/>
          <w:color w:val="A03030"/>
          <w:sz w:val="18"/>
        </w:rPr>
        <w:t>source-brother-http</w:t>
      </w:r>
      <w:r>
        <w:t xml:space="preserve">, </w:t>
      </w:r>
      <w:r>
        <w:rPr>
          <w:rFonts w:ascii="Consolas" w:hAnsi="Consolas"/>
          <w:color w:val="A03030"/>
          <w:sz w:val="18"/>
        </w:rPr>
        <w:t>source-s7</w:t>
      </w:r>
      <w:r>
        <w:t xml:space="preserve">, </w:t>
      </w:r>
      <w:r>
        <w:rPr>
          <w:rFonts w:ascii="Consolas" w:hAnsi="Consolas"/>
          <w:color w:val="A03030"/>
          <w:sz w:val="18"/>
        </w:rPr>
        <w:t>source-opc-ua-client</w:t>
      </w:r>
      <w:r>
        <w:t xml:space="preserve">, </w:t>
      </w:r>
      <w:r>
        <w:rPr>
          <w:rFonts w:ascii="Consolas" w:hAnsi="Consolas"/>
          <w:color w:val="A03030"/>
          <w:sz w:val="18"/>
        </w:rPr>
        <w:t>source-ethernet-ip</w:t>
      </w:r>
      <w:r>
        <w:t xml:space="preserve">, </w:t>
      </w:r>
      <w:r>
        <w:rPr>
          <w:rFonts w:ascii="Consolas" w:hAnsi="Consolas"/>
          <w:color w:val="A03030"/>
          <w:sz w:val="18"/>
        </w:rPr>
        <w:t>source-melsec</w:t>
      </w:r>
      <w:r>
        <w:t xml:space="preserve">, </w:t>
      </w:r>
      <w:r>
        <w:rPr>
          <w:rFonts w:ascii="Consolas" w:hAnsi="Consolas"/>
          <w:color w:val="A03030"/>
          <w:sz w:val="18"/>
        </w:rPr>
        <w:t>connectivity-studio</w:t>
      </w:r>
      <w:r>
        <w:t xml:space="preserve">, </w:t>
      </w:r>
      <w:r>
        <w:rPr>
          <w:rFonts w:ascii="Consolas" w:hAnsi="Consolas"/>
          <w:color w:val="A03030"/>
          <w:sz w:val="18"/>
        </w:rPr>
        <w:t>historian-bridge</w:t>
      </w:r>
      <w:r>
        <w:t xml:space="preserve"> </w:t>
      </w:r>
      <w:r>
        <w:rPr>
          <w:i/>
        </w:rPr>
        <w:t>(reserved)</w:t>
      </w:r>
      <w:r>
        <w:t>.</w:t>
      </w:r>
    </w:p>
    <w:p>
      <w:r>
        <w:t xml:space="preserve">&gt; </w:t>
      </w:r>
      <w:r>
        <w:rPr>
          <w:b/>
        </w:rPr>
        <w:t>Trap.</w:t>
      </w:r>
      <w:r>
        <w:t xml:space="preserve"> </w:t>
      </w:r>
      <w:r>
        <w:rPr>
          <w:rFonts w:ascii="Consolas" w:hAnsi="Consolas"/>
          <w:color w:val="A03030"/>
          <w:sz w:val="18"/>
        </w:rPr>
        <w:t>LicenseModuleKeys.SourceOpcUaClient</w:t>
      </w:r>
      <w:r>
        <w:t xml:space="preserve"> is </w:t>
      </w:r>
      <w:r>
        <w:rPr>
          <w:rFonts w:ascii="Consolas" w:hAnsi="Consolas"/>
          <w:color w:val="A03030"/>
          <w:sz w:val="18"/>
        </w:rPr>
        <w:t>"source-opc-ua-client"</w:t>
      </w:r>
      <w:r>
        <w:t xml:space="preserve">, but the &gt; adapter, the issued licenses, the Studio picker and the generator all use &gt; </w:t>
      </w:r>
      <w:r>
        <w:rPr>
          <w:b/>
        </w:rPr>
        <w:t>`"source-opcua-client"`</w:t>
      </w:r>
      <w:r>
        <w:t xml:space="preserve">. </w:t>
      </w:r>
      <w:r>
        <w:rPr>
          <w:rFonts w:ascii="Consolas" w:hAnsi="Consolas"/>
          <w:color w:val="A03030"/>
          <w:sz w:val="18"/>
        </w:rPr>
        <w:t>LicenseEditionCatalog</w:t>
      </w:r>
      <w:r>
        <w:t xml:space="preserve"> hard-codes the literal and warns: &gt; </w:t>
      </w:r>
      <w:r>
        <w:rPr>
          <w:i/>
        </w:rPr>
        <w:t>"do NOT swap in the mismatched constant."</w:t>
      </w:r>
      <w:r>
        <w:t xml:space="preserve"> Any module→assembly map built for packaging &gt; must use the </w:t>
      </w:r>
      <w:r>
        <w:rPr>
          <w:b/>
        </w:rPr>
        <w:t>real</w:t>
      </w:r>
      <w:r>
        <w:t xml:space="preserve"> key, not the constant.</w:t>
      </w:r>
    </w:p>
    <w:p>
      <w:pPr>
        <w:pStyle w:val="Heading3"/>
      </w:pPr>
      <w:r>
        <w:t>3.3 Documented editions ≠ coded editions (drift to resolve before building)</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Blueprint §7.1 table</w:t>
            </w:r>
          </w:p>
        </w:tc>
        <w:tc>
          <w:tcPr>
            <w:tcW w:type="dxa" w:w="2880"/>
          </w:tcPr>
          <w:p>
            <w:r>
              <w:rPr>
                <w:b/>
                <w:sz w:val="18"/>
              </w:rPr>
            </w:r>
            <w:r>
              <w:rPr>
                <w:b/>
                <w:sz w:val="18"/>
              </w:rPr>
              <w:t>Code (</w:t>
            </w:r>
            <w:r>
              <w:rPr>
                <w:rFonts w:ascii="Consolas" w:hAnsi="Consolas"/>
                <w:b/>
                <w:color w:val="A03030"/>
                <w:sz w:val="18"/>
              </w:rPr>
              <w:t>LicenseEditionCatalog</w:t>
            </w:r>
            <w:r>
              <w:rPr>
                <w:b/>
                <w:sz w:val="18"/>
              </w:rPr>
              <w:t>)</w:t>
            </w:r>
          </w:p>
        </w:tc>
      </w:tr>
      <w:tr>
        <w:tc>
          <w:tcPr>
            <w:tcW w:type="dxa" w:w="2880"/>
          </w:tcPr>
          <w:p>
            <w:r>
              <w:rPr>
                <w:sz w:val="18"/>
              </w:rPr>
            </w:r>
            <w:r>
              <w:rPr>
                <w:sz w:val="18"/>
              </w:rPr>
              <w:t>Starter</w:t>
            </w:r>
          </w:p>
        </w:tc>
        <w:tc>
          <w:tcPr>
            <w:tcW w:type="dxa" w:w="2880"/>
          </w:tcPr>
          <w:p>
            <w:r>
              <w:rPr>
                <w:sz w:val="18"/>
              </w:rPr>
            </w:r>
            <w:r>
              <w:rPr>
                <w:sz w:val="18"/>
              </w:rPr>
              <w:t>2 of {Focas2, MtLinki, MTConnect, BrotherHttp}</w:t>
            </w:r>
          </w:p>
        </w:tc>
        <w:tc>
          <w:tcPr>
            <w:tcW w:type="dxa" w:w="2880"/>
          </w:tcPr>
          <w:p>
            <w:r>
              <w:rPr>
                <w:sz w:val="18"/>
              </w:rPr>
            </w:r>
            <w:r>
              <w:rPr>
                <w:b/>
                <w:sz w:val="18"/>
              </w:rPr>
              <w:t>Modbus TCP only</w:t>
            </w:r>
          </w:p>
        </w:tc>
      </w:tr>
      <w:tr>
        <w:tc>
          <w:tcPr>
            <w:tcW w:type="dxa" w:w="2880"/>
          </w:tcPr>
          <w:p>
            <w:r>
              <w:rPr>
                <w:sz w:val="18"/>
              </w:rPr>
            </w:r>
            <w:r>
              <w:rPr>
                <w:sz w:val="18"/>
              </w:rPr>
              <w:t>Professional</w:t>
            </w:r>
          </w:p>
        </w:tc>
        <w:tc>
          <w:tcPr>
            <w:tcW w:type="dxa" w:w="2880"/>
          </w:tcPr>
          <w:p>
            <w:r>
              <w:rPr>
                <w:sz w:val="18"/>
              </w:rPr>
            </w:r>
            <w:r>
              <w:rPr>
                <w:sz w:val="18"/>
              </w:rPr>
              <w:t>All base + Modbus; MQTT/HTTP/TCP sinks</w:t>
            </w:r>
          </w:p>
        </w:tc>
        <w:tc>
          <w:tcPr>
            <w:tcW w:type="dxa" w:w="2880"/>
          </w:tcPr>
          <w:p>
            <w:r>
              <w:rPr>
                <w:sz w:val="18"/>
              </w:rPr>
            </w:r>
            <w:r>
              <w:rPr>
                <w:sz w:val="18"/>
              </w:rPr>
              <w:t xml:space="preserve">All sources </w:t>
            </w:r>
            <w:r>
              <w:rPr>
                <w:b/>
                <w:sz w:val="18"/>
              </w:rPr>
              <w:t>except</w:t>
            </w:r>
            <w:r>
              <w:rPr>
                <w:sz w:val="18"/>
              </w:rPr>
              <w:t xml:space="preserve"> OPC UA Client; MQTT only</w:t>
            </w:r>
          </w:p>
        </w:tc>
      </w:tr>
      <w:tr>
        <w:tc>
          <w:tcPr>
            <w:tcW w:type="dxa" w:w="2880"/>
          </w:tcPr>
          <w:p>
            <w:r>
              <w:rPr>
                <w:sz w:val="18"/>
              </w:rPr>
            </w:r>
            <w:r>
              <w:rPr>
                <w:sz w:val="18"/>
              </w:rPr>
              <w:t>Enterprise</w:t>
            </w:r>
          </w:p>
        </w:tc>
        <w:tc>
          <w:tcPr>
            <w:tcW w:type="dxa" w:w="2880"/>
          </w:tcPr>
          <w:p>
            <w:r>
              <w:rPr>
                <w:sz w:val="18"/>
              </w:rPr>
            </w:r>
            <w:r>
              <w:rPr>
                <w:sz w:val="18"/>
              </w:rPr>
              <w:t>All + S7, OPC UA Client; all sinks + OPC UA Server</w:t>
            </w:r>
          </w:p>
        </w:tc>
        <w:tc>
          <w:tcPr>
            <w:tcW w:type="dxa" w:w="2880"/>
          </w:tcPr>
          <w:p>
            <w:r>
              <w:rPr>
                <w:sz w:val="18"/>
              </w:rPr>
            </w:r>
            <w:r>
              <w:rPr>
                <w:sz w:val="18"/>
              </w:rPr>
              <w:t>All sources; MQTT + OPC UA Server</w:t>
            </w:r>
          </w:p>
        </w:tc>
      </w:tr>
      <w:tr>
        <w:tc>
          <w:tcPr>
            <w:tcW w:type="dxa" w:w="2880"/>
          </w:tcPr>
          <w:p>
            <w:r>
              <w:rPr>
                <w:sz w:val="18"/>
              </w:rPr>
            </w:r>
            <w:r>
              <w:rPr>
                <w:sz w:val="18"/>
              </w:rPr>
              <w:t>CncPro</w:t>
            </w:r>
          </w:p>
        </w:tc>
        <w:tc>
          <w:tcPr>
            <w:tcW w:type="dxa" w:w="2880"/>
          </w:tcPr>
          <w:p>
            <w:r>
              <w:rPr>
                <w:sz w:val="18"/>
              </w:rPr>
            </w:r>
            <w:r>
              <w:rPr>
                <w:i/>
                <w:sz w:val="18"/>
              </w:rPr>
              <w:t>absent</w:t>
            </w:r>
          </w:p>
        </w:tc>
        <w:tc>
          <w:tcPr>
            <w:tcW w:type="dxa" w:w="2880"/>
          </w:tcPr>
          <w:p>
            <w:r>
              <w:rPr>
                <w:sz w:val="18"/>
              </w:rPr>
            </w:r>
            <w:r>
              <w:rPr>
                <w:sz w:val="18"/>
              </w:rPr>
              <w:t>FOCAS2 + Brother HTTP + MTConnect</w:t>
            </w:r>
          </w:p>
        </w:tc>
      </w:tr>
      <w:tr>
        <w:tc>
          <w:tcPr>
            <w:tcW w:type="dxa" w:w="2880"/>
          </w:tcPr>
          <w:p>
            <w:r>
              <w:rPr>
                <w:sz w:val="18"/>
              </w:rPr>
            </w:r>
            <w:r>
              <w:rPr>
                <w:sz w:val="18"/>
              </w:rPr>
              <w:t>TrialPeriod</w:t>
            </w:r>
          </w:p>
        </w:tc>
        <w:tc>
          <w:tcPr>
            <w:tcW w:type="dxa" w:w="2880"/>
          </w:tcPr>
          <w:p>
            <w:r>
              <w:rPr>
                <w:sz w:val="18"/>
              </w:rPr>
            </w:r>
            <w:r>
              <w:rPr>
                <w:i/>
                <w:sz w:val="18"/>
              </w:rPr>
              <w:t>absent</w:t>
            </w:r>
          </w:p>
        </w:tc>
        <w:tc>
          <w:tcPr>
            <w:tcW w:type="dxa" w:w="2880"/>
          </w:tcPr>
          <w:p>
            <w:r>
              <w:rPr>
                <w:sz w:val="18"/>
              </w:rPr>
            </w:r>
            <w:r>
              <w:rPr>
                <w:sz w:val="18"/>
              </w:rPr>
              <w:t>everything</w:t>
            </w:r>
          </w:p>
        </w:tc>
      </w:tr>
      <w:tr>
        <w:tc>
          <w:tcPr>
            <w:tcW w:type="dxa" w:w="2880"/>
          </w:tcPr>
          <w:p>
            <w:r>
              <w:rPr>
                <w:sz w:val="18"/>
              </w:rPr>
            </w:r>
            <w:r>
              <w:rPr>
                <w:sz w:val="18"/>
              </w:rPr>
              <w:t>MtLinki</w:t>
            </w:r>
          </w:p>
        </w:tc>
        <w:tc>
          <w:tcPr>
            <w:tcW w:type="dxa" w:w="2880"/>
          </w:tcPr>
          <w:p>
            <w:r>
              <w:rPr>
                <w:sz w:val="18"/>
              </w:rPr>
            </w:r>
            <w:r>
              <w:rPr>
                <w:sz w:val="18"/>
              </w:rPr>
              <w:t>referenced</w:t>
            </w:r>
          </w:p>
        </w:tc>
        <w:tc>
          <w:tcPr>
            <w:tcW w:type="dxa" w:w="2880"/>
          </w:tcPr>
          <w:p>
            <w:r>
              <w:rPr>
                <w:sz w:val="18"/>
              </w:rPr>
            </w:r>
            <w:r>
              <w:rPr>
                <w:b/>
                <w:sz w:val="18"/>
              </w:rPr>
              <w:t>no adapter project exists</w:t>
            </w:r>
            <w:r>
              <w:rPr>
                <w:sz w:val="18"/>
              </w:rPr>
              <w:t xml:space="preserve"> (CLAUDE.md §8)</w:t>
            </w:r>
          </w:p>
        </w:tc>
      </w:tr>
    </w:tbl>
    <w:p/>
    <w:p>
      <w:r>
        <w:t>Blueprint §7.2's module identifiers (</w:t>
      </w:r>
      <w:r>
        <w:rPr>
          <w:rFonts w:ascii="Consolas" w:hAnsi="Consolas"/>
          <w:color w:val="A03030"/>
          <w:sz w:val="18"/>
        </w:rPr>
        <w:t>source.focas2</w:t>
      </w:r>
      <w:r>
        <w:t xml:space="preserve">, dotted) and </w:t>
      </w:r>
      <w:r>
        <w:rPr>
          <w:rFonts w:ascii="Consolas" w:hAnsi="Consolas"/>
          <w:color w:val="A03030"/>
          <w:sz w:val="18"/>
        </w:rPr>
        <w:t>docs/licensing/license-file-format.md</w:t>
      </w:r>
      <w:r>
        <w:t xml:space="preserve"> §4.3's stated rule (</w:t>
      </w:r>
      <w:r>
        <w:rPr>
          <w:rFonts w:ascii="Consolas" w:hAnsi="Consolas"/>
          <w:color w:val="A03030"/>
          <w:sz w:val="18"/>
        </w:rPr>
        <w:t>source.{protocolName}</w:t>
      </w:r>
      <w:r>
        <w:t>) also disagree with the shipped hyphenated keys (</w:t>
      </w:r>
      <w:r>
        <w:rPr>
          <w:rFonts w:ascii="Consolas" w:hAnsi="Consolas"/>
          <w:color w:val="A03030"/>
          <w:sz w:val="18"/>
        </w:rPr>
        <w:t>source-focas2</w:t>
      </w:r>
      <w:r>
        <w:t xml:space="preserve">). </w:t>
      </w:r>
      <w:r>
        <w:rPr>
          <w:b/>
        </w:rPr>
        <w:t>The code is the truth; those two documents are stale.</w:t>
      </w:r>
      <w:r>
        <w:t xml:space="preserve"> Recommendation: </w:t>
      </w:r>
      <w:r>
        <w:rPr>
          <w:rFonts w:ascii="Consolas" w:hAnsi="Consolas"/>
          <w:color w:val="A03030"/>
          <w:sz w:val="18"/>
        </w:rPr>
        <w:t>LicenseEditionCatalog</w:t>
      </w:r>
      <w:r>
        <w:t xml:space="preserve"> becomes the declared single source of truth (ADR candidate, §11), and blueprint §7.1/§7.2 plus license-file-format §4.3 get corrected as part of the first slice.</w:t>
      </w:r>
    </w:p>
    <w:p>
      <w:pPr>
        <w:pStyle w:val="Heading3"/>
      </w:pPr>
      <w:r>
        <w:t>3.4 The installer today</w:t>
      </w:r>
    </w:p>
    <w:p>
      <w:r>
        <w:rPr>
          <w:rFonts w:ascii="Consolas" w:hAnsi="Consolas"/>
          <w:color w:val="A03030"/>
          <w:sz w:val="18"/>
        </w:rPr>
        <w:t>installer/ElpisEdgeConnect.wxs</w:t>
      </w:r>
      <w:r>
        <w:t xml:space="preserve"> — one MSI, </w:t>
      </w:r>
      <w:r>
        <w:rPr>
          <w:rFonts w:ascii="Consolas" w:hAnsi="Consolas"/>
          <w:color w:val="A03030"/>
          <w:sz w:val="18"/>
        </w:rPr>
        <w:t>Version="$(Version)"</w:t>
      </w:r>
      <w:r>
        <w:t xml:space="preserve"> (currently </w:t>
      </w:r>
      <w:r>
        <w:rPr>
          <w:rFonts w:ascii="Consolas" w:hAnsi="Consolas"/>
          <w:color w:val="A03030"/>
          <w:sz w:val="18"/>
        </w:rPr>
        <w:t>2.1.0.1</w:t>
      </w:r>
      <w:r>
        <w:t xml:space="preserve"> from </w:t>
      </w:r>
      <w:r>
        <w:rPr>
          <w:rFonts w:ascii="Consolas" w:hAnsi="Consolas"/>
          <w:color w:val="A03030"/>
          <w:sz w:val="18"/>
        </w:rPr>
        <w:t>Directory.Build.props</w:t>
      </w:r>
      <w:r>
        <w:t xml:space="preserve">), </w:t>
      </w:r>
      <w:r>
        <w:rPr>
          <w:rFonts w:ascii="Consolas" w:hAnsi="Consolas"/>
          <w:color w:val="A03030"/>
          <w:sz w:val="18"/>
        </w:rPr>
        <w:t>UpgradeCode="b7e2c1a4-9f3d-4c8e-8a21-5f6d7e8c9b01"</w:t>
      </w:r>
      <w:r>
        <w:t xml:space="preserve">, </w:t>
      </w:r>
      <w:r>
        <w:rPr>
          <w:rFonts w:ascii="Consolas" w:hAnsi="Consolas"/>
          <w:color w:val="A03030"/>
          <w:sz w:val="18"/>
        </w:rPr>
        <w:t>Scope="perMachine"</w:t>
      </w:r>
      <w:r>
        <w:t>. Two harvesting component groups:</w:t>
      </w:r>
    </w:p>
    <w:p>
      <w:pPr>
        <w:pStyle w:val="ListBullet"/>
      </w:pPr>
      <w:r>
        <w:rPr>
          <w:rFonts w:ascii="Consolas" w:hAnsi="Consolas"/>
          <w:color w:val="A03030"/>
          <w:sz w:val="18"/>
        </w:rPr>
        <w:t>ManagementComponents</w:t>
      </w:r>
      <w:r>
        <w:t xml:space="preserve"> → </w:t>
      </w:r>
      <w:r>
        <w:rPr>
          <w:rFonts w:ascii="Consolas" w:hAnsi="Consolas"/>
          <w:color w:val="A03030"/>
          <w:sz w:val="18"/>
        </w:rPr>
        <w:t>&lt;Files Include="!(bindpath.MgmtSrc)\**"&gt;</w:t>
      </w:r>
      <w:r>
        <w:t xml:space="preserve"> minus </w:t>
      </w:r>
      <w:r>
        <w:rPr>
          <w:rFonts w:ascii="Consolas" w:hAnsi="Consolas"/>
          <w:color w:val="A03030"/>
          <w:sz w:val="18"/>
        </w:rPr>
        <w:t>.pdb</w:t>
      </w:r>
      <w:r>
        <w:t xml:space="preserve">, </w:t>
      </w:r>
      <w:r>
        <w:rPr>
          <w:rFonts w:ascii="Consolas" w:hAnsi="Consolas"/>
          <w:color w:val="A03030"/>
          <w:sz w:val="18"/>
        </w:rPr>
        <w:t>.xml</w:t>
      </w:r>
      <w:r>
        <w:t>,</w:t>
      </w:r>
    </w:p>
    <w:p>
      <w:r>
        <w:rPr>
          <w:rFonts w:ascii="Consolas" w:hAnsi="Consolas"/>
          <w:color w:val="A03030"/>
          <w:sz w:val="18"/>
        </w:rPr>
        <w:t>web.config</w:t>
      </w:r>
      <w:r>
        <w:t xml:space="preserve">; plus </w:t>
      </w:r>
      <w:r>
        <w:rPr>
          <w:rFonts w:ascii="Consolas" w:hAnsi="Consolas"/>
          <w:color w:val="A03030"/>
          <w:sz w:val="18"/>
        </w:rPr>
        <w:t>&lt;Files Include="!(bindpath.FocasSrc)\*.dll" /&gt;</w:t>
      </w:r>
      <w:r>
        <w:t>.</w:t>
      </w:r>
    </w:p>
    <w:p>
      <w:pPr>
        <w:pStyle w:val="ListBullet"/>
      </w:pPr>
      <w:r>
        <w:rPr>
          <w:rFonts w:ascii="Consolas" w:hAnsi="Consolas"/>
          <w:color w:val="A03030"/>
          <w:sz w:val="18"/>
        </w:rPr>
        <w:t>HostComponents</w:t>
      </w:r>
      <w:r>
        <w:t xml:space="preserve"> → same harvest for </w:t>
      </w:r>
      <w:r>
        <w:rPr>
          <w:rFonts w:ascii="Consolas" w:hAnsi="Consolas"/>
          <w:color w:val="A03030"/>
          <w:sz w:val="18"/>
        </w:rPr>
        <w:t>HostSrc</w:t>
      </w:r>
      <w:r>
        <w:t xml:space="preserve">, plus </w:t>
      </w:r>
      <w:r>
        <w:rPr>
          <w:b/>
        </w:rPr>
        <w:t>six explicitly-named</w:t>
      </w:r>
      <w:r>
        <w:t xml:space="preserve"> FOCAS</w:t>
      </w:r>
    </w:p>
    <w:p>
      <w:r>
        <w:t xml:space="preserve">native </w:t>
      </w:r>
      <w:r>
        <w:rPr>
          <w:rFonts w:ascii="Consolas" w:hAnsi="Consolas"/>
          <w:color w:val="A03030"/>
          <w:sz w:val="18"/>
        </w:rPr>
        <w:t>&lt;File&gt;</w:t>
      </w:r>
      <w:r>
        <w:t xml:space="preserve"> elements (the comment explains </w:t>
      </w:r>
      <w:r>
        <w:rPr>
          <w:rFonts w:ascii="Consolas" w:hAnsi="Consolas"/>
          <w:color w:val="A03030"/>
          <w:sz w:val="18"/>
        </w:rPr>
        <w:t>&lt;Files&gt;</w:t>
      </w:r>
      <w:r>
        <w:t xml:space="preserve"> de-dupes by source path and would silently skip them).</w:t>
      </w:r>
    </w:p>
    <w:p>
      <w:r>
        <w:t xml:space="preserve">Two features: </w:t>
      </w:r>
      <w:r>
        <w:rPr>
          <w:rFonts w:ascii="Consolas" w:hAnsi="Consolas"/>
          <w:color w:val="A03030"/>
          <w:sz w:val="18"/>
        </w:rPr>
        <w:t>MainApplication</w:t>
      </w:r>
      <w:r>
        <w:t xml:space="preserve"> (</w:t>
      </w:r>
      <w:r>
        <w:rPr>
          <w:rFonts w:ascii="Consolas" w:hAnsi="Consolas"/>
          <w:color w:val="A03030"/>
          <w:sz w:val="18"/>
        </w:rPr>
        <w:t>AllowAbsent="no"</w:t>
      </w:r>
      <w:r>
        <w:t xml:space="preserve">) and </w:t>
      </w:r>
      <w:r>
        <w:rPr>
          <w:rFonts w:ascii="Consolas" w:hAnsi="Consolas"/>
          <w:color w:val="A03030"/>
          <w:sz w:val="18"/>
        </w:rPr>
        <w:t>DesktopShortcutFeature</w:t>
      </w:r>
      <w:r>
        <w:t xml:space="preserve">. The </w:t>
      </w:r>
      <w:r>
        <w:rPr>
          <w:rFonts w:ascii="Consolas" w:hAnsi="Consolas"/>
          <w:color w:val="A03030"/>
          <w:sz w:val="18"/>
        </w:rPr>
        <w:t>WixUI_FeatureTree</w:t>
      </w:r>
      <w:r>
        <w:t xml:space="preserve"> wizard exists </w:t>
      </w:r>
      <w:r>
        <w:rPr>
          <w:b/>
        </w:rPr>
        <w:t>only</w:t>
      </w:r>
      <w:r>
        <w:t xml:space="preserve"> to toggle the desktop shortcut.</w:t>
      </w:r>
    </w:p>
    <w:p>
      <w:r>
        <w:t xml:space="preserve">Build requires </w:t>
      </w:r>
      <w:r>
        <w:rPr>
          <w:rFonts w:ascii="Consolas" w:hAnsi="Consolas"/>
          <w:color w:val="A03030"/>
          <w:sz w:val="18"/>
        </w:rPr>
        <w:t>-d Version=</w:t>
      </w:r>
      <w:r>
        <w:t xml:space="preserve">, </w:t>
      </w:r>
      <w:r>
        <w:rPr>
          <w:rFonts w:ascii="Consolas" w:hAnsi="Consolas"/>
          <w:color w:val="A03030"/>
          <w:sz w:val="18"/>
        </w:rPr>
        <w:t>-ext WixToolset.UI.wixext</w:t>
      </w:r>
      <w:r>
        <w:t xml:space="preserve">, </w:t>
      </w:r>
      <w:r>
        <w:rPr>
          <w:rFonts w:ascii="Consolas" w:hAnsi="Consolas"/>
          <w:color w:val="A03030"/>
          <w:sz w:val="18"/>
        </w:rPr>
        <w:t>-ext WixToolset.Util.wixext</w:t>
      </w:r>
      <w:r>
        <w:t>, and three bindpaths (</w:t>
      </w:r>
      <w:r>
        <w:rPr>
          <w:rFonts w:ascii="Consolas" w:hAnsi="Consolas"/>
          <w:color w:val="A03030"/>
          <w:sz w:val="18"/>
        </w:rPr>
        <w:t>HostSrc</w:t>
      </w:r>
      <w:r>
        <w:t xml:space="preserve">, </w:t>
      </w:r>
      <w:r>
        <w:rPr>
          <w:rFonts w:ascii="Consolas" w:hAnsi="Consolas"/>
          <w:color w:val="A03030"/>
          <w:sz w:val="18"/>
        </w:rPr>
        <w:t>MgmtSrc</w:t>
      </w:r>
      <w:r>
        <w:t xml:space="preserve">, </w:t>
      </w:r>
      <w:r>
        <w:rPr>
          <w:rFonts w:ascii="Consolas" w:hAnsi="Consolas"/>
          <w:color w:val="A03030"/>
          <w:sz w:val="18"/>
        </w:rPr>
        <w:t>FocasSrc</w:t>
      </w:r>
      <w:r>
        <w:t>).</w:t>
      </w:r>
    </w:p>
    <w:p>
      <w:r>
        <w:t xml:space="preserve">There is </w:t>
      </w:r>
      <w:r>
        <w:rPr>
          <w:b/>
        </w:rPr>
        <w:t>no CI</w:t>
      </w:r>
      <w:r>
        <w:t xml:space="preserve"> in this repository (no </w:t>
      </w:r>
      <w:r>
        <w:rPr>
          <w:rFonts w:ascii="Consolas" w:hAnsi="Consolas"/>
          <w:color w:val="A03030"/>
          <w:sz w:val="18"/>
        </w:rPr>
        <w:t>.github/</w:t>
      </w:r>
      <w:r>
        <w:t xml:space="preserve">, no build scripts at root). Releases are produced by hand from </w:t>
      </w:r>
      <w:r>
        <w:rPr>
          <w:rFonts w:ascii="Consolas" w:hAnsi="Consolas"/>
          <w:color w:val="A03030"/>
          <w:sz w:val="18"/>
        </w:rPr>
        <w:t>docs/installer/creating-the-installer.md</w:t>
      </w:r>
      <w:r>
        <w:t>.</w:t>
      </w:r>
    </w:p>
    <w:p>
      <w:pPr>
        <w:pStyle w:val="Heading3"/>
      </w:pPr>
      <w:r>
        <w:t>3.5 UI gating today (reference only — layer 3, already built)</w:t>
      </w:r>
    </w:p>
    <w:p>
      <w:r>
        <w:rPr>
          <w:rFonts w:ascii="Consolas" w:hAnsi="Consolas"/>
          <w:color w:val="A03030"/>
          <w:sz w:val="18"/>
        </w:rPr>
        <w:t>Wizards/SourceProtocolPickerModel.Resolve(isModuleEnabled, edition)</w:t>
      </w:r>
      <w:r>
        <w:t xml:space="preserve"> does two things: edition-level tiles are </w:t>
      </w:r>
      <w:r>
        <w:rPr>
          <w:b/>
        </w:rPr>
        <w:t>hidden entirely</w:t>
      </w:r>
      <w:r>
        <w:t xml:space="preserve"> via </w:t>
      </w:r>
      <w:r>
        <w:rPr>
          <w:rFonts w:ascii="Consolas" w:hAnsi="Consolas"/>
          <w:color w:val="A03030"/>
          <w:sz w:val="18"/>
        </w:rPr>
        <w:t>LicenseEditionCatalog.IsSourceModuleOffered</w:t>
      </w:r>
      <w:r>
        <w:t xml:space="preserve">, and surviving tiles whose module is disabled are downgraded to </w:t>
      </w:r>
      <w:r>
        <w:rPr>
          <w:rFonts w:ascii="Consolas" w:hAnsi="Consolas"/>
          <w:color w:val="A03030"/>
          <w:sz w:val="18"/>
        </w:rPr>
        <w:t>RequiresLicense</w:t>
      </w:r>
      <w:r>
        <w:t xml:space="preserve"> and lose their </w:t>
      </w:r>
      <w:r>
        <w:rPr>
          <w:rFonts w:ascii="Consolas" w:hAnsi="Consolas"/>
          <w:color w:val="A03030"/>
          <w:sz w:val="18"/>
        </w:rPr>
        <w:t>TargetHref</w:t>
      </w:r>
      <w:r>
        <w:t xml:space="preserve">. </w:t>
      </w:r>
      <w:r>
        <w:rPr>
          <w:rFonts w:ascii="Consolas" w:hAnsi="Consolas"/>
          <w:color w:val="A03030"/>
          <w:sz w:val="18"/>
        </w:rPr>
        <w:t>DestinationProtocolPickerModel</w:t>
      </w:r>
      <w:r>
        <w:t xml:space="preserve"> mirrors it. Both carry the same comment: </w:t>
      </w:r>
      <w:r>
        <w:rPr>
          <w:i/>
        </w:rPr>
        <w:t>"The UI is explanatory only; the backend gate remains authoritative on save."</w:t>
      </w:r>
      <w:r>
        <w:t xml:space="preserve"> That is the correct posture and packaging must adopt the same humility.</w:t>
      </w:r>
    </w:p>
    <w:p/>
    <w:p>
      <w:pPr>
        <w:pStyle w:val="Heading2"/>
      </w:pPr>
      <w:r>
        <w:t>4. Mechanism comparison (Question A)</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18"/>
              </w:rPr>
            </w:r>
          </w:p>
        </w:tc>
        <w:tc>
          <w:tcPr>
            <w:tcW w:type="dxa" w:w="1728"/>
          </w:tcPr>
          <w:p>
            <w:r>
              <w:rPr>
                <w:b/>
                <w:sz w:val="18"/>
              </w:rPr>
            </w:r>
            <w:r>
              <w:rPr>
                <w:b/>
                <w:sz w:val="18"/>
              </w:rPr>
              <w:t>A1 — N MSIs per edition</w:t>
            </w:r>
          </w:p>
        </w:tc>
        <w:tc>
          <w:tcPr>
            <w:tcW w:type="dxa" w:w="1728"/>
          </w:tcPr>
          <w:p>
            <w:r>
              <w:rPr>
                <w:b/>
                <w:sz w:val="18"/>
              </w:rPr>
            </w:r>
            <w:r>
              <w:rPr>
                <w:b/>
                <w:sz w:val="18"/>
              </w:rPr>
              <w:t>A2 — one MSI, license read at install</w:t>
            </w:r>
          </w:p>
        </w:tc>
        <w:tc>
          <w:tcPr>
            <w:tcW w:type="dxa" w:w="1728"/>
          </w:tcPr>
          <w:p>
            <w:r>
              <w:rPr>
                <w:b/>
                <w:sz w:val="18"/>
              </w:rPr>
            </w:r>
            <w:r>
              <w:rPr>
                <w:b/>
                <w:sz w:val="18"/>
              </w:rPr>
              <w:t>A3 — one MSI, manual feature tree</w:t>
            </w:r>
          </w:p>
        </w:tc>
        <w:tc>
          <w:tcPr>
            <w:tcW w:type="dxa" w:w="1728"/>
          </w:tcPr>
          <w:p>
            <w:r>
              <w:rPr>
                <w:b/>
                <w:sz w:val="18"/>
              </w:rPr>
            </w:r>
            <w:r>
              <w:rPr>
                <w:b/>
                <w:sz w:val="18"/>
              </w:rPr>
              <w:t>A4 — launcher EXE reads license, drives MSI</w:t>
            </w:r>
          </w:p>
        </w:tc>
      </w:tr>
      <w:tr>
        <w:tc>
          <w:tcPr>
            <w:tcW w:type="dxa" w:w="1728"/>
          </w:tcPr>
          <w:p>
            <w:r>
              <w:rPr>
                <w:sz w:val="18"/>
              </w:rPr>
            </w:r>
            <w:r>
              <w:rPr>
                <w:b/>
                <w:sz w:val="18"/>
              </w:rPr>
              <w:t>Build cost</w:t>
            </w:r>
          </w:p>
        </w:tc>
        <w:tc>
          <w:tcPr>
            <w:tcW w:type="dxa" w:w="1728"/>
          </w:tcPr>
          <w:p>
            <w:r>
              <w:rPr>
                <w:sz w:val="18"/>
              </w:rPr>
            </w:r>
            <w:r>
              <w:rPr>
                <w:sz w:val="18"/>
              </w:rPr>
              <w:t>Medium–High. Needs per-edition publish + graceful-absence refactor (§5).</w:t>
            </w:r>
          </w:p>
        </w:tc>
        <w:tc>
          <w:tcPr>
            <w:tcW w:type="dxa" w:w="1728"/>
          </w:tcPr>
          <w:p>
            <w:r>
              <w:rPr>
                <w:sz w:val="18"/>
              </w:rPr>
            </w:r>
            <w:r>
              <w:rPr>
                <w:sz w:val="18"/>
              </w:rPr>
              <w:t xml:space="preserve">High. Needs §5 refactor </w:t>
            </w:r>
            <w:r>
              <w:rPr>
                <w:b/>
                <w:sz w:val="18"/>
              </w:rPr>
              <w:t>plus</w:t>
            </w:r>
            <w:r>
              <w:rPr>
                <w:sz w:val="18"/>
              </w:rPr>
              <w:t xml:space="preserve"> a signed-JSON-parsing custom action </w:t>
            </w:r>
            <w:r>
              <w:rPr>
                <w:b/>
                <w:sz w:val="18"/>
              </w:rPr>
              <w:t>plus</w:t>
            </w:r>
            <w:r>
              <w:rPr>
                <w:sz w:val="18"/>
              </w:rPr>
              <w:t xml:space="preserve"> per-file feature partitioning of a 398-file flat publish.</w:t>
            </w:r>
          </w:p>
        </w:tc>
        <w:tc>
          <w:tcPr>
            <w:tcW w:type="dxa" w:w="1728"/>
          </w:tcPr>
          <w:p>
            <w:r>
              <w:rPr>
                <w:sz w:val="18"/>
              </w:rPr>
            </w:r>
            <w:r>
              <w:rPr>
                <w:sz w:val="18"/>
              </w:rPr>
              <w:t>Low. Feature partitioning only, no license logic.</w:t>
            </w:r>
          </w:p>
        </w:tc>
        <w:tc>
          <w:tcPr>
            <w:tcW w:type="dxa" w:w="1728"/>
          </w:tcPr>
          <w:p>
            <w:r>
              <w:rPr>
                <w:sz w:val="18"/>
              </w:rPr>
            </w:r>
            <w:r>
              <w:rPr>
                <w:sz w:val="18"/>
              </w:rPr>
              <w:t>Highest. Everything in A2 plus a new Burn BA / custom bootstrapper app.</w:t>
            </w:r>
          </w:p>
        </w:tc>
      </w:tr>
      <w:tr>
        <w:tc>
          <w:tcPr>
            <w:tcW w:type="dxa" w:w="1728"/>
          </w:tcPr>
          <w:p>
            <w:r>
              <w:rPr>
                <w:sz w:val="18"/>
              </w:rPr>
            </w:r>
            <w:r>
              <w:rPr>
                <w:b/>
                <w:sz w:val="18"/>
              </w:rPr>
              <w:t>Release cost per version</w:t>
            </w:r>
          </w:p>
        </w:tc>
        <w:tc>
          <w:tcPr>
            <w:tcW w:type="dxa" w:w="1728"/>
          </w:tcPr>
          <w:p>
            <w:r>
              <w:rPr>
                <w:sz w:val="18"/>
              </w:rPr>
            </w:r>
            <w:r>
              <w:rPr>
                <w:sz w:val="18"/>
              </w:rPr>
              <w:t>N publish pairs, N MSIs, N EXE bundles. At 5 editions: 10 publishes (~1.3 GB), 10 artifacts.</w:t>
            </w:r>
          </w:p>
        </w:tc>
        <w:tc>
          <w:tcPr>
            <w:tcW w:type="dxa" w:w="1728"/>
          </w:tcPr>
          <w:p>
            <w:r>
              <w:rPr>
                <w:sz w:val="18"/>
              </w:rPr>
            </w:r>
            <w:r>
              <w:rPr>
                <w:sz w:val="18"/>
              </w:rPr>
              <w:t>1 publish pair, 1 MSI, 1 EXE — unchanged.</w:t>
            </w:r>
          </w:p>
        </w:tc>
        <w:tc>
          <w:tcPr>
            <w:tcW w:type="dxa" w:w="1728"/>
          </w:tcPr>
          <w:p>
            <w:r>
              <w:rPr>
                <w:sz w:val="18"/>
              </w:rPr>
            </w:r>
            <w:r>
              <w:rPr>
                <w:sz w:val="18"/>
              </w:rPr>
              <w:t>Unchanged.</w:t>
            </w:r>
          </w:p>
        </w:tc>
        <w:tc>
          <w:tcPr>
            <w:tcW w:type="dxa" w:w="1728"/>
          </w:tcPr>
          <w:p>
            <w:r>
              <w:rPr>
                <w:sz w:val="18"/>
              </w:rPr>
            </w:r>
            <w:r>
              <w:rPr>
                <w:sz w:val="18"/>
              </w:rPr>
              <w:t>1 MSI + 1 EXE (+ the launcher).</w:t>
            </w:r>
          </w:p>
        </w:tc>
      </w:tr>
      <w:tr>
        <w:tc>
          <w:tcPr>
            <w:tcW w:type="dxa" w:w="1728"/>
          </w:tcPr>
          <w:p>
            <w:r>
              <w:rPr>
                <w:sz w:val="18"/>
              </w:rPr>
            </w:r>
            <w:r>
              <w:rPr>
                <w:b/>
                <w:sz w:val="18"/>
              </w:rPr>
              <w:t>What it actually prevents</w:t>
            </w:r>
          </w:p>
        </w:tc>
        <w:tc>
          <w:tcPr>
            <w:tcW w:type="dxa" w:w="1728"/>
          </w:tcPr>
          <w:p>
            <w:r>
              <w:rPr>
                <w:sz w:val="18"/>
              </w:rPr>
            </w:r>
            <w:r>
              <w:rPr>
                <w:sz w:val="18"/>
              </w:rPr>
              <w:t xml:space="preserve">The unlicensed binaries </w:t>
            </w:r>
            <w:r>
              <w:rPr>
                <w:b/>
                <w:sz w:val="18"/>
              </w:rPr>
              <w:t>are not on the media</w:t>
            </w:r>
            <w:r>
              <w:rPr>
                <w:sz w:val="18"/>
              </w:rPr>
              <w:t>. Real.</w:t>
            </w:r>
          </w:p>
        </w:tc>
        <w:tc>
          <w:tcPr>
            <w:tcW w:type="dxa" w:w="1728"/>
          </w:tcPr>
          <w:p>
            <w:r>
              <w:rPr>
                <w:sz w:val="18"/>
              </w:rPr>
            </w:r>
            <w:r>
              <w:rPr>
                <w:sz w:val="18"/>
              </w:rPr>
              <w:t xml:space="preserve">Nothing durable — </w:t>
            </w:r>
            <w:r>
              <w:rPr>
                <w:rFonts w:ascii="Consolas" w:hAnsi="Consolas"/>
                <w:color w:val="A03030"/>
                <w:sz w:val="18"/>
              </w:rPr>
              <w:t>msiexec /i … EDITION=Enterprise</w:t>
            </w:r>
            <w:r>
              <w:rPr>
                <w:sz w:val="18"/>
              </w:rPr>
              <w:t xml:space="preserve"> overrides any property a custom action set.</w:t>
            </w:r>
          </w:p>
        </w:tc>
        <w:tc>
          <w:tcPr>
            <w:tcW w:type="dxa" w:w="1728"/>
          </w:tcPr>
          <w:p>
            <w:r>
              <w:rPr>
                <w:sz w:val="18"/>
              </w:rPr>
            </w:r>
            <w:r>
              <w:rPr>
                <w:sz w:val="18"/>
              </w:rPr>
              <w:t xml:space="preserve">Nothing — the customer </w:t>
            </w:r>
            <w:r>
              <w:rPr>
                <w:i/>
                <w:sz w:val="18"/>
              </w:rPr>
              <w:t>chooses</w:t>
            </w:r>
            <w:r>
              <w:rPr>
                <w:sz w:val="18"/>
              </w:rPr>
              <w:t>.</w:t>
            </w:r>
          </w:p>
        </w:tc>
        <w:tc>
          <w:tcPr>
            <w:tcW w:type="dxa" w:w="1728"/>
          </w:tcPr>
          <w:p>
            <w:r>
              <w:rPr>
                <w:sz w:val="18"/>
              </w:rPr>
            </w:r>
            <w:r>
              <w:rPr>
                <w:sz w:val="18"/>
              </w:rPr>
              <w:t>Nothing durable — same property-override bypass, plus the launcher itself is replaceable.</w:t>
            </w:r>
          </w:p>
        </w:tc>
      </w:tr>
      <w:tr>
        <w:tc>
          <w:tcPr>
            <w:tcW w:type="dxa" w:w="1728"/>
          </w:tcPr>
          <w:p>
            <w:r>
              <w:rPr>
                <w:sz w:val="18"/>
              </w:rPr>
            </w:r>
            <w:r>
              <w:rPr>
                <w:b/>
                <w:sz w:val="18"/>
              </w:rPr>
              <w:t>Compliance value (Fanuc / OPC Foundation)</w:t>
            </w:r>
          </w:p>
        </w:tc>
        <w:tc>
          <w:tcPr>
            <w:tcW w:type="dxa" w:w="1728"/>
          </w:tcPr>
          <w:p>
            <w:r>
              <w:rPr>
                <w:sz w:val="18"/>
              </w:rPr>
            </w:r>
            <w:r>
              <w:rPr>
                <w:b/>
                <w:sz w:val="18"/>
              </w:rPr>
              <w:t>High</w:t>
            </w:r>
            <w:r>
              <w:rPr>
                <w:sz w:val="18"/>
              </w:rPr>
              <w:t xml:space="preserve"> — the restricted binaries genuinely never leave Elpis.</w:t>
            </w:r>
          </w:p>
        </w:tc>
        <w:tc>
          <w:tcPr>
            <w:tcW w:type="dxa" w:w="1728"/>
          </w:tcPr>
          <w:p>
            <w:r>
              <w:rPr>
                <w:sz w:val="18"/>
              </w:rPr>
            </w:r>
            <w:r>
              <w:rPr>
                <w:b/>
                <w:sz w:val="18"/>
              </w:rPr>
              <w:t>Zero</w:t>
            </w:r>
            <w:r>
              <w:rPr>
                <w:sz w:val="18"/>
              </w:rPr>
              <w:t xml:space="preserve"> — they are inside the MSI regardless of what is installed.</w:t>
            </w:r>
          </w:p>
        </w:tc>
        <w:tc>
          <w:tcPr>
            <w:tcW w:type="dxa" w:w="1728"/>
          </w:tcPr>
          <w:p>
            <w:r>
              <w:rPr>
                <w:sz w:val="18"/>
              </w:rPr>
            </w:r>
            <w:r>
              <w:rPr>
                <w:sz w:val="18"/>
              </w:rPr>
              <w:t>Zero.</w:t>
            </w:r>
          </w:p>
        </w:tc>
        <w:tc>
          <w:tcPr>
            <w:tcW w:type="dxa" w:w="1728"/>
          </w:tcPr>
          <w:p>
            <w:r>
              <w:rPr>
                <w:sz w:val="18"/>
              </w:rPr>
            </w:r>
            <w:r>
              <w:rPr>
                <w:sz w:val="18"/>
              </w:rPr>
              <w:t>Zero.</w:t>
            </w:r>
          </w:p>
        </w:tc>
      </w:tr>
      <w:tr>
        <w:tc>
          <w:tcPr>
            <w:tcW w:type="dxa" w:w="1728"/>
          </w:tcPr>
          <w:p>
            <w:r>
              <w:rPr>
                <w:sz w:val="18"/>
              </w:rPr>
            </w:r>
            <w:r>
              <w:rPr>
                <w:b/>
                <w:sz w:val="18"/>
              </w:rPr>
              <w:t>Works on a fresh machine</w:t>
            </w:r>
          </w:p>
        </w:tc>
        <w:tc>
          <w:tcPr>
            <w:tcW w:type="dxa" w:w="1728"/>
          </w:tcPr>
          <w:p>
            <w:r>
              <w:rPr>
                <w:sz w:val="18"/>
              </w:rPr>
            </w:r>
            <w:r>
              <w:rPr>
                <w:sz w:val="18"/>
              </w:rPr>
              <w:t>Yes.</w:t>
            </w:r>
          </w:p>
        </w:tc>
        <w:tc>
          <w:tcPr>
            <w:tcW w:type="dxa" w:w="1728"/>
          </w:tcPr>
          <w:p>
            <w:r>
              <w:rPr>
                <w:sz w:val="18"/>
              </w:rPr>
            </w:r>
            <w:r>
              <w:rPr>
                <w:b/>
                <w:sz w:val="18"/>
              </w:rPr>
              <w:t>No</w:t>
            </w:r>
            <w:r>
              <w:rPr>
                <w:sz w:val="18"/>
              </w:rPr>
              <w:t xml:space="preserve"> — no gateway id yet, therefore no license yet (ADR-0036).</w:t>
            </w:r>
          </w:p>
        </w:tc>
        <w:tc>
          <w:tcPr>
            <w:tcW w:type="dxa" w:w="1728"/>
          </w:tcPr>
          <w:p>
            <w:r>
              <w:rPr>
                <w:sz w:val="18"/>
              </w:rPr>
            </w:r>
            <w:r>
              <w:rPr>
                <w:sz w:val="18"/>
              </w:rPr>
              <w:t>Yes.</w:t>
            </w:r>
          </w:p>
        </w:tc>
        <w:tc>
          <w:tcPr>
            <w:tcW w:type="dxa" w:w="1728"/>
          </w:tcPr>
          <w:p>
            <w:r>
              <w:rPr>
                <w:sz w:val="18"/>
              </w:rPr>
            </w:r>
            <w:r>
              <w:rPr>
                <w:b/>
                <w:sz w:val="18"/>
              </w:rPr>
              <w:t>No</w:t>
            </w:r>
            <w:r>
              <w:rPr>
                <w:sz w:val="18"/>
              </w:rPr>
              <w:t xml:space="preserve"> — same reason.</w:t>
            </w:r>
          </w:p>
        </w:tc>
      </w:tr>
      <w:tr>
        <w:tc>
          <w:tcPr>
            <w:tcW w:type="dxa" w:w="1728"/>
          </w:tcPr>
          <w:p>
            <w:r>
              <w:rPr>
                <w:sz w:val="18"/>
              </w:rPr>
            </w:r>
            <w:r>
              <w:rPr>
                <w:b/>
                <w:sz w:val="18"/>
              </w:rPr>
              <w:t>How it fails</w:t>
            </w:r>
          </w:p>
        </w:tc>
        <w:tc>
          <w:tcPr>
            <w:tcW w:type="dxa" w:w="1728"/>
          </w:tcPr>
          <w:p>
            <w:r>
              <w:rPr>
                <w:sz w:val="18"/>
              </w:rPr>
            </w:r>
            <w:r>
              <w:rPr>
                <w:sz w:val="18"/>
              </w:rPr>
              <w:t>Wrong edition shipped to a customer; a missing DLL crashes startup (§5); N-way test matrix rot.</w:t>
            </w:r>
          </w:p>
        </w:tc>
        <w:tc>
          <w:tcPr>
            <w:tcW w:type="dxa" w:w="1728"/>
          </w:tcPr>
          <w:p>
            <w:r>
              <w:rPr>
                <w:sz w:val="18"/>
              </w:rPr>
            </w:r>
            <w:r>
              <w:rPr>
                <w:sz w:val="18"/>
              </w:rPr>
              <w:t>Custom action can't find/parse/verify the license → must either block the install (bad) or fall through to "install everything" (pointless).</w:t>
            </w:r>
          </w:p>
        </w:tc>
        <w:tc>
          <w:tcPr>
            <w:tcW w:type="dxa" w:w="1728"/>
          </w:tcPr>
          <w:p>
            <w:r>
              <w:rPr>
                <w:sz w:val="18"/>
              </w:rPr>
            </w:r>
            <w:r>
              <w:rPr>
                <w:sz w:val="18"/>
              </w:rPr>
              <w:t>Customer deselects a protocol they bought, or selects one they didn't; support burden.</w:t>
            </w:r>
          </w:p>
        </w:tc>
        <w:tc>
          <w:tcPr>
            <w:tcW w:type="dxa" w:w="1728"/>
          </w:tcPr>
          <w:p>
            <w:r>
              <w:rPr>
                <w:sz w:val="18"/>
              </w:rPr>
            </w:r>
            <w:r>
              <w:rPr>
                <w:sz w:val="18"/>
              </w:rPr>
              <w:t>All of A2's failure modes plus a second UI to maintain and localise.</w:t>
            </w:r>
          </w:p>
        </w:tc>
      </w:tr>
      <w:tr>
        <w:tc>
          <w:tcPr>
            <w:tcW w:type="dxa" w:w="1728"/>
          </w:tcPr>
          <w:p>
            <w:r>
              <w:rPr>
                <w:sz w:val="18"/>
              </w:rPr>
            </w:r>
            <w:r>
              <w:rPr>
                <w:b/>
                <w:sz w:val="18"/>
              </w:rPr>
              <w:t>Offline-safe</w:t>
            </w:r>
          </w:p>
        </w:tc>
        <w:tc>
          <w:tcPr>
            <w:tcW w:type="dxa" w:w="1728"/>
          </w:tcPr>
          <w:p>
            <w:r>
              <w:rPr>
                <w:sz w:val="18"/>
              </w:rPr>
            </w:r>
            <w:r>
              <w:rPr>
                <w:sz w:val="18"/>
              </w:rPr>
              <w:t>Yes.</w:t>
            </w:r>
          </w:p>
        </w:tc>
        <w:tc>
          <w:tcPr>
            <w:tcW w:type="dxa" w:w="1728"/>
          </w:tcPr>
          <w:p>
            <w:r>
              <w:rPr>
                <w:sz w:val="18"/>
              </w:rPr>
            </w:r>
            <w:r>
              <w:rPr>
                <w:sz w:val="18"/>
              </w:rPr>
              <w:t>Yes.</w:t>
            </w:r>
          </w:p>
        </w:tc>
        <w:tc>
          <w:tcPr>
            <w:tcW w:type="dxa" w:w="1728"/>
          </w:tcPr>
          <w:p>
            <w:r>
              <w:rPr>
                <w:sz w:val="18"/>
              </w:rPr>
            </w:r>
            <w:r>
              <w:rPr>
                <w:sz w:val="18"/>
              </w:rPr>
              <w:t>Yes.</w:t>
            </w:r>
          </w:p>
        </w:tc>
        <w:tc>
          <w:tcPr>
            <w:tcW w:type="dxa" w:w="1728"/>
          </w:tcPr>
          <w:p>
            <w:r>
              <w:rPr>
                <w:sz w:val="18"/>
              </w:rPr>
            </w:r>
            <w:r>
              <w:rPr>
                <w:sz w:val="18"/>
              </w:rPr>
              <w:t>Yes.</w:t>
            </w:r>
          </w:p>
        </w:tc>
      </w:tr>
      <w:tr>
        <w:tc>
          <w:tcPr>
            <w:tcW w:type="dxa" w:w="1728"/>
          </w:tcPr>
          <w:p>
            <w:r>
              <w:rPr>
                <w:sz w:val="18"/>
              </w:rPr>
            </w:r>
            <w:r>
              <w:rPr>
                <w:b/>
                <w:sz w:val="18"/>
              </w:rPr>
              <w:t>Verdict</w:t>
            </w:r>
          </w:p>
        </w:tc>
        <w:tc>
          <w:tcPr>
            <w:tcW w:type="dxa" w:w="1728"/>
          </w:tcPr>
          <w:p>
            <w:r>
              <w:rPr>
                <w:sz w:val="18"/>
              </w:rPr>
            </w:r>
            <w:r>
              <w:rPr>
                <w:b/>
                <w:sz w:val="18"/>
              </w:rPr>
              <w:t>RECOMMENDED</w:t>
            </w:r>
          </w:p>
        </w:tc>
        <w:tc>
          <w:tcPr>
            <w:tcW w:type="dxa" w:w="1728"/>
          </w:tcPr>
          <w:p>
            <w:r>
              <w:rPr>
                <w:sz w:val="18"/>
              </w:rPr>
            </w:r>
            <w:r>
              <w:rPr>
                <w:sz w:val="18"/>
              </w:rPr>
              <w:t>Reject as the gating mechanism</w:t>
            </w:r>
          </w:p>
        </w:tc>
        <w:tc>
          <w:tcPr>
            <w:tcW w:type="dxa" w:w="1728"/>
          </w:tcPr>
          <w:p>
            <w:r>
              <w:rPr>
                <w:sz w:val="18"/>
              </w:rPr>
            </w:r>
            <w:r>
              <w:rPr>
                <w:sz w:val="18"/>
              </w:rPr>
              <w:t>Reject for edition gating</w:t>
            </w:r>
          </w:p>
        </w:tc>
        <w:tc>
          <w:tcPr>
            <w:tcW w:type="dxa" w:w="1728"/>
          </w:tcPr>
          <w:p>
            <w:r>
              <w:rPr>
                <w:sz w:val="18"/>
              </w:rPr>
            </w:r>
            <w:r>
              <w:rPr>
                <w:sz w:val="18"/>
              </w:rPr>
              <w:t>Reject</w:t>
            </w:r>
          </w:p>
        </w:tc>
      </w:tr>
    </w:tbl>
    <w:p/>
    <w:p>
      <w:pPr>
        <w:pStyle w:val="Heading3"/>
      </w:pPr>
      <w:r>
        <w:t>Why A2/A4 are rejected in detail</w:t>
      </w:r>
    </w:p>
    <w:p>
      <w:pPr>
        <w:pStyle w:val="ListNumber"/>
      </w:pPr>
      <w:r>
        <w:rPr>
          <w:b/>
        </w:rPr>
        <w:t>Sequencing (fatal).</w:t>
      </w:r>
      <w:r>
        <w:t xml:space="preserve"> ADR-0036 §"Issuance flow" — the license is issued </w:t>
      </w:r>
      <w:r>
        <w:rPr>
          <w:i/>
        </w:rPr>
        <w:t>after</w:t>
      </w:r>
      <w:r>
        <w:t xml:space="preserve"> first</w:t>
      </w:r>
    </w:p>
    <w:p>
      <w:r>
        <w:t>start. Fresh installs have nothing to read.</w:t>
      </w:r>
    </w:p>
    <w:p>
      <w:pPr>
        <w:pStyle w:val="ListNumber"/>
      </w:pPr>
      <w:r>
        <w:rPr>
          <w:b/>
        </w:rPr>
        <w:t>No enforcement value.</w:t>
      </w:r>
      <w:r>
        <w:t xml:space="preserve"> MSI properties are settable from the command line. A custom</w:t>
      </w:r>
    </w:p>
    <w:p>
      <w:r>
        <w:t xml:space="preserve">action that sets </w:t>
      </w:r>
      <w:r>
        <w:rPr>
          <w:rFonts w:ascii="Consolas" w:hAnsi="Consolas"/>
          <w:color w:val="A03030"/>
          <w:sz w:val="18"/>
        </w:rPr>
        <w:t>EDITION</w:t>
      </w:r>
      <w:r>
        <w:t xml:space="preserve"> is overridden by </w:t>
      </w:r>
      <w:r>
        <w:rPr>
          <w:rFonts w:ascii="Consolas" w:hAnsi="Consolas"/>
          <w:color w:val="A03030"/>
          <w:sz w:val="18"/>
        </w:rPr>
        <w:t>msiexec /i pkg.msi EDITION=Enterprise</w:t>
      </w:r>
      <w:r>
        <w:t xml:space="preserve"> before the action even runs (public properties supplied on the command line win). The only way to make it stick would be to </w:t>
      </w:r>
      <w:r>
        <w:rPr>
          <w:i/>
        </w:rPr>
        <w:t>conditionally fail the install</w:t>
      </w:r>
      <w:r>
        <w:t>, which converts a licensing nicety into a customer-blocking failure mode.</w:t>
      </w:r>
    </w:p>
    <w:p>
      <w:pPr>
        <w:pStyle w:val="ListNumber"/>
      </w:pPr>
      <w:r>
        <w:rPr>
          <w:b/>
        </w:rPr>
        <w:t>Signature verification inside the installer buys nothing</w:t>
      </w:r>
      <w:r>
        <w:t xml:space="preserve"> (see §7).</w:t>
      </w:r>
    </w:p>
    <w:p>
      <w:pPr>
        <w:pStyle w:val="ListNumber"/>
      </w:pPr>
      <w:r>
        <w:rPr>
          <w:b/>
        </w:rPr>
        <w:t>The binaries would still ship.</w:t>
      </w:r>
      <w:r>
        <w:t xml:space="preserve"> Which means the Fanuc/OPC-Foundation redistribution</w:t>
      </w:r>
    </w:p>
    <w:p>
      <w:r>
        <w:t>exposure (§6.3) is completely untouched — the single most concrete reason to do this work at all.</w:t>
      </w:r>
    </w:p>
    <w:p>
      <w:pPr>
        <w:pStyle w:val="Heading3"/>
      </w:pPr>
      <w:r>
        <w:t xml:space="preserve">Why A3 is rejected for </w:t>
      </w:r>
      <w:r>
        <w:rPr>
          <w:i/>
        </w:rPr>
        <w:t>edition</w:t>
      </w:r>
      <w:r>
        <w:t xml:space="preserve"> gating</w:t>
      </w:r>
    </w:p>
    <w:p>
      <w:r>
        <w:t xml:space="preserve">A feature tree lets the operator pick. That is the opposite of a license constraint; it is a customisation menu. It is fine for the existing desktop-shortcut toggle and should stay for that. It is </w:t>
      </w:r>
      <w:r>
        <w:rPr>
          <w:b/>
        </w:rPr>
        <w:t>not</w:t>
      </w:r>
      <w:r>
        <w:t xml:space="preserve"> licensing, and presenting it as licensing would be misleading.</w:t>
      </w:r>
    </w:p>
    <w:p>
      <w:pPr>
        <w:pStyle w:val="Heading3"/>
      </w:pPr>
      <w:r>
        <w:t>The one A4-shaped idea worth keeping</w:t>
      </w:r>
    </w:p>
    <w:p>
      <w:r>
        <w:t xml:space="preserve">A </w:t>
      </w:r>
      <w:r>
        <w:rPr>
          <w:i/>
        </w:rPr>
        <w:t>post-install</w:t>
      </w:r>
      <w:r>
        <w:t xml:space="preserve"> "Activate" experience is genuinely useful and already partially exists — the Studio License page shows </w:t>
      </w:r>
      <w:r>
        <w:rPr>
          <w:i/>
        </w:rPr>
        <w:t>"This gateway's ID"</w:t>
      </w:r>
      <w:r>
        <w:t xml:space="preserve"> and pre-checks binding on activation (ADR-0036, "Operator UX"). If the owner's real goal is "cleaner customer experience", that is the surface to invest in, not the installer. Flagged in §12.</w:t>
      </w:r>
    </w:p>
    <w:p/>
    <w:p>
      <w:pPr>
        <w:pStyle w:val="Heading2"/>
      </w:pPr>
      <w:r>
        <w:t>5. THE BIGGEST TECHNICAL RISK — omitting an adapter DLL (Question D)</w:t>
      </w:r>
    </w:p>
    <w:p>
      <w:r>
        <w:rPr>
          <w:b/>
        </w:rPr>
        <w:t>Claim: dropping a protocol assembly from the publish output today will hard-fail startup, not degrade cleanly. I am confident of the mechanism; the exact failure point must be confirmed empirically (Slice N.0) because I was instructed not to build or run anything.</w:t>
      </w:r>
    </w:p>
    <w:p>
      <w:r>
        <w:t xml:space="preserve">There are </w:t>
      </w:r>
      <w:r>
        <w:rPr>
          <w:b/>
        </w:rPr>
        <w:t>three independent</w:t>
      </w:r>
      <w:r>
        <w:t xml:space="preserve"> reasons, any one of which is sufficient.</w:t>
      </w:r>
    </w:p>
    <w:p>
      <w:pPr>
        <w:pStyle w:val="Heading3"/>
      </w:pPr>
      <w:r>
        <w:t xml:space="preserve">5.1 Host-level: </w:t>
      </w:r>
      <w:r>
        <w:rPr>
          <w:rFonts w:ascii="Consolas" w:hAnsi="Consolas"/>
          <w:color w:val="A03030"/>
          <w:sz w:val="18"/>
        </w:rPr>
        <w:t>hostpolicy</w:t>
      </w:r>
      <w:r>
        <w:t xml:space="preserve"> validates the deps.json TPA list</w:t>
      </w:r>
    </w:p>
    <w:p>
      <w:r>
        <w:rPr>
          <w:rFonts w:ascii="Consolas" w:hAnsi="Consolas"/>
          <w:color w:val="A03030"/>
          <w:sz w:val="18"/>
        </w:rPr>
        <w:t>publish/Management/ElpisEdgeConnect.Management.deps.json</w:t>
      </w:r>
      <w:r>
        <w:t xml:space="preserve"> lists all thirteen first-party assemblies (verified by inspecting the real file on disk):</w:t>
      </w:r>
    </w:p>
    <w:p>
      <w:pPr>
        <w:pStyle w:val="CodeBlock"/>
      </w:pPr>
      <w:r>
        <w:t>ElpisEdgeConnect.Core.dll                    ElpisEdgeConnect.Sources.EthernetIp.dll</w:t>
      </w:r>
    </w:p>
    <w:p>
      <w:pPr>
        <w:pStyle w:val="CodeBlock"/>
      </w:pPr>
      <w:r>
        <w:t>ElpisEdgeConnect.Host.dll                    ElpisEdgeConnect.Sources.Focas2.dll</w:t>
      </w:r>
    </w:p>
    <w:p>
      <w:pPr>
        <w:pStyle w:val="CodeBlock"/>
      </w:pPr>
      <w:r>
        <w:t>ElpisEdgeConnect.Management.dll              ElpisEdgeConnect.Sources.MTConnect.dll</w:t>
      </w:r>
    </w:p>
    <w:p>
      <w:pPr>
        <w:pStyle w:val="CodeBlock"/>
      </w:pPr>
      <w:r>
        <w:t>ElpisEdgeConnect.Sinks.Mqtt.dll              ElpisEdgeConnect.Sources.Melsec.dll</w:t>
      </w:r>
    </w:p>
    <w:p>
      <w:pPr>
        <w:pStyle w:val="CodeBlock"/>
      </w:pPr>
      <w:r>
        <w:t>ElpisEdgeConnect.Sinks.OpcUaServer.dll       ElpisEdgeConnect.Sources.ModbusTcp.dll</w:t>
      </w:r>
    </w:p>
    <w:p>
      <w:pPr>
        <w:pStyle w:val="CodeBlock"/>
      </w:pPr>
      <w:r>
        <w:t>ElpisEdgeConnect.Sources.BrotherHttp.dll     ElpisEdgeConnect.Sources.OpcUaClient.dll</w:t>
      </w:r>
    </w:p>
    <w:p>
      <w:pPr>
        <w:pStyle w:val="CodeBlock"/>
      </w:pPr>
      <w:r>
        <w:t xml:space="preserve">                                             ElpisEdgeConnect.Sources.S7.dll</w:t>
      </w:r>
    </w:p>
    <w:p>
      <w:r>
        <w:t xml:space="preserve">For a </w:t>
      </w:r>
      <w:r>
        <w:rPr>
          <w:b/>
        </w:rPr>
        <w:t>self-contained</w:t>
      </w:r>
      <w:r>
        <w:t xml:space="preserve"> app, </w:t>
      </w:r>
      <w:r>
        <w:rPr>
          <w:rFonts w:ascii="Consolas" w:hAnsi="Consolas"/>
          <w:color w:val="A03030"/>
          <w:sz w:val="18"/>
        </w:rPr>
        <w:t>hostpolicy</w:t>
      </w:r>
      <w:r>
        <w:t xml:space="preserve"> builds the trusted-platform-assemblies list from </w:t>
      </w:r>
      <w:r>
        <w:rPr>
          <w:rFonts w:ascii="Consolas" w:hAnsi="Consolas"/>
          <w:color w:val="A03030"/>
          <w:sz w:val="18"/>
        </w:rPr>
        <w:t>deps.json</w:t>
      </w:r>
      <w:r>
        <w:t xml:space="preserve"> before a single line of managed code runs. The expected failure for a deleted file is the well-known host error:</w:t>
      </w:r>
    </w:p>
    <w:p>
      <w:pPr>
        <w:pStyle w:val="CodeBlock"/>
      </w:pPr>
      <w:r>
        <w:t>Error: An assembly specified in the application dependencies manifest</w:t>
      </w:r>
    </w:p>
    <w:p>
      <w:pPr>
        <w:pStyle w:val="CodeBlock"/>
      </w:pPr>
      <w:r>
        <w:t>(ElpisEdgeConnect.Management.deps.json) was not found: ... path: 'ElpisEdgeConnect.Sources.S7.dll'</w:t>
      </w:r>
    </w:p>
    <w:p>
      <w:r>
        <w:t xml:space="preserve">This fails </w:t>
      </w:r>
      <w:r>
        <w:rPr>
          <w:b/>
        </w:rPr>
        <w:t>before `Main`</w:t>
      </w:r>
      <w:r>
        <w:t xml:space="preserve">, so no fail-soft, no diagnostics entry, no Studio, nothing — the Windows service simply does not start. </w:t>
      </w:r>
      <w:r>
        <w:rPr>
          <w:b/>
        </w:rPr>
        <w:t>INFERRED, not confirmed</w:t>
      </w:r>
      <w:r>
        <w:t xml:space="preserve"> — this is the single most important thing Slice N.0 must verify.</w:t>
      </w:r>
    </w:p>
    <w:p>
      <w:r>
        <w:rPr>
          <w:b/>
        </w:rPr>
        <w:t>Implication:</w:t>
      </w:r>
      <w:r>
        <w:t xml:space="preserve"> even with a perfect runtime refactor, you cannot simply exclude files in the </w:t>
      </w:r>
      <w:r>
        <w:rPr>
          <w:rFonts w:ascii="Consolas" w:hAnsi="Consolas"/>
          <w:color w:val="A03030"/>
          <w:sz w:val="18"/>
        </w:rPr>
        <w:t>.wxs</w:t>
      </w:r>
      <w:r>
        <w:t xml:space="preserve">. The </w:t>
      </w:r>
      <w:r>
        <w:rPr>
          <w:i/>
        </w:rPr>
        <w:t>publish itself</w:t>
      </w:r>
      <w:r>
        <w:t xml:space="preserve"> must not contain the assembly, so its </w:t>
      </w:r>
      <w:r>
        <w:rPr>
          <w:rFonts w:ascii="Consolas" w:hAnsi="Consolas"/>
          <w:color w:val="A03030"/>
          <w:sz w:val="18"/>
        </w:rPr>
        <w:t>deps.json</w:t>
      </w:r>
      <w:r>
        <w:t xml:space="preserve"> doesn't either. That means </w:t>
      </w:r>
      <w:r>
        <w:rPr>
          <w:b/>
        </w:rPr>
        <w:t>per-edition builds</w:t>
      </w:r>
      <w:r>
        <w:t>, not per-edition file lists.</w:t>
      </w:r>
    </w:p>
    <w:p>
      <w:pPr>
        <w:pStyle w:val="Heading3"/>
      </w:pPr>
      <w:r>
        <w:t>5.2 Composition-root level: unconditional static references</w:t>
      </w:r>
    </w:p>
    <w:p>
      <w:r>
        <w:rPr>
          <w:rFonts w:ascii="Consolas" w:hAnsi="Consolas"/>
          <w:color w:val="A03030"/>
          <w:sz w:val="18"/>
        </w:rPr>
        <w:t>src/ElpisEdgeConnect.Host/EdgeConnectComposition.cs</w:t>
      </w:r>
      <w:r>
        <w:t xml:space="preserve"> — </w:t>
      </w:r>
      <w:r>
        <w:rPr>
          <w:rFonts w:ascii="Consolas" w:hAnsi="Consolas"/>
          <w:color w:val="A03030"/>
          <w:sz w:val="18"/>
        </w:rPr>
        <w:t>ConfigureRuntimeAsync</w:t>
      </w:r>
      <w:r>
        <w:t xml:space="preserve"> is a single method that calls all ten registration extensions in one straight-line block:</w:t>
      </w:r>
    </w:p>
    <w:p>
      <w:pPr>
        <w:pStyle w:val="CodeBlock"/>
      </w:pPr>
      <w:r>
        <w:t>services.AddFocas2SourcesFromGatewayConfig(preloadedConfig, eagerLicense, faultRegistry);</w:t>
      </w:r>
    </w:p>
    <w:p>
      <w:pPr>
        <w:pStyle w:val="CodeBlock"/>
      </w:pPr>
      <w:r>
        <w:t>services.AddMTConnectSourcesFromGatewayConfig(...);</w:t>
      </w:r>
    </w:p>
    <w:p>
      <w:pPr>
        <w:pStyle w:val="CodeBlock"/>
      </w:pPr>
      <w:r>
        <w:t>services.AddModbusTcpSourcesFromGatewayConfig(...);</w:t>
      </w:r>
    </w:p>
    <w:p>
      <w:pPr>
        <w:pStyle w:val="CodeBlock"/>
      </w:pPr>
      <w:r>
        <w:t>services.AddS7SourcesFromGatewayConfig(...);</w:t>
      </w:r>
    </w:p>
    <w:p>
      <w:pPr>
        <w:pStyle w:val="CodeBlock"/>
      </w:pPr>
      <w:r>
        <w:t>services.AddBrotherHttpSourcesFromGatewayConfig(...);</w:t>
      </w:r>
    </w:p>
    <w:p>
      <w:pPr>
        <w:pStyle w:val="CodeBlock"/>
      </w:pPr>
      <w:r>
        <w:t>services.AddOpcUaClientSourcesFromGatewayConfig(...);</w:t>
      </w:r>
    </w:p>
    <w:p>
      <w:pPr>
        <w:pStyle w:val="CodeBlock"/>
      </w:pPr>
      <w:r>
        <w:t>services.AddEthernetIpSourcesFromGatewayConfig(...);</w:t>
      </w:r>
    </w:p>
    <w:p>
      <w:pPr>
        <w:pStyle w:val="CodeBlock"/>
      </w:pPr>
      <w:r>
        <w:t>services.AddMelsecSourcesFromGatewayConfig(...);</w:t>
      </w:r>
    </w:p>
    <w:p>
      <w:pPr>
        <w:pStyle w:val="CodeBlock"/>
      </w:pPr>
      <w:r>
        <w:t>services.AddMqttSinksFromGatewayConfig(...);</w:t>
      </w:r>
    </w:p>
    <w:p>
      <w:pPr>
        <w:pStyle w:val="CodeBlock"/>
      </w:pPr>
      <w:r>
        <w:t>services.AddOpcUaServerSinksFromGatewayConfig(...);</w:t>
      </w:r>
    </w:p>
    <w:p>
      <w:r>
        <w:t xml:space="preserve">Those extension methods are defined in </w:t>
      </w:r>
      <w:r>
        <w:rPr>
          <w:b/>
        </w:rPr>
        <w:t>Host</w:t>
      </w:r>
      <w:r>
        <w:t xml:space="preserve"> (</w:t>
      </w:r>
      <w:r>
        <w:rPr>
          <w:rFonts w:ascii="Consolas" w:hAnsi="Consolas"/>
          <w:color w:val="A03030"/>
          <w:sz w:val="18"/>
        </w:rPr>
        <w:t>src/ElpisEdgeConnect.Host/Adapters/*RegistrationExtensions.cs</w:t>
      </w:r>
      <w:r>
        <w:t xml:space="preserve">), so this block alone does not force-load the protocol assemblies. But the </w:t>
      </w:r>
      <w:r>
        <w:rPr>
          <w:i/>
        </w:rPr>
        <w:t>bodies</w:t>
      </w:r>
      <w:r>
        <w:t xml:space="preserve"> do — e.g. </w:t>
      </w:r>
      <w:r>
        <w:rPr>
          <w:rFonts w:ascii="Consolas" w:hAnsi="Consolas"/>
          <w:color w:val="A03030"/>
          <w:sz w:val="18"/>
        </w:rPr>
        <w:t>MelsecRegistrationExtensions</w:t>
      </w:r>
      <w:r>
        <w:t xml:space="preserve"> references </w:t>
      </w:r>
      <w:r>
        <w:rPr>
          <w:rFonts w:ascii="Consolas" w:hAnsi="Consolas"/>
          <w:color w:val="A03030"/>
          <w:sz w:val="18"/>
        </w:rPr>
        <w:t>MelsecSourceConfiguration.LicenseModuleKey</w:t>
      </w:r>
      <w:r>
        <w:t xml:space="preserve"> and constructs </w:t>
      </w:r>
      <w:r>
        <w:rPr>
          <w:rFonts w:ascii="Consolas" w:hAnsi="Consolas"/>
          <w:color w:val="A03030"/>
          <w:sz w:val="18"/>
        </w:rPr>
        <w:t>SourceRegistration</w:t>
      </w:r>
      <w:r>
        <w:t xml:space="preserve"> from Melsec types. Each is JITted on first call, which resolves </w:t>
      </w:r>
      <w:r>
        <w:rPr>
          <w:rFonts w:ascii="Consolas" w:hAnsi="Consolas"/>
          <w:color w:val="A03030"/>
          <w:sz w:val="18"/>
        </w:rPr>
        <w:t>ElpisEdgeConnect.Sources.Melsec.dll</w:t>
      </w:r>
      <w:r>
        <w:t xml:space="preserve">. The call is unconditional whenever </w:t>
      </w:r>
      <w:r>
        <w:rPr>
          <w:rFonts w:ascii="Consolas" w:hAnsi="Consolas"/>
          <w:color w:val="A03030"/>
          <w:sz w:val="18"/>
        </w:rPr>
        <w:t>preloadedConfig is not null</w:t>
      </w:r>
      <w:r>
        <w:t>, i.e. on every real gateway.</w:t>
      </w:r>
    </w:p>
    <w:p>
      <w:r>
        <w:t xml:space="preserve">Worse, and unconditionally — outside the </w:t>
      </w:r>
      <w:r>
        <w:rPr>
          <w:rFonts w:ascii="Consolas" w:hAnsi="Consolas"/>
          <w:color w:val="A03030"/>
          <w:sz w:val="18"/>
        </w:rPr>
        <w:t>if (preloadedConfig is not null)</w:t>
      </w:r>
      <w:r>
        <w:t xml:space="preserve"> block:</w:t>
      </w:r>
    </w:p>
    <w:p>
      <w:pPr>
        <w:pStyle w:val="CodeBlock"/>
      </w:pPr>
      <w:r>
        <w:t>using ElpisEdgeConnect.Sources.Focas2;   // file-top</w:t>
      </w:r>
    </w:p>
    <w:p>
      <w:pPr>
        <w:pStyle w:val="CodeBlock"/>
      </w:pPr>
      <w:r>
        <w:t>...</w:t>
      </w:r>
    </w:p>
    <w:p>
      <w:pPr>
        <w:pStyle w:val="CodeBlock"/>
      </w:pPr>
      <w:r>
        <w:t>services.AddSingleton&lt;Focas2FakeModeMeter&gt;();   // Sources.Focas2</w:t>
      </w:r>
    </w:p>
    <w:p>
      <w:pPr>
        <w:pStyle w:val="CodeBlock"/>
      </w:pPr>
      <w:r>
        <w:t>...</w:t>
      </w:r>
    </w:p>
    <w:p>
      <w:pPr>
        <w:pStyle w:val="CodeBlock"/>
      </w:pPr>
      <w:r>
        <w:t>services.AddSingleton&lt;S7FakeModeMeter&gt;();       // Sources.S7</w:t>
      </w:r>
    </w:p>
    <w:p>
      <w:pPr>
        <w:pStyle w:val="CodeBlock"/>
      </w:pPr>
      <w:r>
        <w:t>if (Focas2DemoModeOptions.IsEnabled) { ... }</w:t>
      </w:r>
    </w:p>
    <w:p>
      <w:pPr>
        <w:pStyle w:val="CodeBlock"/>
      </w:pPr>
      <w:r>
        <w:t>if (S7DemoModeOptions.IsEnabled)     { ... }</w:t>
      </w:r>
    </w:p>
    <w:p>
      <w:r>
        <w:rPr>
          <w:rFonts w:ascii="Consolas" w:hAnsi="Consolas"/>
          <w:color w:val="A03030"/>
          <w:sz w:val="18"/>
        </w:rPr>
        <w:t>typeof(Focas2FakeModeMeter)</w:t>
      </w:r>
      <w:r>
        <w:t xml:space="preserve"> and </w:t>
      </w:r>
      <w:r>
        <w:rPr>
          <w:rFonts w:ascii="Consolas" w:hAnsi="Consolas"/>
          <w:color w:val="A03030"/>
          <w:sz w:val="18"/>
        </w:rPr>
        <w:t>typeof(S7FakeModeMeter)</w:t>
      </w:r>
      <w:r>
        <w:t xml:space="preserve"> appear directly in </w:t>
      </w:r>
      <w:r>
        <w:rPr>
          <w:rFonts w:ascii="Consolas" w:hAnsi="Consolas"/>
          <w:color w:val="A03030"/>
          <w:sz w:val="18"/>
        </w:rPr>
        <w:t>ConfigureRuntimeAsync</w:t>
      </w:r>
      <w:r>
        <w:t xml:space="preserve">'s own IL. </w:t>
      </w:r>
      <w:r>
        <w:rPr>
          <w:b/>
        </w:rPr>
        <w:t>JITting `ConfigureRuntimeAsync` therefore requires `Sources.Focas2.dll` and `Sources.S7.dll` to be loadable — even on a Starter gateway with zero FOCAS2 and zero S7 sources configured.</w:t>
      </w:r>
    </w:p>
    <w:p>
      <w:pPr>
        <w:pStyle w:val="Heading3"/>
      </w:pPr>
      <w:r>
        <w:t>5.3 Studio level: unconditional per-protocol services and endpoints</w:t>
      </w:r>
    </w:p>
    <w:p>
      <w:r>
        <w:rPr>
          <w:rFonts w:ascii="Consolas" w:hAnsi="Consolas"/>
          <w:color w:val="A03030"/>
          <w:sz w:val="18"/>
        </w:rPr>
        <w:t>src/ElpisEdgeConnect.Management/Hosting/ManagementHostingExtensions.cs</w:t>
      </w:r>
      <w:r>
        <w:t xml:space="preserve"> registers a probe service and maps an API for </w:t>
      </w:r>
      <w:r>
        <w:rPr>
          <w:b/>
        </w:rPr>
        <w:t>every</w:t>
      </w:r>
      <w:r>
        <w:t xml:space="preserve"> protocol, unconditionally:</w:t>
      </w:r>
    </w:p>
    <w:p>
      <w:pPr>
        <w:pStyle w:val="CodeBlock"/>
      </w:pPr>
      <w:r>
        <w:t>builder.Services.AddSingleton&lt;Api.Focas2BrowseService&gt;();</w:t>
      </w:r>
    </w:p>
    <w:p>
      <w:pPr>
        <w:pStyle w:val="CodeBlock"/>
      </w:pPr>
      <w:r>
        <w:t>builder.Services.AddSingleton&lt;Api.MqttTestConnectionService&gt;();</w:t>
      </w:r>
    </w:p>
    <w:p>
      <w:pPr>
        <w:pStyle w:val="CodeBlock"/>
      </w:pPr>
      <w:r>
        <w:t>builder.Services.AddSingleton&lt;Api.BrotherHttpProbeService&gt;();</w:t>
      </w:r>
    </w:p>
    <w:p>
      <w:pPr>
        <w:pStyle w:val="CodeBlock"/>
      </w:pPr>
      <w:r>
        <w:t>builder.Services.AddSingleton&lt;Api.ModbusProbeService&gt;();</w:t>
      </w:r>
    </w:p>
    <w:p>
      <w:pPr>
        <w:pStyle w:val="CodeBlock"/>
      </w:pPr>
      <w:r>
        <w:t>builder.Services.AddSingleton&lt;Api.OpcUaClientTestConnectionService&gt;();</w:t>
      </w:r>
    </w:p>
    <w:p>
      <w:pPr>
        <w:pStyle w:val="CodeBlock"/>
      </w:pPr>
      <w:r>
        <w:t>builder.Services.AddSingleton&lt;Api.OpcUaClientBrowseApiService&gt;();</w:t>
      </w:r>
    </w:p>
    <w:p>
      <w:pPr>
        <w:pStyle w:val="CodeBlock"/>
      </w:pPr>
      <w:r>
        <w:t>builder.Services.AddSingleton&lt;Api.MTConnectBrowseService&gt;();</w:t>
      </w:r>
    </w:p>
    <w:p>
      <w:pPr>
        <w:pStyle w:val="CodeBlock"/>
      </w:pPr>
      <w:r>
        <w:t>builder.Services.AddSingleton&lt;Api.S7ProbeService&gt;();</w:t>
      </w:r>
    </w:p>
    <w:p>
      <w:pPr>
        <w:pStyle w:val="CodeBlock"/>
      </w:pPr>
      <w:r>
        <w:t>builder.Services.AddSingleton&lt;Api.EthernetIpProbeService&gt;();</w:t>
      </w:r>
    </w:p>
    <w:p>
      <w:pPr>
        <w:pStyle w:val="CodeBlock"/>
      </w:pPr>
      <w:r>
        <w:t>builder.Services.AddSingleton&lt;Api.MelsecProbeService&gt;();</w:t>
      </w:r>
    </w:p>
    <w:p>
      <w:pPr>
        <w:pStyle w:val="CodeBlock"/>
      </w:pPr>
      <w:r>
        <w:t>...</w:t>
      </w:r>
    </w:p>
    <w:p>
      <w:pPr>
        <w:pStyle w:val="CodeBlock"/>
      </w:pPr>
      <w:r>
        <w:t>app.MapFocas2BrowseApi(); app.MapModbusProbeApi(); app.MapS7ProbeApi();</w:t>
      </w:r>
    </w:p>
    <w:p>
      <w:pPr>
        <w:pStyle w:val="CodeBlock"/>
      </w:pPr>
      <w:r>
        <w:t>app.MapEthernetIpProbeApi(); app.MapMelsecProbeApi(); app.MapMelsecDiagnosticsApi();</w:t>
      </w:r>
    </w:p>
    <w:p>
      <w:pPr>
        <w:pStyle w:val="CodeBlock"/>
      </w:pPr>
      <w:r>
        <w:t>app.MapS7AddressValidationApi(); app.MapS7TagTemplateApi();  // and more</w:t>
      </w:r>
    </w:p>
    <w:p>
      <w:r>
        <w:t xml:space="preserve">and lines 98–99 read </w:t>
      </w:r>
      <w:r>
        <w:rPr>
          <w:rFonts w:ascii="Consolas" w:hAnsi="Consolas"/>
          <w:color w:val="A03030"/>
          <w:sz w:val="18"/>
        </w:rPr>
        <w:t>Focas2DemoModeOptions.IsEnabled</w:t>
      </w:r>
      <w:r>
        <w:t xml:space="preserve"> / </w:t>
      </w:r>
      <w:r>
        <w:rPr>
          <w:rFonts w:ascii="Consolas" w:hAnsi="Consolas"/>
          <w:color w:val="A03030"/>
          <w:sz w:val="18"/>
        </w:rPr>
        <w:t>S7DemoModeOptions.IsEnabled</w:t>
      </w:r>
      <w:r>
        <w:t xml:space="preserve"> directly. </w:t>
      </w:r>
      <w:r>
        <w:rPr>
          <w:b/>
        </w:rPr>
        <w:t>28 Management files</w:t>
      </w:r>
      <w:r>
        <w:t xml:space="preserve"> carry a </w:t>
      </w:r>
      <w:r>
        <w:rPr>
          <w:rFonts w:ascii="Consolas" w:hAnsi="Consolas"/>
          <w:color w:val="A03030"/>
          <w:sz w:val="18"/>
        </w:rPr>
        <w:t>using ElpisEdgeConnect.Sources.*</w:t>
      </w:r>
      <w:r>
        <w:t xml:space="preserve"> / </w:t>
      </w:r>
      <w:r>
        <w:rPr>
          <w:rFonts w:ascii="Consolas" w:hAnsi="Consolas"/>
          <w:color w:val="A03030"/>
          <w:sz w:val="18"/>
        </w:rPr>
        <w:t>Sinks.*</w:t>
      </w:r>
      <w:r>
        <w:t xml:space="preserve"> — wizard models, probe services, Razor pages (</w:t>
      </w:r>
      <w:r>
        <w:rPr>
          <w:rFonts w:ascii="Consolas" w:hAnsi="Consolas"/>
          <w:color w:val="A03030"/>
          <w:sz w:val="18"/>
        </w:rPr>
        <w:t>AddS7Source.razor</w:t>
      </w:r>
      <w:r>
        <w:t xml:space="preserve">, </w:t>
      </w:r>
      <w:r>
        <w:rPr>
          <w:rFonts w:ascii="Consolas" w:hAnsi="Consolas"/>
          <w:color w:val="A03030"/>
          <w:sz w:val="18"/>
        </w:rPr>
        <w:t>AddMelsecSource.razor</w:t>
      </w:r>
      <w:r>
        <w:t xml:space="preserve">, </w:t>
      </w:r>
      <w:r>
        <w:rPr>
          <w:rFonts w:ascii="Consolas" w:hAnsi="Consolas"/>
          <w:color w:val="A03030"/>
          <w:sz w:val="18"/>
        </w:rPr>
        <w:t>AddOpcUaServerDestination.razor</w:t>
      </w:r>
      <w:r>
        <w:t xml:space="preserve">, </w:t>
      </w:r>
      <w:r>
        <w:rPr>
          <w:rFonts w:ascii="Consolas" w:hAnsi="Consolas"/>
          <w:color w:val="A03030"/>
          <w:sz w:val="18"/>
        </w:rPr>
        <w:t>MelsecDiagnosticsPanel.razor</w:t>
      </w:r>
      <w:r>
        <w:t xml:space="preserve">, …). The </w:t>
      </w:r>
      <w:r>
        <w:rPr>
          <w:rFonts w:ascii="Consolas" w:hAnsi="Consolas"/>
          <w:color w:val="A03030"/>
          <w:sz w:val="18"/>
        </w:rPr>
        <w:t>Map*Api</w:t>
      </w:r>
      <w:r>
        <w:t xml:space="preserve"> calls execute at startup, so their JIT happens during boot.</w:t>
      </w:r>
    </w:p>
    <w:p>
      <w:r>
        <w:rPr>
          <w:rFonts w:ascii="Consolas" w:hAnsi="Consolas"/>
          <w:color w:val="A03030"/>
          <w:sz w:val="18"/>
        </w:rPr>
        <w:t>ElpisEdgeConnect.Management.csproj</w:t>
      </w:r>
      <w:r>
        <w:t xml:space="preserve"> also carries a </w:t>
      </w:r>
      <w:r>
        <w:rPr>
          <w:b/>
        </w:rPr>
        <w:t>direct</w:t>
      </w:r>
      <w:r>
        <w:t xml:space="preserve"> </w:t>
      </w:r>
      <w:r>
        <w:rPr>
          <w:rFonts w:ascii="Consolas" w:hAnsi="Consolas"/>
          <w:color w:val="A03030"/>
          <w:sz w:val="18"/>
        </w:rPr>
        <w:t>PackageReference</w:t>
      </w:r>
      <w:r>
        <w:t xml:space="preserve"> to </w:t>
      </w:r>
      <w:r>
        <w:rPr>
          <w:rFonts w:ascii="Consolas" w:hAnsi="Consolas"/>
          <w:color w:val="A03030"/>
          <w:sz w:val="18"/>
        </w:rPr>
        <w:t>FluentModbus 5.2.0</w:t>
      </w:r>
      <w:r>
        <w:t xml:space="preserve"> for </w:t>
      </w:r>
      <w:r>
        <w:rPr>
          <w:rFonts w:ascii="Consolas" w:hAnsi="Consolas"/>
          <w:color w:val="A03030"/>
          <w:sz w:val="18"/>
        </w:rPr>
        <w:t>ModbusProbeService</w:t>
      </w:r>
      <w:r>
        <w:t xml:space="preserve"> — so </w:t>
      </w:r>
      <w:r>
        <w:rPr>
          <w:rFonts w:ascii="Consolas" w:hAnsi="Consolas"/>
          <w:color w:val="A03030"/>
          <w:sz w:val="18"/>
        </w:rPr>
        <w:t>FluentModbus.dll</w:t>
      </w:r>
      <w:r>
        <w:t xml:space="preserve"> can never be dropped while the Studio ships, no matter what the license says about </w:t>
      </w:r>
      <w:r>
        <w:rPr>
          <w:rFonts w:ascii="Consolas" w:hAnsi="Consolas"/>
          <w:color w:val="A03030"/>
          <w:sz w:val="18"/>
        </w:rPr>
        <w:t>source-modbus-tcp</w:t>
      </w:r>
      <w:r>
        <w:t>.</w:t>
      </w:r>
    </w:p>
    <w:p>
      <w:pPr>
        <w:pStyle w:val="Heading3"/>
      </w:pPr>
      <w:r>
        <w:t>5.4 What this means for the design</w:t>
      </w:r>
    </w:p>
    <w:p>
      <w:r>
        <w:t>Two viable routes, and they trade differently:</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Route R1 — graceful absence</w:t>
            </w:r>
            <w:r>
              <w:rPr>
                <w:b/>
                <w:sz w:val="18"/>
              </w:rPr>
              <w:t xml:space="preserve"> (runtime tolerates a missing assembly)</w:t>
            </w:r>
          </w:p>
        </w:tc>
        <w:tc>
          <w:tcPr>
            <w:tcW w:type="dxa" w:w="2880"/>
          </w:tcPr>
          <w:p>
            <w:r>
              <w:rPr>
                <w:b/>
                <w:sz w:val="18"/>
              </w:rPr>
            </w:r>
            <w:r>
              <w:rPr>
                <w:b/>
                <w:sz w:val="18"/>
              </w:rPr>
              <w:t>Route R2 — per-edition compile</w:t>
            </w:r>
            <w:r>
              <w:rPr>
                <w:b/>
                <w:sz w:val="18"/>
              </w:rPr>
              <w:t xml:space="preserve"> (</w:t>
            </w:r>
            <w:r>
              <w:rPr>
                <w:rFonts w:ascii="Consolas" w:hAnsi="Consolas"/>
                <w:b/>
                <w:color w:val="A03030"/>
                <w:sz w:val="18"/>
              </w:rPr>
              <w:t>ProjectReference</w:t>
            </w:r>
            <w:r>
              <w:rPr>
                <w:b/>
                <w:sz w:val="18"/>
              </w:rPr>
              <w:t xml:space="preserve"> conditioned on </w:t>
            </w:r>
            <w:r>
              <w:rPr>
                <w:rFonts w:ascii="Consolas" w:hAnsi="Consolas"/>
                <w:b/>
                <w:color w:val="A03030"/>
                <w:sz w:val="18"/>
              </w:rPr>
              <w:t>$(EdgeConnectEdition)</w:t>
            </w:r>
            <w:r>
              <w:rPr>
                <w:b/>
                <w:sz w:val="18"/>
              </w:rPr>
              <w:t>)</w:t>
            </w:r>
          </w:p>
        </w:tc>
      </w:tr>
      <w:tr>
        <w:tc>
          <w:tcPr>
            <w:tcW w:type="dxa" w:w="2880"/>
          </w:tcPr>
          <w:p>
            <w:r>
              <w:rPr>
                <w:sz w:val="18"/>
              </w:rPr>
            </w:r>
            <w:r>
              <w:rPr>
                <w:sz w:val="18"/>
              </w:rPr>
              <w:t>Composition root</w:t>
            </w:r>
          </w:p>
        </w:tc>
        <w:tc>
          <w:tcPr>
            <w:tcW w:type="dxa" w:w="2880"/>
          </w:tcPr>
          <w:p>
            <w:r>
              <w:rPr>
                <w:sz w:val="18"/>
              </w:rPr>
            </w:r>
            <w:r>
              <w:rPr>
                <w:sz w:val="18"/>
              </w:rPr>
              <w:t xml:space="preserve">Wrap each adapter's wiring in a </w:t>
            </w:r>
            <w:r>
              <w:rPr>
                <w:rFonts w:ascii="Consolas" w:hAnsi="Consolas"/>
                <w:color w:val="A03030"/>
                <w:sz w:val="18"/>
              </w:rPr>
              <w:t>[MethodImpl(MethodImplOptions.NoInlining)]</w:t>
            </w:r>
            <w:r>
              <w:rPr>
                <w:sz w:val="18"/>
              </w:rPr>
              <w:t xml:space="preserve"> shim + </w:t>
            </w:r>
            <w:r>
              <w:rPr>
                <w:rFonts w:ascii="Consolas" w:hAnsi="Consolas"/>
                <w:color w:val="A03030"/>
                <w:sz w:val="18"/>
              </w:rPr>
              <w:t>try/catch (FileNotFoundException)</w:t>
            </w:r>
            <w:r>
              <w:rPr>
                <w:sz w:val="18"/>
              </w:rPr>
              <w:t>; move the FakeModeMeter registrations behind the same shims.</w:t>
            </w:r>
          </w:p>
        </w:tc>
        <w:tc>
          <w:tcPr>
            <w:tcW w:type="dxa" w:w="2880"/>
          </w:tcPr>
          <w:p>
            <w:r>
              <w:rPr>
                <w:sz w:val="18"/>
              </w:rPr>
            </w:r>
            <w:r>
              <w:rPr>
                <w:rFonts w:ascii="Consolas" w:hAnsi="Consolas"/>
                <w:color w:val="A03030"/>
                <w:sz w:val="18"/>
              </w:rPr>
              <w:t>#if EDITION_HAS_S7</w:t>
            </w:r>
            <w:r>
              <w:rPr>
                <w:sz w:val="18"/>
              </w:rPr>
              <w:t xml:space="preserve"> around the call; assembly genuinely not referenced.</w:t>
            </w:r>
          </w:p>
        </w:tc>
      </w:tr>
      <w:tr>
        <w:tc>
          <w:tcPr>
            <w:tcW w:type="dxa" w:w="2880"/>
          </w:tcPr>
          <w:p>
            <w:r>
              <w:rPr>
                <w:sz w:val="18"/>
              </w:rPr>
            </w:r>
            <w:r>
              <w:rPr>
                <w:sz w:val="18"/>
              </w:rPr>
              <w:t>deps.json problem (§5.1)</w:t>
            </w:r>
          </w:p>
        </w:tc>
        <w:tc>
          <w:tcPr>
            <w:tcW w:type="dxa" w:w="2880"/>
          </w:tcPr>
          <w:p>
            <w:r>
              <w:rPr>
                <w:sz w:val="18"/>
              </w:rPr>
            </w:r>
            <w:r>
              <w:rPr>
                <w:b/>
                <w:sz w:val="18"/>
              </w:rPr>
              <w:t>Not solved.</w:t>
            </w:r>
            <w:r>
              <w:rPr>
                <w:sz w:val="18"/>
              </w:rPr>
              <w:t xml:space="preserve"> Still fails in </w:t>
            </w:r>
            <w:r>
              <w:rPr>
                <w:rFonts w:ascii="Consolas" w:hAnsi="Consolas"/>
                <w:color w:val="A03030"/>
                <w:sz w:val="18"/>
              </w:rPr>
              <w:t>hostpolicy</w:t>
            </w:r>
            <w:r>
              <w:rPr>
                <w:sz w:val="18"/>
              </w:rPr>
              <w:t xml:space="preserve"> before managed code. Needs the assembly excluded from publish </w:t>
            </w:r>
            <w:r>
              <w:rPr>
                <w:i/>
                <w:sz w:val="18"/>
              </w:rPr>
              <w:t>and</w:t>
            </w:r>
            <w:r>
              <w:rPr>
                <w:sz w:val="18"/>
              </w:rPr>
              <w:t xml:space="preserve"> deps.json — which means a conditioned build anyway.</w:t>
            </w:r>
          </w:p>
        </w:tc>
        <w:tc>
          <w:tcPr>
            <w:tcW w:type="dxa" w:w="2880"/>
          </w:tcPr>
          <w:p>
            <w:r>
              <w:rPr>
                <w:sz w:val="18"/>
              </w:rPr>
            </w:r>
            <w:r>
              <w:rPr>
                <w:sz w:val="18"/>
              </w:rPr>
              <w:t>Solved by construction.</w:t>
            </w:r>
          </w:p>
        </w:tc>
      </w:tr>
      <w:tr>
        <w:tc>
          <w:tcPr>
            <w:tcW w:type="dxa" w:w="2880"/>
          </w:tcPr>
          <w:p>
            <w:r>
              <w:rPr>
                <w:sz w:val="18"/>
              </w:rPr>
            </w:r>
            <w:r>
              <w:rPr>
                <w:sz w:val="18"/>
              </w:rPr>
              <w:t>Management (28 files, Razor)</w:t>
            </w:r>
          </w:p>
        </w:tc>
        <w:tc>
          <w:tcPr>
            <w:tcW w:type="dxa" w:w="2880"/>
          </w:tcPr>
          <w:p>
            <w:r>
              <w:rPr>
                <w:sz w:val="18"/>
              </w:rPr>
            </w:r>
            <w:r>
              <w:rPr>
                <w:sz w:val="18"/>
              </w:rPr>
              <w:t>Needs the same treatment across probe services + endpoint maps; Razor pages must be conditionally excluded from compilation.</w:t>
            </w:r>
          </w:p>
        </w:tc>
        <w:tc>
          <w:tcPr>
            <w:tcW w:type="dxa" w:w="2880"/>
          </w:tcPr>
          <w:p>
            <w:r>
              <w:rPr>
                <w:sz w:val="18"/>
              </w:rPr>
            </w:r>
            <w:r>
              <w:rPr>
                <w:sz w:val="18"/>
              </w:rPr>
              <w:t xml:space="preserve">Same problem, expressed as </w:t>
            </w:r>
            <w:r>
              <w:rPr>
                <w:rFonts w:ascii="Consolas" w:hAnsi="Consolas"/>
                <w:color w:val="A03030"/>
                <w:sz w:val="18"/>
              </w:rPr>
              <w:t>#if</w:t>
            </w:r>
            <w:r>
              <w:rPr>
                <w:sz w:val="18"/>
              </w:rPr>
              <w:t xml:space="preserve"> / conditional </w:t>
            </w:r>
            <w:r>
              <w:rPr>
                <w:rFonts w:ascii="Consolas" w:hAnsi="Consolas"/>
                <w:color w:val="A03030"/>
                <w:sz w:val="18"/>
              </w:rPr>
              <w:t>&lt;Compile Remove&gt;</w:t>
            </w:r>
            <w:r>
              <w:rPr>
                <w:sz w:val="18"/>
              </w:rPr>
              <w:t>. Razor conditional compilation is awkward.</w:t>
            </w:r>
          </w:p>
        </w:tc>
      </w:tr>
      <w:tr>
        <w:tc>
          <w:tcPr>
            <w:tcW w:type="dxa" w:w="2880"/>
          </w:tcPr>
          <w:p>
            <w:r>
              <w:rPr>
                <w:sz w:val="18"/>
              </w:rPr>
            </w:r>
            <w:r>
              <w:rPr>
                <w:sz w:val="18"/>
              </w:rPr>
              <w:t>Tension with Locked #4 / anti-pattern #2</w:t>
            </w:r>
          </w:p>
        </w:tc>
        <w:tc>
          <w:tcPr>
            <w:tcW w:type="dxa" w:w="2880"/>
          </w:tcPr>
          <w:p>
            <w:r>
              <w:rPr>
                <w:sz w:val="18"/>
              </w:rPr>
            </w:r>
            <w:r>
              <w:rPr>
                <w:sz w:val="18"/>
              </w:rPr>
              <w:t xml:space="preserve">Mild — this is </w:t>
            </w:r>
            <w:r>
              <w:rPr>
                <w:i/>
                <w:sz w:val="18"/>
              </w:rPr>
              <w:t>tolerating absence</w:t>
            </w:r>
            <w:r>
              <w:rPr>
                <w:sz w:val="18"/>
              </w:rPr>
              <w:t>, not dynamic loading. But it deserves an explicit ADR ruling.</w:t>
            </w:r>
          </w:p>
        </w:tc>
        <w:tc>
          <w:tcPr>
            <w:tcW w:type="dxa" w:w="2880"/>
          </w:tcPr>
          <w:p>
            <w:r>
              <w:rPr>
                <w:sz w:val="18"/>
              </w:rPr>
            </w:r>
            <w:r>
              <w:rPr>
                <w:sz w:val="18"/>
              </w:rPr>
              <w:t>None.</w:t>
            </w:r>
          </w:p>
        </w:tc>
      </w:tr>
      <w:tr>
        <w:tc>
          <w:tcPr>
            <w:tcW w:type="dxa" w:w="2880"/>
          </w:tcPr>
          <w:p>
            <w:r>
              <w:rPr>
                <w:sz w:val="18"/>
              </w:rPr>
            </w:r>
            <w:r>
              <w:rPr>
                <w:sz w:val="18"/>
              </w:rPr>
              <w:t>Test matrix</w:t>
            </w:r>
          </w:p>
        </w:tc>
        <w:tc>
          <w:tcPr>
            <w:tcW w:type="dxa" w:w="2880"/>
          </w:tcPr>
          <w:p>
            <w:r>
              <w:rPr>
                <w:sz w:val="18"/>
              </w:rPr>
            </w:r>
            <w:r>
              <w:rPr>
                <w:sz w:val="18"/>
              </w:rPr>
              <w:t>1 build, N runtime configs.</w:t>
            </w:r>
          </w:p>
        </w:tc>
        <w:tc>
          <w:tcPr>
            <w:tcW w:type="dxa" w:w="2880"/>
          </w:tcPr>
          <w:p>
            <w:r>
              <w:rPr>
                <w:sz w:val="18"/>
              </w:rPr>
            </w:r>
            <w:r>
              <w:rPr>
                <w:sz w:val="18"/>
              </w:rPr>
              <w:t>N builds, N test runs.</w:t>
            </w:r>
          </w:p>
        </w:tc>
      </w:tr>
    </w:tbl>
    <w:p/>
    <w:p>
      <w:r>
        <w:rPr>
          <w:b/>
        </w:rPr>
        <w:t>Recommendation: R2, because §5.1 forces it.</w:t>
      </w:r>
      <w:r>
        <w:t xml:space="preserve"> Route R1 cannot fix the </w:t>
      </w:r>
      <w:r>
        <w:rPr>
          <w:rFonts w:ascii="Consolas" w:hAnsi="Consolas"/>
          <w:color w:val="A03030"/>
          <w:sz w:val="18"/>
        </w:rPr>
        <w:t>hostpolicy</w:t>
      </w:r>
      <w:r>
        <w:t xml:space="preserve"> failure without also conditioning the build, so R1's extra runtime machinery would be paid for and still not be sufficient. R2 with a </w:t>
      </w:r>
      <w:r>
        <w:rPr>
          <w:b/>
        </w:rPr>
        <w:t>coarse edition axis</w:t>
      </w:r>
      <w:r>
        <w:t xml:space="preserve"> (see §8) keeps the </w:t>
      </w:r>
      <w:r>
        <w:rPr>
          <w:rFonts w:ascii="Consolas" w:hAnsi="Consolas"/>
          <w:color w:val="A03030"/>
          <w:sz w:val="18"/>
        </w:rPr>
        <w:t>#if</w:t>
      </w:r>
      <w:r>
        <w:t xml:space="preserve"> count tractable.</w:t>
      </w:r>
    </w:p>
    <w:p>
      <w:r>
        <w:rPr>
          <w:b/>
        </w:rPr>
        <w:t>If Slice N.0 disproves §5.1</w:t>
      </w:r>
      <w:r>
        <w:t xml:space="preserve"> (i.e. </w:t>
      </w:r>
      <w:r>
        <w:rPr>
          <w:rFonts w:ascii="Consolas" w:hAnsi="Consolas"/>
          <w:color w:val="A03030"/>
          <w:sz w:val="18"/>
        </w:rPr>
        <w:t>hostpolicy</w:t>
      </w:r>
      <w:r>
        <w:t xml:space="preserve"> tolerates a missing TPA entry and the failure is a lazy </w:t>
      </w:r>
      <w:r>
        <w:rPr>
          <w:rFonts w:ascii="Consolas" w:hAnsi="Consolas"/>
          <w:color w:val="A03030"/>
          <w:sz w:val="18"/>
        </w:rPr>
        <w:t>FileNotFoundException</w:t>
      </w:r>
      <w:r>
        <w:t xml:space="preserve"> at JIT time), then R1 becomes viable and much cheaper, and the plan should pivot. That is precisely why N.0 comes first.</w:t>
      </w:r>
    </w:p>
    <w:p/>
    <w:p>
      <w:pPr>
        <w:pStyle w:val="Heading2"/>
      </w:pPr>
      <w:r>
        <w:t>6. What actually differs per edition (Question D, concrete)</w:t>
      </w:r>
    </w:p>
    <w:p>
      <w:r>
        <w:t xml:space="preserve">Measured from the real </w:t>
      </w:r>
      <w:r>
        <w:rPr>
          <w:rFonts w:ascii="Consolas" w:hAnsi="Consolas"/>
          <w:color w:val="A03030"/>
          <w:sz w:val="18"/>
        </w:rPr>
        <w:t>publish/Management/</w:t>
      </w:r>
      <w:r>
        <w:t xml:space="preserve"> on disk (byte sizes, 2026-08-06 build).</w:t>
      </w:r>
    </w:p>
    <w:p>
      <w:pPr>
        <w:pStyle w:val="Heading3"/>
      </w:pPr>
      <w:r>
        <w:t>6.1 Module key → files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Module key</w:t>
            </w:r>
          </w:p>
        </w:tc>
        <w:tc>
          <w:tcPr>
            <w:tcW w:type="dxa" w:w="1728"/>
          </w:tcPr>
          <w:p>
            <w:r>
              <w:rPr>
                <w:b/>
                <w:sz w:val="18"/>
              </w:rPr>
            </w:r>
            <w:r>
              <w:rPr>
                <w:b/>
                <w:sz w:val="18"/>
              </w:rPr>
              <w:t>First-party assembly</w:t>
            </w:r>
          </w:p>
        </w:tc>
        <w:tc>
          <w:tcPr>
            <w:tcW w:type="dxa" w:w="1728"/>
          </w:tcPr>
          <w:p>
            <w:r>
              <w:rPr>
                <w:b/>
                <w:sz w:val="18"/>
              </w:rPr>
            </w:r>
            <w:r>
              <w:rPr>
                <w:b/>
                <w:sz w:val="18"/>
              </w:rPr>
              <w:t>Bytes</w:t>
            </w:r>
          </w:p>
        </w:tc>
        <w:tc>
          <w:tcPr>
            <w:tcW w:type="dxa" w:w="1728"/>
          </w:tcPr>
          <w:p>
            <w:r>
              <w:rPr>
                <w:b/>
                <w:sz w:val="18"/>
              </w:rPr>
            </w:r>
            <w:r>
              <w:rPr>
                <w:b/>
                <w:sz w:val="18"/>
              </w:rPr>
              <w:t>Third-party payload it pulls in</w:t>
            </w:r>
          </w:p>
        </w:tc>
        <w:tc>
          <w:tcPr>
            <w:tcW w:type="dxa" w:w="1728"/>
          </w:tcPr>
          <w:p>
            <w:r>
              <w:rPr>
                <w:b/>
                <w:sz w:val="18"/>
              </w:rPr>
            </w:r>
            <w:r>
              <w:rPr>
                <w:b/>
                <w:sz w:val="18"/>
              </w:rPr>
              <w:t>Bytes</w:t>
            </w:r>
          </w:p>
        </w:tc>
      </w:tr>
      <w:tr>
        <w:tc>
          <w:tcPr>
            <w:tcW w:type="dxa" w:w="1728"/>
          </w:tcPr>
          <w:p>
            <w:r>
              <w:rPr>
                <w:sz w:val="18"/>
              </w:rPr>
            </w:r>
            <w:r>
              <w:rPr>
                <w:rFonts w:ascii="Consolas" w:hAnsi="Consolas"/>
                <w:color w:val="A03030"/>
                <w:sz w:val="18"/>
              </w:rPr>
              <w:t>core-runtime</w:t>
            </w:r>
          </w:p>
        </w:tc>
        <w:tc>
          <w:tcPr>
            <w:tcW w:type="dxa" w:w="1728"/>
          </w:tcPr>
          <w:p>
            <w:r>
              <w:rPr>
                <w:sz w:val="18"/>
              </w:rPr>
            </w:r>
            <w:r>
              <w:rPr>
                <w:rFonts w:ascii="Consolas" w:hAnsi="Consolas"/>
                <w:color w:val="A03030"/>
                <w:sz w:val="18"/>
              </w:rPr>
              <w:t>ElpisEdgeConnect.Core.dll</w:t>
            </w:r>
          </w:p>
        </w:tc>
        <w:tc>
          <w:tcPr>
            <w:tcW w:type="dxa" w:w="1728"/>
          </w:tcPr>
          <w:p>
            <w:r>
              <w:rPr>
                <w:sz w:val="18"/>
              </w:rPr>
            </w:r>
            <w:r>
              <w:rPr>
                <w:sz w:val="18"/>
              </w:rPr>
              <w:t>595,968</w:t>
            </w:r>
          </w:p>
        </w:tc>
        <w:tc>
          <w:tcPr>
            <w:tcW w:type="dxa" w:w="1728"/>
          </w:tcPr>
          <w:p>
            <w:r>
              <w:rPr>
                <w:sz w:val="18"/>
              </w:rPr>
            </w:r>
            <w:r>
              <w:rPr>
                <w:i/>
                <w:sz w:val="18"/>
              </w:rPr>
              <w:t>(always)</w:t>
            </w:r>
          </w:p>
        </w:tc>
        <w:tc>
          <w:tcPr>
            <w:tcW w:type="dxa" w:w="1728"/>
          </w:tcPr>
          <w:p>
            <w:r>
              <w:rPr>
                <w:sz w:val="18"/>
              </w:rPr>
            </w:r>
            <w:r>
              <w:rPr>
                <w:sz w:val="18"/>
              </w:rPr>
              <w:t>—</w:t>
            </w:r>
          </w:p>
        </w:tc>
      </w:tr>
      <w:tr>
        <w:tc>
          <w:tcPr>
            <w:tcW w:type="dxa" w:w="1728"/>
          </w:tcPr>
          <w:p>
            <w:r>
              <w:rPr>
                <w:sz w:val="18"/>
              </w:rPr>
            </w:r>
            <w:r>
              <w:rPr>
                <w:i/>
                <w:sz w:val="18"/>
              </w:rPr>
              <w:t>(host)</w:t>
            </w:r>
          </w:p>
        </w:tc>
        <w:tc>
          <w:tcPr>
            <w:tcW w:type="dxa" w:w="1728"/>
          </w:tcPr>
          <w:p>
            <w:r>
              <w:rPr>
                <w:sz w:val="18"/>
              </w:rPr>
            </w:r>
            <w:r>
              <w:rPr>
                <w:rFonts w:ascii="Consolas" w:hAnsi="Consolas"/>
                <w:color w:val="A03030"/>
                <w:sz w:val="18"/>
              </w:rPr>
              <w:t>ElpisEdgeConnect.Host.dll</w:t>
            </w:r>
          </w:p>
        </w:tc>
        <w:tc>
          <w:tcPr>
            <w:tcW w:type="dxa" w:w="1728"/>
          </w:tcPr>
          <w:p>
            <w:r>
              <w:rPr>
                <w:sz w:val="18"/>
              </w:rPr>
            </w:r>
            <w:r>
              <w:rPr>
                <w:sz w:val="18"/>
              </w:rPr>
              <w:t>204,288</w:t>
            </w:r>
          </w:p>
        </w:tc>
        <w:tc>
          <w:tcPr>
            <w:tcW w:type="dxa" w:w="1728"/>
          </w:tcPr>
          <w:p>
            <w:r>
              <w:rPr>
                <w:sz w:val="18"/>
              </w:rPr>
            </w:r>
            <w:r>
              <w:rPr>
                <w:i/>
                <w:sz w:val="18"/>
              </w:rPr>
              <w:t>(always)</w:t>
            </w:r>
          </w:p>
        </w:tc>
        <w:tc>
          <w:tcPr>
            <w:tcW w:type="dxa" w:w="1728"/>
          </w:tcPr>
          <w:p>
            <w:r>
              <w:rPr>
                <w:sz w:val="18"/>
              </w:rPr>
            </w:r>
            <w:r>
              <w:rPr>
                <w:sz w:val="18"/>
              </w:rPr>
              <w:t>—</w:t>
            </w:r>
          </w:p>
        </w:tc>
      </w:tr>
      <w:tr>
        <w:tc>
          <w:tcPr>
            <w:tcW w:type="dxa" w:w="1728"/>
          </w:tcPr>
          <w:p>
            <w:r>
              <w:rPr>
                <w:sz w:val="18"/>
              </w:rPr>
            </w:r>
            <w:r>
              <w:rPr>
                <w:rFonts w:ascii="Consolas" w:hAnsi="Consolas"/>
                <w:color w:val="A03030"/>
                <w:sz w:val="18"/>
              </w:rPr>
              <w:t>connectivity-studio</w:t>
            </w:r>
          </w:p>
        </w:tc>
        <w:tc>
          <w:tcPr>
            <w:tcW w:type="dxa" w:w="1728"/>
          </w:tcPr>
          <w:p>
            <w:r>
              <w:rPr>
                <w:sz w:val="18"/>
              </w:rPr>
            </w:r>
            <w:r>
              <w:rPr>
                <w:rFonts w:ascii="Consolas" w:hAnsi="Consolas"/>
                <w:color w:val="A03030"/>
                <w:sz w:val="18"/>
              </w:rPr>
              <w:t>ElpisEdgeConnect.Management.dll</w:t>
            </w:r>
          </w:p>
        </w:tc>
        <w:tc>
          <w:tcPr>
            <w:tcW w:type="dxa" w:w="1728"/>
          </w:tcPr>
          <w:p>
            <w:r>
              <w:rPr>
                <w:sz w:val="18"/>
              </w:rPr>
            </w:r>
            <w:r>
              <w:rPr>
                <w:sz w:val="18"/>
              </w:rPr>
              <w:t>2,292,736</w:t>
            </w:r>
          </w:p>
        </w:tc>
        <w:tc>
          <w:tcPr>
            <w:tcW w:type="dxa" w:w="1728"/>
          </w:tcPr>
          <w:p>
            <w:r>
              <w:rPr>
                <w:sz w:val="18"/>
              </w:rPr>
            </w:r>
            <w:r>
              <w:rPr>
                <w:rFonts w:ascii="Consolas" w:hAnsi="Consolas"/>
                <w:color w:val="A03030"/>
                <w:sz w:val="18"/>
              </w:rPr>
              <w:t>MudBlazor.dll</w:t>
            </w:r>
            <w:r>
              <w:rPr>
                <w:sz w:val="18"/>
              </w:rPr>
              <w:t xml:space="preserve"> 9,145,856; </w:t>
            </w:r>
            <w:r>
              <w:rPr>
                <w:rFonts w:ascii="Consolas" w:hAnsi="Consolas"/>
                <w:color w:val="A03030"/>
                <w:sz w:val="18"/>
              </w:rPr>
              <w:t>Swashbuckle.*</w:t>
            </w:r>
            <w:r>
              <w:rPr>
                <w:sz w:val="18"/>
              </w:rPr>
              <w:t xml:space="preserve"> ~2,406,912</w:t>
            </w:r>
          </w:p>
        </w:tc>
        <w:tc>
          <w:tcPr>
            <w:tcW w:type="dxa" w:w="1728"/>
          </w:tcPr>
          <w:p>
            <w:r>
              <w:rPr>
                <w:sz w:val="18"/>
              </w:rPr>
            </w:r>
            <w:r>
              <w:rPr>
                <w:sz w:val="18"/>
              </w:rPr>
              <w:t>~11.5 MB</w:t>
            </w:r>
          </w:p>
        </w:tc>
      </w:tr>
      <w:tr>
        <w:tc>
          <w:tcPr>
            <w:tcW w:type="dxa" w:w="1728"/>
          </w:tcPr>
          <w:p>
            <w:r>
              <w:rPr>
                <w:sz w:val="18"/>
              </w:rPr>
            </w:r>
            <w:r>
              <w:rPr>
                <w:rFonts w:ascii="Consolas" w:hAnsi="Consolas"/>
                <w:color w:val="A03030"/>
                <w:sz w:val="18"/>
              </w:rPr>
              <w:t>source-modbus-tcp</w:t>
            </w:r>
          </w:p>
        </w:tc>
        <w:tc>
          <w:tcPr>
            <w:tcW w:type="dxa" w:w="1728"/>
          </w:tcPr>
          <w:p>
            <w:r>
              <w:rPr>
                <w:sz w:val="18"/>
              </w:rPr>
            </w:r>
            <w:r>
              <w:rPr>
                <w:rFonts w:ascii="Consolas" w:hAnsi="Consolas"/>
                <w:color w:val="A03030"/>
                <w:sz w:val="18"/>
              </w:rPr>
              <w:t>…Sources.ModbusTcp.dll</w:t>
            </w:r>
          </w:p>
        </w:tc>
        <w:tc>
          <w:tcPr>
            <w:tcW w:type="dxa" w:w="1728"/>
          </w:tcPr>
          <w:p>
            <w:r>
              <w:rPr>
                <w:sz w:val="18"/>
              </w:rPr>
            </w:r>
            <w:r>
              <w:rPr>
                <w:sz w:val="18"/>
              </w:rPr>
              <w:t>175,616</w:t>
            </w:r>
          </w:p>
        </w:tc>
        <w:tc>
          <w:tcPr>
            <w:tcW w:type="dxa" w:w="1728"/>
          </w:tcPr>
          <w:p>
            <w:r>
              <w:rPr>
                <w:sz w:val="18"/>
              </w:rPr>
            </w:r>
            <w:r>
              <w:rPr>
                <w:rFonts w:ascii="Consolas" w:hAnsi="Consolas"/>
                <w:color w:val="A03030"/>
                <w:sz w:val="18"/>
              </w:rPr>
              <w:t>FluentModbus.dll</w:t>
            </w:r>
            <w:r>
              <w:rPr>
                <w:sz w:val="18"/>
              </w:rPr>
              <w:t xml:space="preserve"> 151,040 — </w:t>
            </w:r>
            <w:r>
              <w:rPr>
                <w:b/>
                <w:sz w:val="18"/>
              </w:rPr>
              <w:t>also a direct Management dependency, cannot be dropped</w:t>
            </w:r>
          </w:p>
        </w:tc>
        <w:tc>
          <w:tcPr>
            <w:tcW w:type="dxa" w:w="1728"/>
          </w:tcPr>
          <w:p>
            <w:r>
              <w:rPr>
                <w:sz w:val="18"/>
              </w:rPr>
            </w:r>
            <w:r>
              <w:rPr>
                <w:sz w:val="18"/>
              </w:rPr>
              <w:t>151,040</w:t>
            </w:r>
          </w:p>
        </w:tc>
      </w:tr>
      <w:tr>
        <w:tc>
          <w:tcPr>
            <w:tcW w:type="dxa" w:w="1728"/>
          </w:tcPr>
          <w:p>
            <w:r>
              <w:rPr>
                <w:sz w:val="18"/>
              </w:rPr>
            </w:r>
            <w:r>
              <w:rPr>
                <w:rFonts w:ascii="Consolas" w:hAnsi="Consolas"/>
                <w:color w:val="A03030"/>
                <w:sz w:val="18"/>
              </w:rPr>
              <w:t>source-focas2</w:t>
            </w:r>
          </w:p>
        </w:tc>
        <w:tc>
          <w:tcPr>
            <w:tcW w:type="dxa" w:w="1728"/>
          </w:tcPr>
          <w:p>
            <w:r>
              <w:rPr>
                <w:sz w:val="18"/>
              </w:rPr>
            </w:r>
            <w:r>
              <w:rPr>
                <w:rFonts w:ascii="Consolas" w:hAnsi="Consolas"/>
                <w:color w:val="A03030"/>
                <w:sz w:val="18"/>
              </w:rPr>
              <w:t>…Sources.Focas2.dll</w:t>
            </w:r>
          </w:p>
        </w:tc>
        <w:tc>
          <w:tcPr>
            <w:tcW w:type="dxa" w:w="1728"/>
          </w:tcPr>
          <w:p>
            <w:r>
              <w:rPr>
                <w:sz w:val="18"/>
              </w:rPr>
            </w:r>
            <w:r>
              <w:rPr>
                <w:sz w:val="18"/>
              </w:rPr>
              <w:t>99,328</w:t>
            </w:r>
          </w:p>
        </w:tc>
        <w:tc>
          <w:tcPr>
            <w:tcW w:type="dxa" w:w="1728"/>
          </w:tcPr>
          <w:p>
            <w:r>
              <w:rPr>
                <w:sz w:val="18"/>
              </w:rPr>
            </w:r>
            <w:r>
              <w:rPr>
                <w:b/>
                <w:sz w:val="18"/>
              </w:rPr>
              <w:t>6 native FOCAS DLLs, 11,760,600 B, shipped into BOTH dirs → ~23.5 MB</w:t>
            </w:r>
          </w:p>
        </w:tc>
        <w:tc>
          <w:tcPr>
            <w:tcW w:type="dxa" w:w="1728"/>
          </w:tcPr>
          <w:p>
            <w:r>
              <w:rPr>
                <w:sz w:val="18"/>
              </w:rPr>
            </w:r>
            <w:r>
              <w:rPr>
                <w:sz w:val="18"/>
              </w:rPr>
              <w:t>23,521,200</w:t>
            </w:r>
          </w:p>
        </w:tc>
      </w:tr>
      <w:tr>
        <w:tc>
          <w:tcPr>
            <w:tcW w:type="dxa" w:w="1728"/>
          </w:tcPr>
          <w:p>
            <w:r>
              <w:rPr>
                <w:sz w:val="18"/>
              </w:rPr>
            </w:r>
            <w:r>
              <w:rPr>
                <w:rFonts w:ascii="Consolas" w:hAnsi="Consolas"/>
                <w:color w:val="A03030"/>
                <w:sz w:val="18"/>
              </w:rPr>
              <w:t>source-mtconnect</w:t>
            </w:r>
          </w:p>
        </w:tc>
        <w:tc>
          <w:tcPr>
            <w:tcW w:type="dxa" w:w="1728"/>
          </w:tcPr>
          <w:p>
            <w:r>
              <w:rPr>
                <w:sz w:val="18"/>
              </w:rPr>
            </w:r>
            <w:r>
              <w:rPr>
                <w:rFonts w:ascii="Consolas" w:hAnsi="Consolas"/>
                <w:color w:val="A03030"/>
                <w:sz w:val="18"/>
              </w:rPr>
              <w:t>…Sources.MTConnect.dll</w:t>
            </w:r>
          </w:p>
        </w:tc>
        <w:tc>
          <w:tcPr>
            <w:tcW w:type="dxa" w:w="1728"/>
          </w:tcPr>
          <w:p>
            <w:r>
              <w:rPr>
                <w:sz w:val="18"/>
              </w:rPr>
            </w:r>
            <w:r>
              <w:rPr>
                <w:sz w:val="18"/>
              </w:rPr>
              <w:t>63,488</w:t>
            </w:r>
          </w:p>
        </w:tc>
        <w:tc>
          <w:tcPr>
            <w:tcW w:type="dxa" w:w="1728"/>
          </w:tcPr>
          <w:p>
            <w:r>
              <w:rPr>
                <w:sz w:val="18"/>
              </w:rPr>
            </w:r>
            <w:r>
              <w:rPr>
                <w:sz w:val="18"/>
              </w:rPr>
              <w:t>none (HttpClient)</w:t>
            </w:r>
          </w:p>
        </w:tc>
        <w:tc>
          <w:tcPr>
            <w:tcW w:type="dxa" w:w="1728"/>
          </w:tcPr>
          <w:p>
            <w:r>
              <w:rPr>
                <w:sz w:val="18"/>
              </w:rPr>
            </w:r>
            <w:r>
              <w:rPr>
                <w:sz w:val="18"/>
              </w:rPr>
              <w:t>0</w:t>
            </w:r>
          </w:p>
        </w:tc>
      </w:tr>
      <w:tr>
        <w:tc>
          <w:tcPr>
            <w:tcW w:type="dxa" w:w="1728"/>
          </w:tcPr>
          <w:p>
            <w:r>
              <w:rPr>
                <w:sz w:val="18"/>
              </w:rPr>
            </w:r>
            <w:r>
              <w:rPr>
                <w:rFonts w:ascii="Consolas" w:hAnsi="Consolas"/>
                <w:color w:val="A03030"/>
                <w:sz w:val="18"/>
              </w:rPr>
              <w:t>source-brother-http</w:t>
            </w:r>
          </w:p>
        </w:tc>
        <w:tc>
          <w:tcPr>
            <w:tcW w:type="dxa" w:w="1728"/>
          </w:tcPr>
          <w:p>
            <w:r>
              <w:rPr>
                <w:sz w:val="18"/>
              </w:rPr>
            </w:r>
            <w:r>
              <w:rPr>
                <w:rFonts w:ascii="Consolas" w:hAnsi="Consolas"/>
                <w:color w:val="A03030"/>
                <w:sz w:val="18"/>
              </w:rPr>
              <w:t>…Sources.BrotherHttp.dll</w:t>
            </w:r>
          </w:p>
        </w:tc>
        <w:tc>
          <w:tcPr>
            <w:tcW w:type="dxa" w:w="1728"/>
          </w:tcPr>
          <w:p>
            <w:r>
              <w:rPr>
                <w:sz w:val="18"/>
              </w:rPr>
            </w:r>
            <w:r>
              <w:rPr>
                <w:sz w:val="18"/>
              </w:rPr>
              <w:t>81,920</w:t>
            </w:r>
          </w:p>
        </w:tc>
        <w:tc>
          <w:tcPr>
            <w:tcW w:type="dxa" w:w="1728"/>
          </w:tcPr>
          <w:p>
            <w:r>
              <w:rPr>
                <w:sz w:val="18"/>
              </w:rPr>
            </w:r>
            <w:r>
              <w:rPr>
                <w:sz w:val="18"/>
              </w:rPr>
              <w:t>none</w:t>
            </w:r>
          </w:p>
        </w:tc>
        <w:tc>
          <w:tcPr>
            <w:tcW w:type="dxa" w:w="1728"/>
          </w:tcPr>
          <w:p>
            <w:r>
              <w:rPr>
                <w:sz w:val="18"/>
              </w:rPr>
            </w:r>
            <w:r>
              <w:rPr>
                <w:sz w:val="18"/>
              </w:rPr>
              <w:t>0</w:t>
            </w:r>
          </w:p>
        </w:tc>
      </w:tr>
      <w:tr>
        <w:tc>
          <w:tcPr>
            <w:tcW w:type="dxa" w:w="1728"/>
          </w:tcPr>
          <w:p>
            <w:r>
              <w:rPr>
                <w:sz w:val="18"/>
              </w:rPr>
            </w:r>
            <w:r>
              <w:rPr>
                <w:rFonts w:ascii="Consolas" w:hAnsi="Consolas"/>
                <w:color w:val="A03030"/>
                <w:sz w:val="18"/>
              </w:rPr>
              <w:t>source-s7</w:t>
            </w:r>
          </w:p>
        </w:tc>
        <w:tc>
          <w:tcPr>
            <w:tcW w:type="dxa" w:w="1728"/>
          </w:tcPr>
          <w:p>
            <w:r>
              <w:rPr>
                <w:sz w:val="18"/>
              </w:rPr>
            </w:r>
            <w:r>
              <w:rPr>
                <w:rFonts w:ascii="Consolas" w:hAnsi="Consolas"/>
                <w:color w:val="A03030"/>
                <w:sz w:val="18"/>
              </w:rPr>
              <w:t>…Sources.S7.dll</w:t>
            </w:r>
          </w:p>
        </w:tc>
        <w:tc>
          <w:tcPr>
            <w:tcW w:type="dxa" w:w="1728"/>
          </w:tcPr>
          <w:p>
            <w:r>
              <w:rPr>
                <w:sz w:val="18"/>
              </w:rPr>
            </w:r>
            <w:r>
              <w:rPr>
                <w:sz w:val="18"/>
              </w:rPr>
              <w:t>108,544</w:t>
            </w:r>
          </w:p>
        </w:tc>
        <w:tc>
          <w:tcPr>
            <w:tcW w:type="dxa" w:w="1728"/>
          </w:tcPr>
          <w:p>
            <w:r>
              <w:rPr>
                <w:sz w:val="18"/>
              </w:rPr>
            </w:r>
            <w:r>
              <w:rPr>
                <w:rFonts w:ascii="Consolas" w:hAnsi="Consolas"/>
                <w:color w:val="A03030"/>
                <w:sz w:val="18"/>
              </w:rPr>
              <w:t>Sharp7.dll</w:t>
            </w:r>
            <w:r>
              <w:rPr>
                <w:sz w:val="18"/>
              </w:rPr>
              <w:t xml:space="preserve"> 44,544</w:t>
            </w:r>
          </w:p>
        </w:tc>
        <w:tc>
          <w:tcPr>
            <w:tcW w:type="dxa" w:w="1728"/>
          </w:tcPr>
          <w:p>
            <w:r>
              <w:rPr>
                <w:sz w:val="18"/>
              </w:rPr>
            </w:r>
            <w:r>
              <w:rPr>
                <w:sz w:val="18"/>
              </w:rPr>
              <w:t>44,544</w:t>
            </w:r>
          </w:p>
        </w:tc>
      </w:tr>
      <w:tr>
        <w:tc>
          <w:tcPr>
            <w:tcW w:type="dxa" w:w="1728"/>
          </w:tcPr>
          <w:p>
            <w:r>
              <w:rPr>
                <w:sz w:val="18"/>
              </w:rPr>
            </w:r>
            <w:r>
              <w:rPr>
                <w:rFonts w:ascii="Consolas" w:hAnsi="Consolas"/>
                <w:color w:val="A03030"/>
                <w:sz w:val="18"/>
              </w:rPr>
              <w:t>source-opcua-client</w:t>
            </w:r>
            <w:r>
              <w:rPr>
                <w:sz w:val="18"/>
              </w:rPr>
              <w:t xml:space="preserve"> ⚠</w:t>
            </w:r>
          </w:p>
        </w:tc>
        <w:tc>
          <w:tcPr>
            <w:tcW w:type="dxa" w:w="1728"/>
          </w:tcPr>
          <w:p>
            <w:r>
              <w:rPr>
                <w:sz w:val="18"/>
              </w:rPr>
            </w:r>
            <w:r>
              <w:rPr>
                <w:rFonts w:ascii="Consolas" w:hAnsi="Consolas"/>
                <w:color w:val="A03030"/>
                <w:sz w:val="18"/>
              </w:rPr>
              <w:t>…Sources.OpcUaClient.dll</w:t>
            </w:r>
          </w:p>
        </w:tc>
        <w:tc>
          <w:tcPr>
            <w:tcW w:type="dxa" w:w="1728"/>
          </w:tcPr>
          <w:p>
            <w:r>
              <w:rPr>
                <w:sz w:val="18"/>
              </w:rPr>
            </w:r>
            <w:r>
              <w:rPr>
                <w:sz w:val="18"/>
              </w:rPr>
              <w:t>147,968</w:t>
            </w:r>
          </w:p>
        </w:tc>
        <w:tc>
          <w:tcPr>
            <w:tcW w:type="dxa" w:w="1728"/>
          </w:tcPr>
          <w:p>
            <w:r>
              <w:rPr>
                <w:sz w:val="18"/>
              </w:rPr>
            </w:r>
            <w:r>
              <w:rPr>
                <w:rFonts w:ascii="Consolas" w:hAnsi="Consolas"/>
                <w:color w:val="A03030"/>
                <w:sz w:val="18"/>
              </w:rPr>
              <w:t>Opc.Ua.Client.dll</w:t>
            </w:r>
            <w:r>
              <w:rPr>
                <w:sz w:val="18"/>
              </w:rPr>
              <w:t xml:space="preserve"> 421,448 + </w:t>
            </w:r>
            <w:r>
              <w:rPr>
                <w:b/>
                <w:sz w:val="18"/>
              </w:rPr>
              <w:t>shared</w:t>
            </w:r>
            <w:r>
              <w:rPr>
                <w:sz w:val="18"/>
              </w:rPr>
              <w:t xml:space="preserve"> </w:t>
            </w:r>
            <w:r>
              <w:rPr>
                <w:rFonts w:ascii="Consolas" w:hAnsi="Consolas"/>
                <w:color w:val="A03030"/>
                <w:sz w:val="18"/>
              </w:rPr>
              <w:t>Opc.Ua.Core.dll</w:t>
            </w:r>
            <w:r>
              <w:rPr>
                <w:sz w:val="18"/>
              </w:rPr>
              <w:t xml:space="preserve"> 7,770,184, </w:t>
            </w:r>
            <w:r>
              <w:rPr>
                <w:rFonts w:ascii="Consolas" w:hAnsi="Consolas"/>
                <w:color w:val="A03030"/>
                <w:sz w:val="18"/>
              </w:rPr>
              <w:t>Opc.Ua.Configuration.dll</w:t>
            </w:r>
            <w:r>
              <w:rPr>
                <w:sz w:val="18"/>
              </w:rPr>
              <w:t xml:space="preserve"> 76,360, </w:t>
            </w:r>
            <w:r>
              <w:rPr>
                <w:rFonts w:ascii="Consolas" w:hAnsi="Consolas"/>
                <w:color w:val="A03030"/>
                <w:sz w:val="18"/>
              </w:rPr>
              <w:t>Opc.Ua.Security.Certificates.dll</w:t>
            </w:r>
            <w:r>
              <w:rPr>
                <w:sz w:val="18"/>
              </w:rPr>
              <w:t xml:space="preserve"> 66,120</w:t>
            </w:r>
          </w:p>
        </w:tc>
        <w:tc>
          <w:tcPr>
            <w:tcW w:type="dxa" w:w="1728"/>
          </w:tcPr>
          <w:p>
            <w:r>
              <w:rPr>
                <w:sz w:val="18"/>
              </w:rPr>
            </w:r>
            <w:r>
              <w:rPr>
                <w:sz w:val="18"/>
              </w:rPr>
              <w:t>8,334,112</w:t>
            </w:r>
          </w:p>
        </w:tc>
      </w:tr>
      <w:tr>
        <w:tc>
          <w:tcPr>
            <w:tcW w:type="dxa" w:w="1728"/>
          </w:tcPr>
          <w:p>
            <w:r>
              <w:rPr>
                <w:sz w:val="18"/>
              </w:rPr>
            </w:r>
            <w:r>
              <w:rPr>
                <w:rFonts w:ascii="Consolas" w:hAnsi="Consolas"/>
                <w:color w:val="A03030"/>
                <w:sz w:val="18"/>
              </w:rPr>
              <w:t>source-ethernet-ip</w:t>
            </w:r>
          </w:p>
        </w:tc>
        <w:tc>
          <w:tcPr>
            <w:tcW w:type="dxa" w:w="1728"/>
          </w:tcPr>
          <w:p>
            <w:r>
              <w:rPr>
                <w:sz w:val="18"/>
              </w:rPr>
            </w:r>
            <w:r>
              <w:rPr>
                <w:rFonts w:ascii="Consolas" w:hAnsi="Consolas"/>
                <w:color w:val="A03030"/>
                <w:sz w:val="18"/>
              </w:rPr>
              <w:t>…Sources.EthernetIp.dll</w:t>
            </w:r>
          </w:p>
        </w:tc>
        <w:tc>
          <w:tcPr>
            <w:tcW w:type="dxa" w:w="1728"/>
          </w:tcPr>
          <w:p>
            <w:r>
              <w:rPr>
                <w:sz w:val="18"/>
              </w:rPr>
            </w:r>
            <w:r>
              <w:rPr>
                <w:sz w:val="18"/>
              </w:rPr>
              <w:t>63,488</w:t>
            </w:r>
          </w:p>
        </w:tc>
        <w:tc>
          <w:tcPr>
            <w:tcW w:type="dxa" w:w="1728"/>
          </w:tcPr>
          <w:p>
            <w:r>
              <w:rPr>
                <w:sz w:val="18"/>
              </w:rPr>
            </w:r>
            <w:r>
              <w:rPr>
                <w:rFonts w:ascii="Consolas" w:hAnsi="Consolas"/>
                <w:color w:val="A03030"/>
                <w:sz w:val="18"/>
              </w:rPr>
              <w:t>libplctag.NativeImport.dll</w:t>
            </w:r>
            <w:r>
              <w:rPr>
                <w:sz w:val="18"/>
              </w:rPr>
              <w:t xml:space="preserve"> 3,230,208 + </w:t>
            </w:r>
            <w:r>
              <w:rPr>
                <w:rFonts w:ascii="Consolas" w:hAnsi="Consolas"/>
                <w:color w:val="A03030"/>
                <w:sz w:val="18"/>
              </w:rPr>
              <w:t>libplctag.dll</w:t>
            </w:r>
            <w:r>
              <w:rPr>
                <w:sz w:val="18"/>
              </w:rPr>
              <w:t xml:space="preserve"> 78,848</w:t>
            </w:r>
          </w:p>
        </w:tc>
        <w:tc>
          <w:tcPr>
            <w:tcW w:type="dxa" w:w="1728"/>
          </w:tcPr>
          <w:p>
            <w:r>
              <w:rPr>
                <w:sz w:val="18"/>
              </w:rPr>
            </w:r>
            <w:r>
              <w:rPr>
                <w:sz w:val="18"/>
              </w:rPr>
              <w:t>3,309,056</w:t>
            </w:r>
          </w:p>
        </w:tc>
      </w:tr>
      <w:tr>
        <w:tc>
          <w:tcPr>
            <w:tcW w:type="dxa" w:w="1728"/>
          </w:tcPr>
          <w:p>
            <w:r>
              <w:rPr>
                <w:sz w:val="18"/>
              </w:rPr>
            </w:r>
            <w:r>
              <w:rPr>
                <w:rFonts w:ascii="Consolas" w:hAnsi="Consolas"/>
                <w:color w:val="A03030"/>
                <w:sz w:val="18"/>
              </w:rPr>
              <w:t>source-melsec</w:t>
            </w:r>
          </w:p>
        </w:tc>
        <w:tc>
          <w:tcPr>
            <w:tcW w:type="dxa" w:w="1728"/>
          </w:tcPr>
          <w:p>
            <w:r>
              <w:rPr>
                <w:sz w:val="18"/>
              </w:rPr>
            </w:r>
            <w:r>
              <w:rPr>
                <w:rFonts w:ascii="Consolas" w:hAnsi="Consolas"/>
                <w:color w:val="A03030"/>
                <w:sz w:val="18"/>
              </w:rPr>
              <w:t>…Sources.Melsec.dll</w:t>
            </w:r>
          </w:p>
        </w:tc>
        <w:tc>
          <w:tcPr>
            <w:tcW w:type="dxa" w:w="1728"/>
          </w:tcPr>
          <w:p>
            <w:r>
              <w:rPr>
                <w:sz w:val="18"/>
              </w:rPr>
            </w:r>
            <w:r>
              <w:rPr>
                <w:sz w:val="18"/>
              </w:rPr>
              <w:t>132,608</w:t>
            </w:r>
          </w:p>
        </w:tc>
        <w:tc>
          <w:tcPr>
            <w:tcW w:type="dxa" w:w="1728"/>
          </w:tcPr>
          <w:p>
            <w:r>
              <w:rPr>
                <w:sz w:val="18"/>
              </w:rPr>
            </w:r>
            <w:r>
              <w:rPr>
                <w:sz w:val="18"/>
              </w:rPr>
              <w:t>none — hand-rolled SLMP (ADR-0033)</w:t>
            </w:r>
          </w:p>
        </w:tc>
        <w:tc>
          <w:tcPr>
            <w:tcW w:type="dxa" w:w="1728"/>
          </w:tcPr>
          <w:p>
            <w:r>
              <w:rPr>
                <w:sz w:val="18"/>
              </w:rPr>
            </w:r>
            <w:r>
              <w:rPr>
                <w:sz w:val="18"/>
              </w:rPr>
              <w:t>0</w:t>
            </w:r>
          </w:p>
        </w:tc>
      </w:tr>
      <w:tr>
        <w:tc>
          <w:tcPr>
            <w:tcW w:type="dxa" w:w="1728"/>
          </w:tcPr>
          <w:p>
            <w:r>
              <w:rPr>
                <w:sz w:val="18"/>
              </w:rPr>
            </w:r>
            <w:r>
              <w:rPr>
                <w:rFonts w:ascii="Consolas" w:hAnsi="Consolas"/>
                <w:color w:val="A03030"/>
                <w:sz w:val="18"/>
              </w:rPr>
              <w:t>sink-mqtt</w:t>
            </w:r>
          </w:p>
        </w:tc>
        <w:tc>
          <w:tcPr>
            <w:tcW w:type="dxa" w:w="1728"/>
          </w:tcPr>
          <w:p>
            <w:r>
              <w:rPr>
                <w:sz w:val="18"/>
              </w:rPr>
            </w:r>
            <w:r>
              <w:rPr>
                <w:rFonts w:ascii="Consolas" w:hAnsi="Consolas"/>
                <w:color w:val="A03030"/>
                <w:sz w:val="18"/>
              </w:rPr>
              <w:t>…Sinks.Mqtt.dll</w:t>
            </w:r>
          </w:p>
        </w:tc>
        <w:tc>
          <w:tcPr>
            <w:tcW w:type="dxa" w:w="1728"/>
          </w:tcPr>
          <w:p>
            <w:r>
              <w:rPr>
                <w:sz w:val="18"/>
              </w:rPr>
            </w:r>
            <w:r>
              <w:rPr>
                <w:sz w:val="18"/>
              </w:rPr>
              <w:t>47,104</w:t>
            </w:r>
          </w:p>
        </w:tc>
        <w:tc>
          <w:tcPr>
            <w:tcW w:type="dxa" w:w="1728"/>
          </w:tcPr>
          <w:p>
            <w:r>
              <w:rPr>
                <w:sz w:val="18"/>
              </w:rPr>
            </w:r>
            <w:r>
              <w:rPr>
                <w:rFonts w:ascii="Consolas" w:hAnsi="Consolas"/>
                <w:color w:val="A03030"/>
                <w:sz w:val="18"/>
              </w:rPr>
              <w:t>MQTTnet.dll</w:t>
            </w:r>
            <w:r>
              <w:rPr>
                <w:sz w:val="18"/>
              </w:rPr>
              <w:t xml:space="preserve"> 348,728</w:t>
            </w:r>
          </w:p>
        </w:tc>
        <w:tc>
          <w:tcPr>
            <w:tcW w:type="dxa" w:w="1728"/>
          </w:tcPr>
          <w:p>
            <w:r>
              <w:rPr>
                <w:sz w:val="18"/>
              </w:rPr>
            </w:r>
            <w:r>
              <w:rPr>
                <w:sz w:val="18"/>
              </w:rPr>
              <w:t>348,728</w:t>
            </w:r>
          </w:p>
        </w:tc>
      </w:tr>
      <w:tr>
        <w:tc>
          <w:tcPr>
            <w:tcW w:type="dxa" w:w="1728"/>
          </w:tcPr>
          <w:p>
            <w:r>
              <w:rPr>
                <w:sz w:val="18"/>
              </w:rPr>
            </w:r>
            <w:r>
              <w:rPr>
                <w:rFonts w:ascii="Consolas" w:hAnsi="Consolas"/>
                <w:color w:val="A03030"/>
                <w:sz w:val="18"/>
              </w:rPr>
              <w:t>sink-opc-ua-server</w:t>
            </w:r>
          </w:p>
        </w:tc>
        <w:tc>
          <w:tcPr>
            <w:tcW w:type="dxa" w:w="1728"/>
          </w:tcPr>
          <w:p>
            <w:r>
              <w:rPr>
                <w:sz w:val="18"/>
              </w:rPr>
            </w:r>
            <w:r>
              <w:rPr>
                <w:rFonts w:ascii="Consolas" w:hAnsi="Consolas"/>
                <w:color w:val="A03030"/>
                <w:sz w:val="18"/>
              </w:rPr>
              <w:t>…Sinks.OpcUaServer.dll</w:t>
            </w:r>
          </w:p>
        </w:tc>
        <w:tc>
          <w:tcPr>
            <w:tcW w:type="dxa" w:w="1728"/>
          </w:tcPr>
          <w:p>
            <w:r>
              <w:rPr>
                <w:sz w:val="18"/>
              </w:rPr>
            </w:r>
            <w:r>
              <w:rPr>
                <w:sz w:val="18"/>
              </w:rPr>
              <w:t>61,440</w:t>
            </w:r>
          </w:p>
        </w:tc>
        <w:tc>
          <w:tcPr>
            <w:tcW w:type="dxa" w:w="1728"/>
          </w:tcPr>
          <w:p>
            <w:r>
              <w:rPr>
                <w:sz w:val="18"/>
              </w:rPr>
            </w:r>
            <w:r>
              <w:rPr>
                <w:rFonts w:ascii="Consolas" w:hAnsi="Consolas"/>
                <w:color w:val="A03030"/>
                <w:sz w:val="18"/>
              </w:rPr>
              <w:t>Opc.Ua.Server.dll</w:t>
            </w:r>
            <w:r>
              <w:rPr>
                <w:sz w:val="18"/>
              </w:rPr>
              <w:t xml:space="preserve"> 429,640 + </w:t>
            </w:r>
            <w:r>
              <w:rPr>
                <w:b/>
                <w:sz w:val="18"/>
              </w:rPr>
              <w:t>shared</w:t>
            </w:r>
            <w:r>
              <w:rPr>
                <w:sz w:val="18"/>
              </w:rPr>
              <w:t xml:space="preserve"> </w:t>
            </w:r>
            <w:r>
              <w:rPr>
                <w:rFonts w:ascii="Consolas" w:hAnsi="Consolas"/>
                <w:color w:val="A03030"/>
                <w:sz w:val="18"/>
              </w:rPr>
              <w:t>Opc.Ua.Core/Configuration/Security.Certificates</w:t>
            </w:r>
          </w:p>
        </w:tc>
        <w:tc>
          <w:tcPr>
            <w:tcW w:type="dxa" w:w="1728"/>
          </w:tcPr>
          <w:p>
            <w:r>
              <w:rPr>
                <w:sz w:val="18"/>
              </w:rPr>
            </w:r>
            <w:r>
              <w:rPr>
                <w:sz w:val="18"/>
              </w:rPr>
              <w:t>429,640 (+shared)</w:t>
            </w:r>
          </w:p>
        </w:tc>
      </w:tr>
      <w:tr>
        <w:tc>
          <w:tcPr>
            <w:tcW w:type="dxa" w:w="1728"/>
          </w:tcPr>
          <w:p>
            <w:r>
              <w:rPr>
                <w:sz w:val="18"/>
              </w:rPr>
            </w:r>
            <w:r>
              <w:rPr>
                <w:rFonts w:ascii="Consolas" w:hAnsi="Consolas"/>
                <w:color w:val="A03030"/>
                <w:sz w:val="18"/>
              </w:rPr>
              <w:t>sink-http</w:t>
            </w:r>
            <w:r>
              <w:rPr>
                <w:sz w:val="18"/>
              </w:rPr>
              <w:t xml:space="preserve">, </w:t>
            </w:r>
            <w:r>
              <w:rPr>
                <w:rFonts w:ascii="Consolas" w:hAnsi="Consolas"/>
                <w:color w:val="A03030"/>
                <w:sz w:val="18"/>
              </w:rPr>
              <w:t>sink-tcp</w:t>
            </w:r>
            <w:r>
              <w:rPr>
                <w:sz w:val="18"/>
              </w:rPr>
              <w:t xml:space="preserve">, </w:t>
            </w:r>
            <w:r>
              <w:rPr>
                <w:rFonts w:ascii="Consolas" w:hAnsi="Consolas"/>
                <w:color w:val="A03030"/>
                <w:sz w:val="18"/>
              </w:rPr>
              <w:t>historian-bridge</w:t>
            </w:r>
          </w:p>
        </w:tc>
        <w:tc>
          <w:tcPr>
            <w:tcW w:type="dxa" w:w="1728"/>
          </w:tcPr>
          <w:p>
            <w:r>
              <w:rPr>
                <w:sz w:val="18"/>
              </w:rPr>
            </w:r>
            <w:r>
              <w:rPr>
                <w:i/>
                <w:sz w:val="18"/>
              </w:rPr>
              <w:t>reserved, no assembly</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w:t>
            </w:r>
          </w:p>
        </w:tc>
      </w:tr>
    </w:tbl>
    <w:p/>
    <w:p>
      <w:r>
        <w:t xml:space="preserve">⚠ Real key is </w:t>
      </w:r>
      <w:r>
        <w:rPr>
          <w:rFonts w:ascii="Consolas" w:hAnsi="Consolas"/>
          <w:color w:val="A03030"/>
          <w:sz w:val="18"/>
        </w:rPr>
        <w:t>source-opcua-client</w:t>
      </w:r>
      <w:r>
        <w:t xml:space="preserve">, not the </w:t>
      </w:r>
      <w:r>
        <w:rPr>
          <w:rFonts w:ascii="Consolas" w:hAnsi="Consolas"/>
          <w:color w:val="A03030"/>
          <w:sz w:val="18"/>
        </w:rPr>
        <w:t>LicenseModuleKeys.SourceOpcUaClient</w:t>
      </w:r>
      <w:r>
        <w:t xml:space="preserve"> constant.</w:t>
      </w:r>
    </w:p>
    <w:p>
      <w:r>
        <w:rPr>
          <w:b/>
        </w:rPr>
        <w:t>Not in the picture:</w:t>
      </w:r>
      <w:r>
        <w:t xml:space="preserve"> </w:t>
      </w:r>
      <w:r>
        <w:rPr>
          <w:rFonts w:ascii="Consolas" w:hAnsi="Consolas"/>
          <w:color w:val="A03030"/>
          <w:sz w:val="18"/>
        </w:rPr>
        <w:t>src/ElpisEdgeConnect.Sinks.SparkplugB/</w:t>
      </w:r>
      <w:r>
        <w:t xml:space="preserve"> exists in the solution but is </w:t>
      </w:r>
      <w:r>
        <w:rPr>
          <w:b/>
        </w:rPr>
        <w:t>not</w:t>
      </w:r>
      <w:r>
        <w:t xml:space="preserve"> referenced by </w:t>
      </w:r>
      <w:r>
        <w:rPr>
          <w:rFonts w:ascii="Consolas" w:hAnsi="Consolas"/>
          <w:color w:val="A03030"/>
          <w:sz w:val="18"/>
        </w:rPr>
        <w:t>ElpisEdgeConnect.Host.csproj</w:t>
      </w:r>
      <w:r>
        <w:t xml:space="preserve">, is </w:t>
      </w:r>
      <w:r>
        <w:rPr>
          <w:b/>
        </w:rPr>
        <w:t>not</w:t>
      </w:r>
      <w:r>
        <w:t xml:space="preserve"> in the published output, has </w:t>
      </w:r>
      <w:r>
        <w:rPr>
          <w:b/>
        </w:rPr>
        <w:t>no</w:t>
      </w:r>
      <w:r>
        <w:t xml:space="preserve"> </w:t>
      </w:r>
      <w:r>
        <w:rPr>
          <w:rFonts w:ascii="Consolas" w:hAnsi="Consolas"/>
          <w:color w:val="A03030"/>
          <w:sz w:val="18"/>
        </w:rPr>
        <w:t>LicenseModuleKeys</w:t>
      </w:r>
      <w:r>
        <w:t xml:space="preserve"> entry, and has </w:t>
      </w:r>
      <w:r>
        <w:rPr>
          <w:b/>
        </w:rPr>
        <w:t>no</w:t>
      </w:r>
      <w:r>
        <w:t xml:space="preserve"> tile in </w:t>
      </w:r>
      <w:r>
        <w:rPr>
          <w:rFonts w:ascii="Consolas" w:hAnsi="Consolas"/>
          <w:color w:val="A03030"/>
          <w:sz w:val="18"/>
        </w:rPr>
        <w:t>DestinationProtocolPickerModel</w:t>
      </w:r>
      <w:r>
        <w:t>. It must be given a module key and an edition placement before, or explicitly deferred past, this work. Flagged in §12.</w:t>
      </w:r>
    </w:p>
    <w:p>
      <w:pPr>
        <w:pStyle w:val="Heading3"/>
      </w:pPr>
      <w:r>
        <w:t>6.2 Exclusion is a graph difference, not a list</w:t>
      </w:r>
    </w:p>
    <w:p>
      <w:r>
        <w:rPr>
          <w:rFonts w:ascii="Consolas" w:hAnsi="Consolas"/>
          <w:color w:val="A03030"/>
          <w:sz w:val="18"/>
        </w:rPr>
        <w:t>Opc.Ua.Core.dll</w:t>
      </w:r>
      <w:r>
        <w:t xml:space="preserve"> (7.77 MB) is shared by </w:t>
      </w:r>
      <w:r>
        <w:rPr>
          <w:rFonts w:ascii="Consolas" w:hAnsi="Consolas"/>
          <w:color w:val="A03030"/>
          <w:sz w:val="18"/>
        </w:rPr>
        <w:t>source-opcua-client</w:t>
      </w:r>
      <w:r>
        <w:t xml:space="preserve"> </w:t>
      </w:r>
      <w:r>
        <w:rPr>
          <w:b/>
        </w:rPr>
        <w:t>and</w:t>
      </w:r>
      <w:r>
        <w:t xml:space="preserve"> </w:t>
      </w:r>
      <w:r>
        <w:rPr>
          <w:rFonts w:ascii="Consolas" w:hAnsi="Consolas"/>
          <w:color w:val="A03030"/>
          <w:sz w:val="18"/>
        </w:rPr>
        <w:t>sink-opc-ua-server</w:t>
      </w:r>
      <w:r>
        <w:t xml:space="preserve">. It only drops when </w:t>
      </w:r>
      <w:r>
        <w:rPr>
          <w:b/>
        </w:rPr>
        <w:t>both</w:t>
      </w:r>
      <w:r>
        <w:t xml:space="preserve"> are excluded. A naïve "one module → one file list" mapping will either retain 7.77 MB unnecessarily or delete a file another retained module needs. The exclusion set must be computed as </w:t>
      </w:r>
      <w:r>
        <w:rPr>
          <w:rFonts w:ascii="Consolas" w:hAnsi="Consolas"/>
          <w:color w:val="A03030"/>
          <w:sz w:val="18"/>
        </w:rPr>
        <w:t>publish(FullEdition) − publish(TargetEdition)</w:t>
      </w:r>
      <w:r>
        <w:t xml:space="preserve"> from two real builds, not authored by hand.</w:t>
      </w:r>
    </w:p>
    <w:p>
      <w:pPr>
        <w:pStyle w:val="Heading3"/>
      </w:pPr>
      <w:r>
        <w:t>6.3 The compliance finding (surface this to the owner)</w:t>
      </w:r>
    </w:p>
    <w:p>
      <w:r>
        <w:rPr>
          <w:rFonts w:ascii="Consolas" w:hAnsi="Consolas"/>
          <w:color w:val="A03030"/>
          <w:sz w:val="18"/>
        </w:rPr>
        <w:t>docs/licensing/module-catalog.md</w:t>
      </w:r>
      <w:r>
        <w:t>, "Third-party library licensing":</w:t>
      </w:r>
    </w:p>
    <w:p>
      <w:r>
        <w:t xml:space="preserve">&gt; </w:t>
      </w:r>
      <w:r>
        <w:rPr>
          <w:b/>
        </w:rPr>
        <w:t>Fanuc FOCAS2 DLLs</w:t>
      </w:r>
      <w:r>
        <w:t xml:space="preserve"> — Per-customer Fanuc commercial license. </w:t>
      </w:r>
      <w:r>
        <w:rPr>
          <w:i/>
        </w:rPr>
        <w:t xml:space="preserve">"Customer is responsible &gt; for their own Fanuc DLL license. </w:t>
      </w:r>
      <w:r>
        <w:rPr>
          <w:i/>
        </w:rPr>
        <w:t>EdgeConnect does NOT redistribute the FOCAS2 DLLs</w:t>
      </w:r>
      <w:r>
        <w:rPr>
          <w:i/>
        </w:rPr>
        <w:t xml:space="preserve"> — &gt; they are loaded from the customer's machine."</w:t>
      </w:r>
    </w:p>
    <w:p>
      <w:r>
        <w:t xml:space="preserve">&gt; </w:t>
      </w:r>
      <w:r>
        <w:rPr>
          <w:b/>
        </w:rPr>
        <w:t>OPCFoundation/UA-.NETStandard</w:t>
      </w:r>
      <w:r>
        <w:t xml:space="preserve"> — dual GPL-2.0 / OPC Foundation RCL. </w:t>
      </w:r>
      <w:r>
        <w:rPr>
          <w:i/>
        </w:rPr>
        <w:t xml:space="preserve">"We SHIP under RCL &gt; once Corporate membership clears. </w:t>
      </w:r>
      <w:r>
        <w:rPr>
          <w:i/>
        </w:rPr>
        <w:t>Customer distribution is gated on the membership.</w:t>
      </w:r>
      <w:r>
        <w:rPr>
          <w:i/>
        </w:rPr>
        <w:t xml:space="preserve"> &gt; Until then, the `sink-opc-ua-server` module is buildable + testable in-house but </w:t>
      </w:r>
      <w:r>
        <w:rPr>
          <w:i/>
        </w:rPr>
        <w:t>not &gt; redistributable</w:t>
      </w:r>
      <w:r>
        <w:rPr>
          <w:i/>
        </w:rPr>
        <w:t>."</w:t>
      </w:r>
    </w:p>
    <w:p>
      <w:r>
        <w:t xml:space="preserve">But </w:t>
      </w:r>
      <w:r>
        <w:rPr>
          <w:rFonts w:ascii="Consolas" w:hAnsi="Consolas"/>
          <w:color w:val="A03030"/>
          <w:sz w:val="18"/>
        </w:rPr>
        <w:t>installer/ElpisEdgeConnect.wxs</w:t>
      </w:r>
      <w:r>
        <w:t xml:space="preserve"> ships </w:t>
      </w:r>
      <w:r>
        <w:rPr>
          <w:b/>
        </w:rPr>
        <w:t>all six FOCAS natives twice</w:t>
      </w:r>
      <w:r>
        <w:t>:</w:t>
      </w:r>
    </w:p>
    <w:p>
      <w:pPr>
        <w:pStyle w:val="CodeBlock"/>
      </w:pPr>
      <w:r>
        <w:t>&lt;!-- ManagementComponents --&gt;</w:t>
      </w:r>
    </w:p>
    <w:p>
      <w:pPr>
        <w:pStyle w:val="CodeBlock"/>
      </w:pPr>
      <w:r>
        <w:t>&lt;Files Include="!(bindpath.FocasSrc)\*.dll" /&gt;</w:t>
      </w:r>
    </w:p>
    <w:p>
      <w:pPr>
        <w:pStyle w:val="CodeBlock"/>
      </w:pPr>
      <w:r>
        <w:t>&lt;!-- HostComponents --&gt;</w:t>
      </w:r>
    </w:p>
    <w:p>
      <w:pPr>
        <w:pStyle w:val="CodeBlock"/>
      </w:pPr>
      <w:r>
        <w:t>&lt;File Id="HostFocas_Fwlib64_dll"    Source="!(bindpath.FocasSrc)\Fwlib64.dll" /&gt;</w:t>
      </w:r>
    </w:p>
    <w:p>
      <w:pPr>
        <w:pStyle w:val="CodeBlock"/>
      </w:pPr>
      <w:r>
        <w:t>&lt;File Id="HostFocas_fwlib0DN64_dll" Source="!(bindpath.FocasSrc)\fwlib0DN64.dll" /&gt;</w:t>
      </w:r>
    </w:p>
    <w:p>
      <w:pPr>
        <w:pStyle w:val="CodeBlock"/>
      </w:pPr>
      <w:r>
        <w:t>... four more ...</w:t>
      </w:r>
    </w:p>
    <w:p>
      <w:r>
        <w:t xml:space="preserve">and </w:t>
      </w:r>
      <w:r>
        <w:rPr>
          <w:rFonts w:ascii="Consolas" w:hAnsi="Consolas"/>
          <w:color w:val="A03030"/>
          <w:sz w:val="18"/>
        </w:rPr>
        <w:t>docs/installer/creating-the-installer.md</w:t>
      </w:r>
      <w:r>
        <w:t xml:space="preserve"> makes it mandatory:</w:t>
      </w:r>
    </w:p>
    <w:p>
      <w:r>
        <w:t>&gt; "</w:t>
      </w:r>
      <w:r>
        <w:rPr>
          <w:rFonts w:ascii="Consolas" w:hAnsi="Consolas"/>
          <w:color w:val="A03030"/>
          <w:sz w:val="18"/>
        </w:rPr>
        <w:t>FocasSrc</w:t>
      </w:r>
      <w:r>
        <w:t xml:space="preserve"> is not optional: omit it and the build fails on the unresolved &gt; </w:t>
      </w:r>
      <w:r>
        <w:rPr>
          <w:rFonts w:ascii="Consolas" w:hAnsi="Consolas"/>
          <w:color w:val="A03030"/>
          <w:sz w:val="18"/>
        </w:rPr>
        <w:t>!(bindpath.FocasSrc)</w:t>
      </w:r>
      <w:r>
        <w:t xml:space="preserve"> reference."</w:t>
      </w:r>
    </w:p>
    <w:p>
      <w:r>
        <w:rPr>
          <w:b/>
        </w:rPr>
        <w:t>Every customer today — including a Starter customer who bought only Modbus TCP — receives ~23.5 MB of Fanuc-licensed native libraries and (pending membership) ~16.7 MB of OPC Foundation assemblies.</w:t>
      </w:r>
      <w:r>
        <w:t xml:space="preserve"> This is a direct contradiction between the licensing documentation and the shipped artifact. It is the strongest, most concrete argument for packaging-time gating, and it is independent of any download-size or IP-protection argument. </w:t>
      </w:r>
      <w:r>
        <w:rPr>
          <w:b/>
        </w:rPr>
        <w:t>It should be raised with the owner regardless of whether this plan proceeds.</w:t>
      </w:r>
    </w:p>
    <w:p>
      <w:pPr>
        <w:pStyle w:val="Heading3"/>
      </w:pPr>
      <w:r>
        <w:t>6.4 Size, honestly</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8"/>
              </w:rPr>
            </w:r>
          </w:p>
        </w:tc>
        <w:tc>
          <w:tcPr>
            <w:tcW w:type="dxa" w:w="4320"/>
          </w:tcPr>
          <w:p>
            <w:r>
              <w:rPr>
                <w:b/>
                <w:sz w:val="18"/>
              </w:rPr>
            </w:r>
            <w:r>
              <w:rPr>
                <w:b/>
                <w:sz w:val="18"/>
              </w:rPr>
              <w:t>Bytes</w:t>
            </w:r>
          </w:p>
        </w:tc>
      </w:tr>
      <w:tr>
        <w:tc>
          <w:tcPr>
            <w:tcW w:type="dxa" w:w="4320"/>
          </w:tcPr>
          <w:p>
            <w:r>
              <w:rPr>
                <w:sz w:val="18"/>
              </w:rPr>
            </w:r>
            <w:r>
              <w:rPr>
                <w:rFonts w:ascii="Consolas" w:hAnsi="Consolas"/>
                <w:color w:val="A03030"/>
                <w:sz w:val="18"/>
              </w:rPr>
              <w:t>publish/Management</w:t>
            </w:r>
            <w:r>
              <w:rPr>
                <w:sz w:val="18"/>
              </w:rPr>
              <w:t xml:space="preserve"> total (self-contained, 398 files)</w:t>
            </w:r>
          </w:p>
        </w:tc>
        <w:tc>
          <w:tcPr>
            <w:tcW w:type="dxa" w:w="4320"/>
          </w:tcPr>
          <w:p>
            <w:r>
              <w:rPr>
                <w:sz w:val="18"/>
              </w:rPr>
            </w:r>
            <w:r>
              <w:rPr>
                <w:sz w:val="18"/>
              </w:rPr>
              <w:t>~134 MB</w:t>
            </w:r>
          </w:p>
        </w:tc>
      </w:tr>
      <w:tr>
        <w:tc>
          <w:tcPr>
            <w:tcW w:type="dxa" w:w="4320"/>
          </w:tcPr>
          <w:p>
            <w:r>
              <w:rPr>
                <w:sz w:val="18"/>
              </w:rPr>
            </w:r>
            <w:r>
              <w:rPr>
                <w:sz w:val="18"/>
              </w:rPr>
              <w:t>All first-party adapter/sink DLLs combined</w:t>
            </w:r>
          </w:p>
        </w:tc>
        <w:tc>
          <w:tcPr>
            <w:tcW w:type="dxa" w:w="4320"/>
          </w:tcPr>
          <w:p>
            <w:r>
              <w:rPr>
                <w:sz w:val="18"/>
              </w:rPr>
            </w:r>
            <w:r>
              <w:rPr>
                <w:sz w:val="18"/>
              </w:rPr>
              <w:t>~1.13 MB (</w:t>
            </w:r>
            <w:r>
              <w:rPr>
                <w:b/>
                <w:sz w:val="18"/>
              </w:rPr>
              <w:t>0.8 %</w:t>
            </w:r>
            <w:r>
              <w:rPr>
                <w:sz w:val="18"/>
              </w:rPr>
              <w:t>)</w:t>
            </w:r>
          </w:p>
        </w:tc>
      </w:tr>
      <w:tr>
        <w:tc>
          <w:tcPr>
            <w:tcW w:type="dxa" w:w="4320"/>
          </w:tcPr>
          <w:p>
            <w:r>
              <w:rPr>
                <w:sz w:val="18"/>
              </w:rPr>
            </w:r>
            <w:r>
              <w:rPr>
                <w:sz w:val="18"/>
              </w:rPr>
              <w:t>Removable third-party for a Starter edition (Opc.Ua.* + libplctag + Sharp7, ×2 dirs)</w:t>
            </w:r>
          </w:p>
        </w:tc>
        <w:tc>
          <w:tcPr>
            <w:tcW w:type="dxa" w:w="4320"/>
          </w:tcPr>
          <w:p>
            <w:r>
              <w:rPr>
                <w:sz w:val="18"/>
              </w:rPr>
            </w:r>
            <w:r>
              <w:rPr>
                <w:sz w:val="18"/>
              </w:rPr>
              <w:t>~23.4 MB</w:t>
            </w:r>
          </w:p>
        </w:tc>
      </w:tr>
      <w:tr>
        <w:tc>
          <w:tcPr>
            <w:tcW w:type="dxa" w:w="4320"/>
          </w:tcPr>
          <w:p>
            <w:r>
              <w:rPr>
                <w:sz w:val="18"/>
              </w:rPr>
            </w:r>
            <w:r>
              <w:rPr>
                <w:sz w:val="18"/>
              </w:rPr>
              <w:t>Removable FOCAS natives (×2 dirs)</w:t>
            </w:r>
          </w:p>
        </w:tc>
        <w:tc>
          <w:tcPr>
            <w:tcW w:type="dxa" w:w="4320"/>
          </w:tcPr>
          <w:p>
            <w:r>
              <w:rPr>
                <w:sz w:val="18"/>
              </w:rPr>
            </w:r>
            <w:r>
              <w:rPr>
                <w:sz w:val="18"/>
              </w:rPr>
              <w:t>~23.5 MB</w:t>
            </w:r>
          </w:p>
        </w:tc>
      </w:tr>
      <w:tr>
        <w:tc>
          <w:tcPr>
            <w:tcW w:type="dxa" w:w="4320"/>
          </w:tcPr>
          <w:p>
            <w:r>
              <w:rPr>
                <w:sz w:val="18"/>
              </w:rPr>
            </w:r>
            <w:r>
              <w:rPr>
                <w:b/>
                <w:sz w:val="18"/>
              </w:rPr>
              <w:t>Total removable for Starter, uncompressed across both app dirs</w:t>
            </w:r>
          </w:p>
        </w:tc>
        <w:tc>
          <w:tcPr>
            <w:tcW w:type="dxa" w:w="4320"/>
          </w:tcPr>
          <w:p>
            <w:r>
              <w:rPr>
                <w:sz w:val="18"/>
              </w:rPr>
            </w:r>
            <w:r>
              <w:rPr>
                <w:b/>
                <w:sz w:val="18"/>
              </w:rPr>
              <w:t>~48.5 MB of ~268 MB (~18 %)</w:t>
            </w:r>
          </w:p>
        </w:tc>
      </w:tr>
    </w:tbl>
    <w:p/>
    <w:p>
      <w:r>
        <w:rPr>
          <w:b/>
        </w:rPr>
        <w:t>If the goal is download size, packaging gating is a weak lever</w:t>
      </w:r>
      <w:r>
        <w:t xml:space="preserve"> — the .NET self-contained runtime dominates, and </w:t>
      </w:r>
      <w:r>
        <w:rPr>
          <w:rFonts w:ascii="Consolas" w:hAnsi="Consolas"/>
          <w:color w:val="A03030"/>
          <w:sz w:val="18"/>
        </w:rPr>
        <w:t>MudBlazor.dll</w:t>
      </w:r>
      <w:r>
        <w:t xml:space="preserve"> alone (9.1 MB) exceeds every adapter DLL combined. If the goal is compliance or IP protection, it is the right lever. This distinction changes the design and is the first open question in §12.</w:t>
      </w:r>
    </w:p>
    <w:p/>
    <w:p>
      <w:pPr>
        <w:pStyle w:val="Heading2"/>
      </w:pPr>
      <w:r>
        <w:t>7. Trust boundary (Question B)</w:t>
      </w:r>
    </w:p>
    <w:p>
      <w:r>
        <w:rPr>
          <w:b/>
        </w:rPr>
        <w:t>State this plainly in the ADR and in customer-facing material: packaging is a distribution-hygiene and compliance control, not a security control.</w:t>
      </w:r>
    </w:p>
    <w:p>
      <w:r>
        <w:t xml:space="preserve">What per-edition packaging </w:t>
      </w:r>
      <w:r>
        <w:rPr>
          <w:b/>
        </w:rPr>
        <w:t>does</w:t>
      </w:r>
      <w:r>
        <w:t xml:space="preserve"> buy:</w:t>
      </w:r>
    </w:p>
    <w:p>
      <w:pPr>
        <w:pStyle w:val="ListBullet"/>
      </w:pPr>
      <w:r>
        <w:t xml:space="preserve">The restricted binaries are </w:t>
      </w:r>
      <w:r>
        <w:rPr>
          <w:b/>
        </w:rPr>
        <w:t>not on the installation media</w:t>
      </w:r>
      <w:r>
        <w:t>. For Fanuc and OPC</w:t>
      </w:r>
    </w:p>
    <w:p>
      <w:r>
        <w:t>Foundation redistribution obligations, that is the whole point and it is fully effective.</w:t>
      </w:r>
    </w:p>
    <w:p>
      <w:pPr>
        <w:pStyle w:val="ListBullet"/>
      </w:pPr>
      <w:r>
        <w:t>It raises the effort to use an unbought protocol from "edit a config file" to "obtain the</w:t>
      </w:r>
    </w:p>
    <w:p>
      <w:r>
        <w:t>assembly and its native dependencies from somewhere else, place them correctly, and defeat the runtime gate as well".</w:t>
      </w:r>
    </w:p>
    <w:p>
      <w:pPr>
        <w:pStyle w:val="ListBullet"/>
      </w:pPr>
      <w:r>
        <w:t>It removes an entire class of accidental misconfiguration (an operator configuring a</w:t>
      </w:r>
    </w:p>
    <w:p>
      <w:r>
        <w:t>protocol the site never licensed).</w:t>
      </w:r>
    </w:p>
    <w:p>
      <w:r>
        <w:t xml:space="preserve">What it </w:t>
      </w:r>
      <w:r>
        <w:rPr>
          <w:b/>
        </w:rPr>
        <w:t>does not</w:t>
      </w:r>
      <w:r>
        <w:t xml:space="preserve"> buy:</w:t>
      </w:r>
    </w:p>
    <w:p>
      <w:pPr>
        <w:pStyle w:val="ListBullet"/>
      </w:pPr>
      <w:r>
        <w:rPr>
          <w:b/>
        </w:rPr>
        <w:t>Enforcement.</w:t>
      </w:r>
      <w:r>
        <w:t xml:space="preserve"> The customer is administrator on the machine. They can copy DLLs in,</w:t>
      </w:r>
    </w:p>
    <w:p>
      <w:r>
        <w:t>replace the MSI's payload, or install the Enterprise MSI if they obtain it. Packaging is a speed bump for a determined party.</w:t>
      </w:r>
    </w:p>
    <w:p>
      <w:pPr>
        <w:pStyle w:val="ListBullet"/>
      </w:pPr>
      <w:r>
        <w:rPr>
          <w:b/>
        </w:rPr>
        <w:t>Any reduction in the need for layers 2 and 3.</w:t>
      </w:r>
      <w:r>
        <w:t xml:space="preserve"> Locked decision #5 requires all three.</w:t>
      </w:r>
    </w:p>
    <w:p>
      <w:r>
        <w:t>The runtime gate (</w:t>
      </w:r>
      <w:r>
        <w:rPr>
          <w:rFonts w:ascii="Consolas" w:hAnsi="Consolas"/>
          <w:color w:val="A03030"/>
          <w:sz w:val="18"/>
        </w:rPr>
        <w:t>IsModuleEnabled</w:t>
      </w:r>
      <w:r>
        <w:t xml:space="preserve"> at DI registration, </w:t>
      </w:r>
      <w:r>
        <w:rPr>
          <w:rFonts w:ascii="Consolas" w:hAnsi="Consolas"/>
          <w:color w:val="A03030"/>
          <w:sz w:val="18"/>
        </w:rPr>
        <w:t>LicenseGate</w:t>
      </w:r>
      <w:r>
        <w:t xml:space="preserve">, ADR-0035's 2h cutoff, ADR-0036's node-lock) stays </w:t>
      </w:r>
      <w:r>
        <w:rPr>
          <w:b/>
        </w:rPr>
        <w:t>authoritative and unchanged</w:t>
      </w:r>
      <w:r>
        <w:t>. This plan proposes</w:t>
      </w:r>
    </w:p>
    <w:p>
      <w:r>
        <w:rPr>
          <w:b/>
        </w:rPr>
        <w:t>no</w:t>
      </w:r>
      <w:r>
        <w:t xml:space="preserve"> change to any of it.</w:t>
      </w:r>
    </w:p>
    <w:p>
      <w:pPr>
        <w:pStyle w:val="Heading3"/>
      </w:pPr>
      <w:r>
        <w:t>On verifying the RSA signature inside a custom action</w:t>
      </w:r>
    </w:p>
    <w:p>
      <w:r>
        <w:t>If a custom action were to verify a license (Mechanism A2/A4 — which this plan rejects), it would need to ship, inside the installer:</w:t>
      </w:r>
    </w:p>
    <w:p>
      <w:pPr>
        <w:pStyle w:val="ListNumber"/>
      </w:pPr>
      <w:r>
        <w:t xml:space="preserve">The </w:t>
      </w:r>
      <w:r>
        <w:rPr>
          <w:b/>
        </w:rPr>
        <w:t>RSA public key</w:t>
      </w:r>
      <w:r>
        <w:t xml:space="preserve"> — currently </w:t>
      </w:r>
      <w:r>
        <w:rPr>
          <w:rFonts w:ascii="Consolas" w:hAnsi="Consolas"/>
          <w:color w:val="A03030"/>
          <w:sz w:val="18"/>
        </w:rPr>
        <w:t>EmbeddedPublicKey.Pem</w:t>
      </w:r>
      <w:r>
        <w:t xml:space="preserve"> in</w:t>
      </w:r>
    </w:p>
    <w:p>
      <w:r>
        <w:rPr>
          <w:rFonts w:ascii="Consolas" w:hAnsi="Consolas"/>
          <w:color w:val="A03030"/>
          <w:sz w:val="18"/>
        </w:rPr>
        <w:t>src/ElpisEdgeConnect.Core/Licensing/EmbeddedPublicKey.cs</w:t>
      </w:r>
      <w:r>
        <w:t>, still flagged</w:t>
      </w:r>
    </w:p>
    <w:p>
      <w:r>
        <w:rPr>
          <w:b/>
        </w:rPr>
        <w:t>"!!! DEV KEY - REPLACE BEFORE PRODUCTION !!!"</w:t>
      </w:r>
      <w:r>
        <w:t>.</w:t>
      </w:r>
    </w:p>
    <w:p>
      <w:pPr>
        <w:pStyle w:val="ListNumber"/>
      </w:pPr>
      <w:r>
        <w:t xml:space="preserve">The </w:t>
      </w:r>
      <w:r>
        <w:rPr>
          <w:b/>
        </w:rPr>
        <w:t>canonicalisation logic</w:t>
      </w:r>
      <w:r>
        <w:t xml:space="preserve"> — </w:t>
      </w:r>
      <w:r>
        <w:rPr>
          <w:rFonts w:ascii="Consolas" w:hAnsi="Consolas"/>
          <w:color w:val="A03030"/>
          <w:sz w:val="18"/>
        </w:rPr>
        <w:t>CanonicalJson</w:t>
      </w:r>
      <w:r>
        <w:t>, because</w:t>
      </w:r>
    </w:p>
    <w:p>
      <w:r>
        <w:rPr>
          <w:rFonts w:ascii="Consolas" w:hAnsi="Consolas"/>
          <w:color w:val="A03030"/>
          <w:sz w:val="18"/>
        </w:rPr>
        <w:t>docs/licensing/license-file-format.md</w:t>
      </w:r>
      <w:r>
        <w:t xml:space="preserve"> §5 is explicit that the signed bytes are </w:t>
      </w:r>
      <w:r>
        <w:rPr>
          <w:i/>
        </w:rPr>
        <w:t>not</w:t>
      </w:r>
      <w:r>
        <w:t xml:space="preserve"> the literal file content: keys are sorted lexicographically at every depth. A reimplementation in a custom action would drift and produce false rejections.</w:t>
      </w:r>
    </w:p>
    <w:p>
      <w:pPr>
        <w:pStyle w:val="ListNumber"/>
      </w:pPr>
      <w:r>
        <w:t>RSA-PSS / SHA-256 / MGF1-SHA256 / 32-byte-salt parameters matching §3 of that spec</w:t>
      </w:r>
    </w:p>
    <w:p>
      <w:r>
        <w:t>exactly.</w:t>
      </w:r>
    </w:p>
    <w:p>
      <w:r>
        <w:t xml:space="preserve">Is that acceptable? </w:t>
      </w:r>
      <w:r>
        <w:rPr>
          <w:b/>
        </w:rPr>
        <w:t>The public key is safe to ship — it is already inside every shipped binary.</w:t>
      </w:r>
      <w:r>
        <w:t xml:space="preserve"> The problem is not secrecy, it is (a) </w:t>
      </w:r>
      <w:r>
        <w:rPr>
          <w:i/>
        </w:rPr>
        <w:t>duplication</w:t>
      </w:r>
      <w:r>
        <w:t xml:space="preserve"> of security-critical canonicalisation logic into a second implementation that can drift from </w:t>
      </w:r>
      <w:r>
        <w:rPr>
          <w:rFonts w:ascii="Consolas" w:hAnsi="Consolas"/>
          <w:color w:val="A03030"/>
          <w:sz w:val="18"/>
        </w:rPr>
        <w:t>Core.Licensing.CanonicalJson</w:t>
      </w:r>
      <w:r>
        <w:t xml:space="preserve">, and (b) </w:t>
      </w:r>
      <w:r>
        <w:rPr>
          <w:i/>
        </w:rPr>
        <w:t>zero benefit</w:t>
      </w:r>
      <w:r>
        <w:t xml:space="preserve">, since the result is an MSI property that the command line can override anyway. </w:t>
      </w:r>
      <w:r>
        <w:rPr>
          <w:b/>
        </w:rPr>
        <w:t>Recommendation: do not verify licenses in the installer at all.</w:t>
      </w:r>
      <w:r>
        <w:t xml:space="preserve"> If a future slice ever needs it, invoke the shipped </w:t>
      </w:r>
      <w:r>
        <w:rPr>
          <w:rFonts w:ascii="Consolas" w:hAnsi="Consolas"/>
          <w:color w:val="A03030"/>
          <w:sz w:val="18"/>
        </w:rPr>
        <w:t>ElpisEdgeConnect.Core</w:t>
      </w:r>
      <w:r>
        <w:t xml:space="preserve"> rather than reimplementing — never a second copy of the canonicaliser.</w:t>
      </w:r>
    </w:p>
    <w:p/>
    <w:p>
      <w:pPr>
        <w:pStyle w:val="Heading2"/>
      </w:pPr>
      <w:r>
        <w:t>8. Offline constraint (Question C)</w:t>
      </w:r>
    </w:p>
    <w:p>
      <w:r>
        <w:t xml:space="preserve">Locked decision #6 / Appendix A: </w:t>
      </w:r>
      <w:r>
        <w:rPr>
          <w:i/>
        </w:rPr>
        <w:t xml:space="preserve">"License mode — fully offline, no phone-home — </w:t>
      </w:r>
      <w:r>
        <w:rPr>
          <w:i/>
        </w:rPr>
        <w:t>LOCKED</w:t>
      </w:r>
      <w:r>
        <w:rPr>
          <w:i/>
        </w:rPr>
        <w:t>."</w:t>
      </w:r>
      <w:r>
        <w:t xml:space="preserve"> Everything proposed here satisfies it trivially, because the recommended mechanism moves</w:t>
      </w:r>
    </w:p>
    <w:p>
      <w:r>
        <w:rPr>
          <w:b/>
        </w:rPr>
        <w:t>all</w:t>
      </w:r>
      <w:r>
        <w:t xml:space="preserve"> license reasoning to Elpis's build machine, before the artifact ever leaves. The customer's machine performs no license-related network activity during install. Explicitly ruled out and never to be proposed:</w:t>
      </w:r>
    </w:p>
    <w:p>
      <w:pPr>
        <w:pStyle w:val="ListBullet"/>
      </w:pPr>
      <w:r>
        <w:t>Downloading edition payloads at install time (a "web installer").</w:t>
      </w:r>
    </w:p>
    <w:p>
      <w:pPr>
        <w:pStyle w:val="ListBullet"/>
      </w:pPr>
      <w:r>
        <w:t>Any install-time entitlement check against an Elpis service.</w:t>
      </w:r>
    </w:p>
    <w:p>
      <w:pPr>
        <w:pStyle w:val="ListBullet"/>
      </w:pPr>
      <w:r>
        <w:t>Telemetry reporting which edition was installed.</w:t>
      </w:r>
    </w:p>
    <w:p>
      <w:r>
        <w:t>The MSI and the Burn bundle both remain fully self-contained, installable from a USB stick on an air-gapped plant network, exactly as today.</w:t>
      </w:r>
    </w:p>
    <w:p/>
    <w:p>
      <w:pPr>
        <w:pStyle w:val="Heading2"/>
      </w:pPr>
      <w:r>
        <w:t>9. Proposed edition axis</w:t>
      </w:r>
    </w:p>
    <w:p>
      <w:r>
        <w:t xml:space="preserve">Five </w:t>
      </w:r>
      <w:r>
        <w:rPr>
          <w:rFonts w:ascii="Consolas" w:hAnsi="Consolas"/>
          <w:color w:val="A03030"/>
          <w:sz w:val="18"/>
        </w:rPr>
        <w:t>LicenseEdition</w:t>
      </w:r>
      <w:r>
        <w:t xml:space="preserve"> values × 2 apps × 2 artifact types = an unmanageable 20-artifact release for a team with no CI. Two observations collapse it:</w:t>
      </w:r>
    </w:p>
    <w:p>
      <w:pPr>
        <w:pStyle w:val="ListNumber"/>
      </w:pPr>
      <w:r>
        <w:rPr>
          <w:b/>
        </w:rPr>
        <w:t>`TrialPeriod` offers everything</w:t>
      </w:r>
      <w:r>
        <w:t xml:space="preserve"> (</w:t>
      </w:r>
      <w:r>
        <w:rPr>
          <w:rFonts w:ascii="Consolas" w:hAnsi="Consolas"/>
          <w:color w:val="A03030"/>
          <w:sz w:val="18"/>
        </w:rPr>
        <w:t>LicenseEditionCatalog</w:t>
      </w:r>
      <w:r>
        <w:t xml:space="preserve">: </w:t>
      </w:r>
      <w:r>
        <w:rPr>
          <w:rFonts w:ascii="Consolas" w:hAnsi="Consolas"/>
          <w:color w:val="A03030"/>
          <w:sz w:val="18"/>
        </w:rPr>
        <w:t>_ =&gt; true</w:t>
      </w:r>
      <w:r>
        <w:t>). A trial</w:t>
      </w:r>
    </w:p>
    <w:p>
      <w:r>
        <w:t xml:space="preserve">installer must therefore be the </w:t>
      </w:r>
      <w:r>
        <w:rPr>
          <w:b/>
        </w:rPr>
        <w:t>full</w:t>
      </w:r>
      <w:r>
        <w:t xml:space="preserve"> build. If most customers evaluate before buying, the full binary set reaches them anyway — which substantially weakens the IP-protection rationale and is a question for the owner (§12).</w:t>
      </w:r>
    </w:p>
    <w:p>
      <w:pPr>
        <w:pStyle w:val="ListNumber"/>
      </w:pPr>
      <w:r>
        <w:rPr>
          <w:b/>
        </w:rPr>
        <w:t>`Professional` differs from `Enterprise` only by OPC UA Client and OPC UA Server.</w:t>
      </w:r>
    </w:p>
    <w:p>
      <w:r>
        <w:rPr>
          <w:rFonts w:ascii="Consolas" w:hAnsi="Consolas"/>
          <w:color w:val="A03030"/>
          <w:sz w:val="18"/>
        </w:rPr>
        <w:t>Starter</w:t>
      </w:r>
      <w:r>
        <w:t xml:space="preserve"> and </w:t>
      </w:r>
      <w:r>
        <w:rPr>
          <w:rFonts w:ascii="Consolas" w:hAnsi="Consolas"/>
          <w:color w:val="A03030"/>
          <w:sz w:val="18"/>
        </w:rPr>
        <w:t>CncPro</w:t>
      </w:r>
      <w:r>
        <w:t xml:space="preserve"> are proper subsets of </w:t>
      </w:r>
      <w:r>
        <w:rPr>
          <w:rFonts w:ascii="Consolas" w:hAnsi="Consolas"/>
          <w:color w:val="A03030"/>
          <w:sz w:val="18"/>
        </w:rPr>
        <w:t>Professional</w:t>
      </w:r>
      <w:r>
        <w:t>.</w:t>
      </w:r>
    </w:p>
    <w:p>
      <w:r>
        <w:t xml:space="preserve">Proposed </w:t>
      </w:r>
      <w:r>
        <w:rPr>
          <w:b/>
        </w:rPr>
        <w:t>three</w:t>
      </w:r>
      <w:r>
        <w:t xml:space="preserve"> build variants, not five: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8"/>
              </w:rPr>
            </w:r>
            <w:r>
              <w:rPr>
                <w:b/>
                <w:sz w:val="18"/>
              </w:rPr>
              <w:t>Variant</w:t>
            </w:r>
          </w:p>
        </w:tc>
        <w:tc>
          <w:tcPr>
            <w:tcW w:type="dxa" w:w="2160"/>
          </w:tcPr>
          <w:p>
            <w:r>
              <w:rPr>
                <w:b/>
                <w:sz w:val="18"/>
              </w:rPr>
            </w:r>
            <w:r>
              <w:rPr>
                <w:b/>
                <w:sz w:val="18"/>
              </w:rPr>
              <w:t>Contains</w:t>
            </w:r>
          </w:p>
        </w:tc>
        <w:tc>
          <w:tcPr>
            <w:tcW w:type="dxa" w:w="2160"/>
          </w:tcPr>
          <w:p>
            <w:r>
              <w:rPr>
                <w:b/>
                <w:sz w:val="18"/>
              </w:rPr>
            </w:r>
            <w:r>
              <w:rPr>
                <w:b/>
                <w:sz w:val="18"/>
              </w:rPr>
              <w:t>Serves editions</w:t>
            </w:r>
          </w:p>
        </w:tc>
        <w:tc>
          <w:tcPr>
            <w:tcW w:type="dxa" w:w="2160"/>
          </w:tcPr>
          <w:p>
            <w:r>
              <w:rPr>
                <w:b/>
                <w:sz w:val="18"/>
              </w:rPr>
            </w:r>
            <w:r>
              <w:rPr>
                <w:b/>
                <w:sz w:val="18"/>
              </w:rPr>
              <w:t>Rationale</w:t>
            </w:r>
          </w:p>
        </w:tc>
      </w:tr>
      <w:tr>
        <w:tc>
          <w:tcPr>
            <w:tcW w:type="dxa" w:w="2160"/>
          </w:tcPr>
          <w:p>
            <w:r>
              <w:rPr>
                <w:sz w:val="18"/>
              </w:rPr>
            </w:r>
            <w:r>
              <w:rPr>
                <w:b/>
                <w:sz w:val="18"/>
              </w:rPr>
              <w:t>Full</w:t>
            </w:r>
          </w:p>
        </w:tc>
        <w:tc>
          <w:tcPr>
            <w:tcW w:type="dxa" w:w="2160"/>
          </w:tcPr>
          <w:p>
            <w:r>
              <w:rPr>
                <w:sz w:val="18"/>
              </w:rPr>
            </w:r>
            <w:r>
              <w:rPr>
                <w:sz w:val="18"/>
              </w:rPr>
              <w:t>everything</w:t>
            </w:r>
          </w:p>
        </w:tc>
        <w:tc>
          <w:tcPr>
            <w:tcW w:type="dxa" w:w="2160"/>
          </w:tcPr>
          <w:p>
            <w:r>
              <w:rPr>
                <w:sz w:val="18"/>
              </w:rPr>
            </w:r>
            <w:r>
              <w:rPr>
                <w:rFonts w:ascii="Consolas" w:hAnsi="Consolas"/>
                <w:color w:val="A03030"/>
                <w:sz w:val="18"/>
              </w:rPr>
              <w:t>Enterprise</w:t>
            </w:r>
            <w:r>
              <w:rPr>
                <w:sz w:val="18"/>
              </w:rPr>
              <w:t xml:space="preserve">, </w:t>
            </w:r>
            <w:r>
              <w:rPr>
                <w:rFonts w:ascii="Consolas" w:hAnsi="Consolas"/>
                <w:color w:val="A03030"/>
                <w:sz w:val="18"/>
              </w:rPr>
              <w:t>TrialPeriod</w:t>
            </w:r>
            <w:r>
              <w:rPr>
                <w:sz w:val="18"/>
              </w:rPr>
              <w:t xml:space="preserve">, </w:t>
            </w:r>
            <w:r>
              <w:rPr>
                <w:rFonts w:ascii="Consolas" w:hAnsi="Consolas"/>
                <w:color w:val="A03030"/>
                <w:sz w:val="18"/>
              </w:rPr>
              <w:t>Unknown</w:t>
            </w:r>
            <w:r>
              <w:rPr>
                <w:sz w:val="18"/>
              </w:rPr>
              <w:t>/dev</w:t>
            </w:r>
          </w:p>
        </w:tc>
        <w:tc>
          <w:tcPr>
            <w:tcW w:type="dxa" w:w="2160"/>
          </w:tcPr>
          <w:p>
            <w:r>
              <w:rPr>
                <w:sz w:val="18"/>
              </w:rPr>
            </w:r>
            <w:r>
              <w:rPr>
                <w:sz w:val="18"/>
              </w:rPr>
              <w:t xml:space="preserve">The only variant that ships </w:t>
            </w:r>
            <w:r>
              <w:rPr>
                <w:rFonts w:ascii="Consolas" w:hAnsi="Consolas"/>
                <w:color w:val="A03030"/>
                <w:sz w:val="18"/>
              </w:rPr>
              <w:t>Opc.Ua.*</w:t>
            </w:r>
            <w:r>
              <w:rPr>
                <w:sz w:val="18"/>
              </w:rPr>
              <w:t>. Gated on OPC Foundation membership.</w:t>
            </w:r>
          </w:p>
        </w:tc>
      </w:tr>
      <w:tr>
        <w:tc>
          <w:tcPr>
            <w:tcW w:type="dxa" w:w="2160"/>
          </w:tcPr>
          <w:p>
            <w:r>
              <w:rPr>
                <w:sz w:val="18"/>
              </w:rPr>
            </w:r>
            <w:r>
              <w:rPr>
                <w:b/>
                <w:sz w:val="18"/>
              </w:rPr>
              <w:t>Standard</w:t>
            </w:r>
          </w:p>
        </w:tc>
        <w:tc>
          <w:tcPr>
            <w:tcW w:type="dxa" w:w="2160"/>
          </w:tcPr>
          <w:p>
            <w:r>
              <w:rPr>
                <w:sz w:val="18"/>
              </w:rPr>
            </w:r>
            <w:r>
              <w:rPr>
                <w:sz w:val="18"/>
              </w:rPr>
              <w:t xml:space="preserve">everything </w:t>
            </w:r>
            <w:r>
              <w:rPr>
                <w:b/>
                <w:sz w:val="18"/>
              </w:rPr>
              <w:t>except</w:t>
            </w:r>
            <w:r>
              <w:rPr>
                <w:sz w:val="18"/>
              </w:rPr>
              <w:t xml:space="preserve"> </w:t>
            </w:r>
            <w:r>
              <w:rPr>
                <w:rFonts w:ascii="Consolas" w:hAnsi="Consolas"/>
                <w:color w:val="A03030"/>
                <w:sz w:val="18"/>
              </w:rPr>
              <w:t>Sources.OpcUaClient</w:t>
            </w:r>
            <w:r>
              <w:rPr>
                <w:sz w:val="18"/>
              </w:rPr>
              <w:t xml:space="preserve">, </w:t>
            </w:r>
            <w:r>
              <w:rPr>
                <w:rFonts w:ascii="Consolas" w:hAnsi="Consolas"/>
                <w:color w:val="A03030"/>
                <w:sz w:val="18"/>
              </w:rPr>
              <w:t>Sinks.OpcUaServer</w:t>
            </w:r>
            <w:r>
              <w:rPr>
                <w:sz w:val="18"/>
              </w:rPr>
              <w:t xml:space="preserve">, and all </w:t>
            </w:r>
            <w:r>
              <w:rPr>
                <w:rFonts w:ascii="Consolas" w:hAnsi="Consolas"/>
                <w:color w:val="A03030"/>
                <w:sz w:val="18"/>
              </w:rPr>
              <w:t>Opc.Ua.*</w:t>
            </w:r>
          </w:p>
        </w:tc>
        <w:tc>
          <w:tcPr>
            <w:tcW w:type="dxa" w:w="2160"/>
          </w:tcPr>
          <w:p>
            <w:r>
              <w:rPr>
                <w:sz w:val="18"/>
              </w:rPr>
            </w:r>
            <w:r>
              <w:rPr>
                <w:rFonts w:ascii="Consolas" w:hAnsi="Consolas"/>
                <w:color w:val="A03030"/>
                <w:sz w:val="18"/>
              </w:rPr>
              <w:t>Professional</w:t>
            </w:r>
          </w:p>
        </w:tc>
        <w:tc>
          <w:tcPr>
            <w:tcW w:type="dxa" w:w="2160"/>
          </w:tcPr>
          <w:p>
            <w:r>
              <w:rPr>
                <w:sz w:val="18"/>
              </w:rPr>
            </w:r>
            <w:r>
              <w:rPr>
                <w:sz w:val="18"/>
              </w:rPr>
              <w:t xml:space="preserve">Removes the entire OPC Foundation redistribution exposure. Matches </w:t>
            </w:r>
            <w:r>
              <w:rPr>
                <w:rFonts w:ascii="Consolas" w:hAnsi="Consolas"/>
                <w:color w:val="A03030"/>
                <w:sz w:val="18"/>
              </w:rPr>
              <w:t>Professional</w:t>
            </w:r>
            <w:r>
              <w:rPr>
                <w:sz w:val="18"/>
              </w:rPr>
              <w:t>'s catalog exactly.</w:t>
            </w:r>
          </w:p>
        </w:tc>
      </w:tr>
      <w:tr>
        <w:tc>
          <w:tcPr>
            <w:tcW w:type="dxa" w:w="2160"/>
          </w:tcPr>
          <w:p>
            <w:r>
              <w:rPr>
                <w:sz w:val="18"/>
              </w:rPr>
            </w:r>
            <w:r>
              <w:rPr>
                <w:b/>
                <w:sz w:val="18"/>
              </w:rPr>
              <w:t>Cnc</w:t>
            </w:r>
            <w:r>
              <w:rPr>
                <w:sz w:val="18"/>
              </w:rPr>
              <w:t xml:space="preserve"> </w:t>
            </w:r>
            <w:r>
              <w:rPr>
                <w:i/>
                <w:sz w:val="18"/>
              </w:rPr>
              <w:t>(later)</w:t>
            </w:r>
          </w:p>
        </w:tc>
        <w:tc>
          <w:tcPr>
            <w:tcW w:type="dxa" w:w="2160"/>
          </w:tcPr>
          <w:p>
            <w:r>
              <w:rPr>
                <w:sz w:val="18"/>
              </w:rPr>
            </w:r>
            <w:r>
              <w:rPr>
                <w:sz w:val="18"/>
              </w:rPr>
              <w:t>FOCAS2 + Brother HTTP + MTConnect + MQTT only</w:t>
            </w:r>
          </w:p>
        </w:tc>
        <w:tc>
          <w:tcPr>
            <w:tcW w:type="dxa" w:w="2160"/>
          </w:tcPr>
          <w:p>
            <w:r>
              <w:rPr>
                <w:sz w:val="18"/>
              </w:rPr>
            </w:r>
            <w:r>
              <w:rPr>
                <w:rFonts w:ascii="Consolas" w:hAnsi="Consolas"/>
                <w:color w:val="A03030"/>
                <w:sz w:val="18"/>
              </w:rPr>
              <w:t>CncPro</w:t>
            </w:r>
            <w:r>
              <w:rPr>
                <w:sz w:val="18"/>
              </w:rPr>
              <w:t xml:space="preserve">, </w:t>
            </w:r>
            <w:r>
              <w:rPr>
                <w:rFonts w:ascii="Consolas" w:hAnsi="Consolas"/>
                <w:color w:val="A03030"/>
                <w:sz w:val="18"/>
              </w:rPr>
              <w:t>Starter</w:t>
            </w:r>
            <w:r>
              <w:rPr>
                <w:sz w:val="18"/>
              </w:rPr>
              <w:t>*</w:t>
            </w:r>
          </w:p>
        </w:tc>
        <w:tc>
          <w:tcPr>
            <w:tcW w:type="dxa" w:w="2160"/>
          </w:tcPr>
          <w:p>
            <w:r>
              <w:rPr>
                <w:sz w:val="18"/>
              </w:rPr>
            </w:r>
            <w:r>
              <w:rPr>
                <w:sz w:val="18"/>
              </w:rPr>
              <w:t>Smallest surface. \*Starter needs Modbus, not the CNC set — see §12.</w:t>
            </w:r>
          </w:p>
        </w:tc>
      </w:tr>
    </w:tbl>
    <w:p/>
    <w:p>
      <w:r>
        <w:t xml:space="preserve">The </w:t>
      </w:r>
      <w:r>
        <w:rPr>
          <w:b/>
        </w:rPr>
        <w:t>Standard</w:t>
      </w:r>
      <w:r>
        <w:t xml:space="preserve"> variant is the first shippable slice because it is the one split with a documented legal driver, and it is a single clean cut through the dependency graph (§6.2 — dropping both OPC UA modules is exactly what releases </w:t>
      </w:r>
      <w:r>
        <w:rPr>
          <w:rFonts w:ascii="Consolas" w:hAnsi="Consolas"/>
          <w:color w:val="A03030"/>
          <w:sz w:val="18"/>
        </w:rPr>
        <w:t>Opc.Ua.Core.dll</w:t>
      </w:r>
      <w:r>
        <w:t>).</w:t>
      </w:r>
    </w:p>
    <w:p/>
    <w:p>
      <w:pPr>
        <w:pStyle w:val="Heading2"/>
      </w:pPr>
      <w:r>
        <w:t>10. Milestones (Question G)</w:t>
      </w:r>
    </w:p>
    <w:p>
      <w:r>
        <w:t xml:space="preserve">Repo convention: milestone-numbered plans under </w:t>
      </w:r>
      <w:r>
        <w:rPr>
          <w:rFonts w:ascii="Consolas" w:hAnsi="Consolas"/>
          <w:color w:val="A03030"/>
          <w:sz w:val="18"/>
        </w:rPr>
        <w:t>docs/sessions/&lt;date&gt;-&lt;milestone&gt;-*.md</w:t>
      </w:r>
      <w:r>
        <w:t xml:space="preserve">, stacked PRs, definition of done per slice. Proposed milestone letter </w:t>
      </w:r>
      <w:r>
        <w:rPr>
          <w:b/>
        </w:rPr>
        <w:t>N</w:t>
      </w:r>
      <w:r>
        <w:t xml:space="preserve"> (Packaging) — confirm with the owner that </w:t>
      </w:r>
      <w:r>
        <w:rPr>
          <w:rFonts w:ascii="Consolas" w:hAnsi="Consolas"/>
          <w:color w:val="A03030"/>
          <w:sz w:val="18"/>
        </w:rPr>
        <w:t>N</w:t>
      </w:r>
      <w:r>
        <w:t xml:space="preserve"> is free; </w:t>
      </w:r>
      <w:r>
        <w:rPr>
          <w:rFonts w:ascii="Consolas" w:hAnsi="Consolas"/>
          <w:color w:val="A03030"/>
          <w:sz w:val="18"/>
        </w:rPr>
        <w:t>M.*</w:t>
      </w:r>
      <w:r>
        <w:t xml:space="preserve"> is the Studio milestone and </w:t>
      </w:r>
      <w:r>
        <w:rPr>
          <w:rFonts w:ascii="Consolas" w:hAnsi="Consolas"/>
          <w:color w:val="A03030"/>
          <w:sz w:val="18"/>
        </w:rPr>
        <w:t>M.P2.*</w:t>
      </w:r>
      <w:r>
        <w:t xml:space="preserve"> is in use.</w:t>
      </w:r>
    </w:p>
    <w:p>
      <w:pPr>
        <w:pStyle w:val="Heading3"/>
      </w:pPr>
      <w:r>
        <w:t xml:space="preserve">N.0 — Spike: does a missing assembly actually break startup? </w:t>
      </w:r>
      <w:r>
        <w:rPr>
          <w:i/>
        </w:rPr>
        <w:t>(½ day, no PR)</w:t>
      </w:r>
    </w:p>
    <w:p>
      <w:r>
        <w:rPr>
          <w:b/>
        </w:rPr>
        <w:t>This slice decides the shape of everything after it. Do not skip it.</w:t>
      </w:r>
    </w:p>
    <w:p>
      <w:r>
        <w:t xml:space="preserve">Against the existing </w:t>
      </w:r>
      <w:r>
        <w:rPr>
          <w:rFonts w:ascii="Consolas" w:hAnsi="Consolas"/>
          <w:color w:val="A03030"/>
          <w:sz w:val="18"/>
        </w:rPr>
        <w:t>publish/Management</w:t>
      </w:r>
      <w:r>
        <w:t xml:space="preserve"> on disk (copy it first — do not mutate the real publish output):</w:t>
      </w:r>
    </w:p>
    <w:p>
      <w:pPr>
        <w:pStyle w:val="ListNumber"/>
      </w:pPr>
      <w:r>
        <w:t xml:space="preserve">Delete </w:t>
      </w:r>
      <w:r>
        <w:rPr>
          <w:rFonts w:ascii="Consolas" w:hAnsi="Consolas"/>
          <w:color w:val="A03030"/>
          <w:sz w:val="18"/>
        </w:rPr>
        <w:t>ElpisEdgeConnect.Sources.Melsec.dll</w:t>
      </w:r>
      <w:r>
        <w:t xml:space="preserve"> (zero third-party deps, cleanest probe).</w:t>
      </w:r>
    </w:p>
    <w:p>
      <w:r>
        <w:t xml:space="preserve">Run </w:t>
      </w:r>
      <w:r>
        <w:rPr>
          <w:rFonts w:ascii="Consolas" w:hAnsi="Consolas"/>
          <w:color w:val="A03030"/>
          <w:sz w:val="18"/>
        </w:rPr>
        <w:t>ElpisEdgeConnect.Management.exe</w:t>
      </w:r>
      <w:r>
        <w:t xml:space="preserve">. Record the </w:t>
      </w:r>
      <w:r>
        <w:rPr>
          <w:b/>
        </w:rPr>
        <w:t>exact</w:t>
      </w:r>
      <w:r>
        <w:t xml:space="preserve"> error and whether it occurs before or after managed </w:t>
      </w:r>
      <w:r>
        <w:rPr>
          <w:rFonts w:ascii="Consolas" w:hAnsi="Consolas"/>
          <w:color w:val="A03030"/>
          <w:sz w:val="18"/>
        </w:rPr>
        <w:t>Main</w:t>
      </w:r>
      <w:r>
        <w:t>.</w:t>
      </w:r>
    </w:p>
    <w:p>
      <w:pPr>
        <w:pStyle w:val="ListNumber"/>
      </w:pPr>
      <w:r>
        <w:t xml:space="preserve">Repeat with the deps.json entry </w:t>
      </w:r>
      <w:r>
        <w:rPr>
          <w:b/>
        </w:rPr>
        <w:t>also removed</w:t>
      </w:r>
      <w:r>
        <w:t xml:space="preserve"> (hand-edited). Does it now start? Does</w:t>
      </w:r>
    </w:p>
    <w:p>
      <w:r>
        <w:t xml:space="preserve">it crash later at the </w:t>
      </w:r>
      <w:r>
        <w:rPr>
          <w:rFonts w:ascii="Consolas" w:hAnsi="Consolas"/>
          <w:color w:val="A03030"/>
          <w:sz w:val="18"/>
        </w:rPr>
        <w:t>AddMelsecSourcesFromGatewayConfig</w:t>
      </w:r>
      <w:r>
        <w:t xml:space="preserve"> JIT?</w:t>
      </w:r>
    </w:p>
    <w:p>
      <w:pPr>
        <w:pStyle w:val="ListNumber"/>
      </w:pPr>
      <w:r>
        <w:t xml:space="preserve">Repeat with </w:t>
      </w:r>
      <w:r>
        <w:rPr>
          <w:rFonts w:ascii="Consolas" w:hAnsi="Consolas"/>
          <w:color w:val="A03030"/>
          <w:sz w:val="18"/>
        </w:rPr>
        <w:t>ElpisEdgeConnect.Sources.S7.dll</w:t>
      </w:r>
      <w:r>
        <w:t xml:space="preserve"> — this one is referenced </w:t>
      </w:r>
      <w:r>
        <w:rPr>
          <w:i/>
        </w:rPr>
        <w:t>unconditionally</w:t>
      </w:r>
    </w:p>
    <w:p>
      <w:r>
        <w:t xml:space="preserve">by </w:t>
      </w:r>
      <w:r>
        <w:rPr>
          <w:rFonts w:ascii="Consolas" w:hAnsi="Consolas"/>
          <w:color w:val="A03030"/>
          <w:sz w:val="18"/>
        </w:rPr>
        <w:t>EdgeConnectComposition</w:t>
      </w:r>
      <w:r>
        <w:t xml:space="preserve"> (</w:t>
      </w:r>
      <w:r>
        <w:rPr>
          <w:rFonts w:ascii="Consolas" w:hAnsi="Consolas"/>
          <w:color w:val="A03030"/>
          <w:sz w:val="18"/>
        </w:rPr>
        <w:t>services.AddSingleton&lt;S7FakeModeMeter&gt;()</w:t>
      </w:r>
      <w:r>
        <w:t>), so it should fail even with an empty config.</w:t>
      </w:r>
    </w:p>
    <w:p>
      <w:pPr>
        <w:pStyle w:val="ListNumber"/>
      </w:pPr>
      <w:r>
        <w:t xml:space="preserve">Repeat for </w:t>
      </w:r>
      <w:r>
        <w:rPr>
          <w:rFonts w:ascii="Consolas" w:hAnsi="Consolas"/>
          <w:color w:val="A03030"/>
          <w:sz w:val="18"/>
        </w:rPr>
        <w:t>Host.exe</w:t>
      </w:r>
      <w:r>
        <w:t>.</w:t>
      </w:r>
    </w:p>
    <w:p>
      <w:r>
        <w:rPr>
          <w:b/>
        </w:rPr>
        <w:t>Definition of done:</w:t>
      </w:r>
      <w:r>
        <w:t xml:space="preserve"> a written finding in </w:t>
      </w:r>
      <w:r>
        <w:rPr>
          <w:rFonts w:ascii="Consolas" w:hAnsi="Consolas"/>
          <w:color w:val="A03030"/>
          <w:sz w:val="18"/>
        </w:rPr>
        <w:t>docs/sessions/&lt;date&gt;-n0-missing-assembly-spike.md</w:t>
      </w:r>
      <w:r>
        <w:t xml:space="preserve"> stating, with captured output, (a) whether </w:t>
      </w:r>
      <w:r>
        <w:rPr>
          <w:rFonts w:ascii="Consolas" w:hAnsi="Consolas"/>
          <w:color w:val="A03030"/>
          <w:sz w:val="18"/>
        </w:rPr>
        <w:t>hostpolicy</w:t>
      </w:r>
      <w:r>
        <w:t xml:space="preserve"> fails pre-</w:t>
      </w:r>
      <w:r>
        <w:rPr>
          <w:rFonts w:ascii="Consolas" w:hAnsi="Consolas"/>
          <w:color w:val="A03030"/>
          <w:sz w:val="18"/>
        </w:rPr>
        <w:t>Main</w:t>
      </w:r>
      <w:r>
        <w:t xml:space="preserve"> on a deps.json entry with no file, (b) whether a hand-trimmed deps.json permits startup, (c) the first managed failure point if it does. </w:t>
      </w:r>
      <w:r>
        <w:rPr>
          <w:b/>
        </w:rPr>
        <w:t>Route R1 vs R2 (§5.4) is chosen here, in writing.</w:t>
      </w:r>
    </w:p>
    <w:p>
      <w:pPr>
        <w:pStyle w:val="Heading3"/>
      </w:pPr>
      <w:r>
        <w:t xml:space="preserve">N.1 — Edition truth + build parameterisation </w:t>
      </w:r>
      <w:r>
        <w:rPr>
          <w:i/>
        </w:rPr>
        <w:t>(1–2 days)</w:t>
      </w:r>
    </w:p>
    <w:p>
      <w:pPr>
        <w:pStyle w:val="ListNumber"/>
      </w:pPr>
      <w:r>
        <w:t xml:space="preserve">Reconcile the drift in §3.3: correct </w:t>
      </w:r>
      <w:r>
        <w:rPr>
          <w:rFonts w:ascii="Consolas" w:hAnsi="Consolas"/>
          <w:color w:val="A03030"/>
          <w:sz w:val="18"/>
        </w:rPr>
        <w:t>ARCHITECTURE_BLUEPRINT.md</w:t>
      </w:r>
      <w:r>
        <w:t xml:space="preserve"> §7.1/§7.2 and</w:t>
      </w:r>
    </w:p>
    <w:p>
      <w:r>
        <w:rPr>
          <w:rFonts w:ascii="Consolas" w:hAnsi="Consolas"/>
          <w:color w:val="A03030"/>
          <w:sz w:val="18"/>
        </w:rPr>
        <w:t>docs/licensing/license-file-format.md</w:t>
      </w:r>
      <w:r>
        <w:t xml:space="preserve"> §4.3 to match </w:t>
      </w:r>
      <w:r>
        <w:rPr>
          <w:rFonts w:ascii="Consolas" w:hAnsi="Consolas"/>
          <w:color w:val="A03030"/>
          <w:sz w:val="18"/>
        </w:rPr>
        <w:t>LicenseEditionCatalog</w:t>
      </w:r>
      <w:r>
        <w:t xml:space="preserve"> and the hyphenated module keys. Declare </w:t>
      </w:r>
      <w:r>
        <w:rPr>
          <w:rFonts w:ascii="Consolas" w:hAnsi="Consolas"/>
          <w:color w:val="A03030"/>
          <w:sz w:val="18"/>
        </w:rPr>
        <w:t>LicenseEditionCatalog</w:t>
      </w:r>
      <w:r>
        <w:t xml:space="preserve"> the single source of truth.</w:t>
      </w:r>
    </w:p>
    <w:p>
      <w:pPr>
        <w:pStyle w:val="ListNumber"/>
      </w:pPr>
      <w:r>
        <w:t xml:space="preserve">Introduce </w:t>
      </w:r>
      <w:r>
        <w:rPr>
          <w:rFonts w:ascii="Consolas" w:hAnsi="Consolas"/>
          <w:color w:val="A03030"/>
          <w:sz w:val="18"/>
        </w:rPr>
        <w:t>$(EdgeConnectEdition)</w:t>
      </w:r>
      <w:r>
        <w:t xml:space="preserve"> (default </w:t>
      </w:r>
      <w:r>
        <w:rPr>
          <w:rFonts w:ascii="Consolas" w:hAnsi="Consolas"/>
          <w:color w:val="A03030"/>
          <w:sz w:val="18"/>
        </w:rPr>
        <w:t>Full</w:t>
      </w:r>
      <w:r>
        <w:t xml:space="preserve">) in </w:t>
      </w:r>
      <w:r>
        <w:rPr>
          <w:rFonts w:ascii="Consolas" w:hAnsi="Consolas"/>
          <w:color w:val="A03030"/>
          <w:sz w:val="18"/>
        </w:rPr>
        <w:t>Directory.Build.props</w:t>
      </w:r>
      <w:r>
        <w:t>, plus the</w:t>
      </w:r>
    </w:p>
    <w:p>
      <w:r>
        <w:t xml:space="preserve">variant→module mapping expressed </w:t>
      </w:r>
      <w:r>
        <w:rPr>
          <w:b/>
        </w:rPr>
        <w:t>once</w:t>
      </w:r>
      <w:r>
        <w:t xml:space="preserve">, derived from </w:t>
      </w:r>
      <w:r>
        <w:rPr>
          <w:rFonts w:ascii="Consolas" w:hAnsi="Consolas"/>
          <w:color w:val="A03030"/>
          <w:sz w:val="18"/>
        </w:rPr>
        <w:t>LicenseEditionCatalog</w:t>
      </w:r>
      <w:r>
        <w:t>.</w:t>
      </w:r>
    </w:p>
    <w:p>
      <w:pPr>
        <w:pStyle w:val="ListNumber"/>
      </w:pPr>
      <w:r>
        <w:rPr>
          <w:rFonts w:ascii="Consolas" w:hAnsi="Consolas"/>
          <w:color w:val="A03030"/>
          <w:sz w:val="18"/>
        </w:rPr>
        <w:t>installer/Build-Edition.ps1 -Edition &lt;Full|Standard&gt;</w:t>
      </w:r>
      <w:r>
        <w:t xml:space="preserve"> — publishes both apps, builds MSI</w:t>
      </w:r>
    </w:p>
    <w:p>
      <w:r>
        <w:t xml:space="preserve">+ Setup.exe, stamps edition into the artifact name and into </w:t>
      </w:r>
      <w:r>
        <w:rPr>
          <w:rFonts w:ascii="Consolas" w:hAnsi="Consolas"/>
          <w:color w:val="A03030"/>
          <w:sz w:val="18"/>
        </w:rPr>
        <w:t>ARPCOMMENTS</w:t>
      </w:r>
      <w:r>
        <w:t>.</w:t>
      </w:r>
    </w:p>
    <w:p>
      <w:r>
        <w:rPr>
          <w:b/>
        </w:rPr>
        <w:t>Definition of done:</w:t>
      </w:r>
      <w:r>
        <w:t xml:space="preserve"> </w:t>
      </w:r>
      <w:r>
        <w:rPr>
          <w:rFonts w:ascii="Consolas" w:hAnsi="Consolas"/>
          <w:color w:val="A03030"/>
          <w:sz w:val="18"/>
        </w:rPr>
        <w:t>./installer/Build-Edition.ps1 -Edition Full</w:t>
      </w:r>
      <w:r>
        <w:t xml:space="preserve"> reproduces byte-for-byte what the manual recipe in </w:t>
      </w:r>
      <w:r>
        <w:rPr>
          <w:rFonts w:ascii="Consolas" w:hAnsi="Consolas"/>
          <w:color w:val="A03030"/>
          <w:sz w:val="18"/>
        </w:rPr>
        <w:t>creating-the-installer.md</w:t>
      </w:r>
      <w:r>
        <w:t xml:space="preserve"> produces today. </w:t>
      </w:r>
      <w:r>
        <w:rPr>
          <w:b/>
        </w:rPr>
        <w:t>No behaviour change whatsoever.</w:t>
      </w:r>
      <w:r>
        <w:t xml:space="preserve"> Docs updated. Zero warnings, zero errors.</w:t>
      </w:r>
    </w:p>
    <w:p>
      <w:pPr>
        <w:pStyle w:val="Heading3"/>
      </w:pPr>
      <w:r>
        <w:t xml:space="preserve">N.2 — Make Host composable per edition </w:t>
      </w:r>
      <w:r>
        <w:rPr>
          <w:i/>
        </w:rPr>
        <w:t>(3–5 days)</w:t>
      </w:r>
    </w:p>
    <w:p>
      <w:r>
        <w:t xml:space="preserve">Per Route R2: condition the </w:t>
      </w:r>
      <w:r>
        <w:rPr>
          <w:rFonts w:ascii="Consolas" w:hAnsi="Consolas"/>
          <w:color w:val="A03030"/>
          <w:sz w:val="18"/>
        </w:rPr>
        <w:t>ProjectReference</w:t>
      </w:r>
      <w:r>
        <w:t xml:space="preserve">s in </w:t>
      </w:r>
      <w:r>
        <w:rPr>
          <w:rFonts w:ascii="Consolas" w:hAnsi="Consolas"/>
          <w:color w:val="A03030"/>
          <w:sz w:val="18"/>
        </w:rPr>
        <w:t>ElpisEdgeConnect.Host.csproj</w:t>
      </w:r>
      <w:r>
        <w:t xml:space="preserve"> on </w:t>
      </w:r>
      <w:r>
        <w:rPr>
          <w:rFonts w:ascii="Consolas" w:hAnsi="Consolas"/>
          <w:color w:val="A03030"/>
          <w:sz w:val="18"/>
        </w:rPr>
        <w:t>$(EdgeConnectEdition)</w:t>
      </w:r>
      <w:r>
        <w:t xml:space="preserve">, and </w:t>
      </w:r>
      <w:r>
        <w:rPr>
          <w:rFonts w:ascii="Consolas" w:hAnsi="Consolas"/>
          <w:color w:val="A03030"/>
          <w:sz w:val="18"/>
        </w:rPr>
        <w:t>#if</w:t>
      </w:r>
      <w:r>
        <w:t xml:space="preserve"> the corresponding calls in </w:t>
      </w:r>
      <w:r>
        <w:rPr>
          <w:rFonts w:ascii="Consolas" w:hAnsi="Consolas"/>
          <w:color w:val="A03030"/>
          <w:sz w:val="18"/>
        </w:rPr>
        <w:t>EdgeConnectComposition.cs</w:t>
      </w:r>
      <w:r>
        <w:t xml:space="preserve">. Move </w:t>
      </w:r>
      <w:r>
        <w:rPr>
          <w:rFonts w:ascii="Consolas" w:hAnsi="Consolas"/>
          <w:color w:val="A03030"/>
          <w:sz w:val="18"/>
        </w:rPr>
        <w:t>Focas2FakeModeMeter</w:t>
      </w:r>
      <w:r>
        <w:t xml:space="preserve"> / </w:t>
      </w:r>
      <w:r>
        <w:rPr>
          <w:rFonts w:ascii="Consolas" w:hAnsi="Consolas"/>
          <w:color w:val="A03030"/>
          <w:sz w:val="18"/>
        </w:rPr>
        <w:t>S7FakeModeMeter</w:t>
      </w:r>
      <w:r>
        <w:t xml:space="preserve"> registration into per-protocol wiring so the unconditional </w:t>
      </w:r>
      <w:r>
        <w:rPr>
          <w:rFonts w:ascii="Consolas" w:hAnsi="Consolas"/>
          <w:color w:val="A03030"/>
          <w:sz w:val="18"/>
        </w:rPr>
        <w:t>typeof</w:t>
      </w:r>
      <w:r>
        <w:t xml:space="preserve"> references (§5.2) disappear.</w:t>
      </w:r>
    </w:p>
    <w:p>
      <w:r>
        <w:rPr>
          <w:b/>
        </w:rPr>
        <w:t>Definition of done:</w:t>
      </w:r>
      <w:r>
        <w:t xml:space="preserve"> </w:t>
      </w:r>
      <w:r>
        <w:rPr>
          <w:rFonts w:ascii="Consolas" w:hAnsi="Consolas"/>
          <w:color w:val="A03030"/>
          <w:sz w:val="18"/>
        </w:rPr>
        <w:t>Host.exe</w:t>
      </w:r>
      <w:r>
        <w:t xml:space="preserve"> built as </w:t>
      </w:r>
      <w:r>
        <w:rPr>
          <w:rFonts w:ascii="Consolas" w:hAnsi="Consolas"/>
          <w:color w:val="A03030"/>
          <w:sz w:val="18"/>
        </w:rPr>
        <w:t>Standard</w:t>
      </w:r>
      <w:r>
        <w:t xml:space="preserve"> starts, runs a Modbus→MQTT route end-to-end, and shows no OPC UA assemblies in its publish folder or deps.json. </w:t>
      </w:r>
      <w:r>
        <w:rPr>
          <w:rFonts w:ascii="Consolas" w:hAnsi="Consolas"/>
          <w:color w:val="A03030"/>
          <w:sz w:val="18"/>
        </w:rPr>
        <w:t>Full</w:t>
      </w:r>
      <w:r>
        <w:t xml:space="preserve"> is unchanged. A test asserts that a </w:t>
      </w:r>
      <w:r>
        <w:rPr>
          <w:rFonts w:ascii="Consolas" w:hAnsi="Consolas"/>
          <w:color w:val="A03030"/>
          <w:sz w:val="18"/>
        </w:rPr>
        <w:t>Standard</w:t>
      </w:r>
      <w:r>
        <w:t xml:space="preserve"> build's deps.json contains </w:t>
      </w:r>
      <w:r>
        <w:rPr>
          <w:b/>
        </w:rPr>
        <w:t>no</w:t>
      </w:r>
      <w:r>
        <w:t xml:space="preserve"> </w:t>
      </w:r>
      <w:r>
        <w:rPr>
          <w:rFonts w:ascii="Consolas" w:hAnsi="Consolas"/>
          <w:color w:val="A03030"/>
          <w:sz w:val="18"/>
        </w:rPr>
        <w:t>Opc.Ua.*</w:t>
      </w:r>
      <w:r>
        <w:t xml:space="preserve"> entry. All existing Host tests pass on both variants.</w:t>
      </w:r>
    </w:p>
    <w:p>
      <w:pPr>
        <w:pStyle w:val="Heading3"/>
      </w:pPr>
      <w:r>
        <w:t xml:space="preserve">N.3 — Make the Studio composable per edition </w:t>
      </w:r>
      <w:r>
        <w:rPr>
          <w:i/>
        </w:rPr>
        <w:t>(5–8 days — the expensive slice)</w:t>
      </w:r>
    </w:p>
    <w:p>
      <w:r>
        <w:t xml:space="preserve">The 28 protocol-coupled Management files (§5.3). Condition probe services, </w:t>
      </w:r>
      <w:r>
        <w:rPr>
          <w:rFonts w:ascii="Consolas" w:hAnsi="Consolas"/>
          <w:color w:val="A03030"/>
          <w:sz w:val="18"/>
        </w:rPr>
        <w:t>Map*Api</w:t>
      </w:r>
      <w:r>
        <w:t xml:space="preserve"> calls, wizard models and the Razor wizard pages. </w:t>
      </w:r>
      <w:r>
        <w:rPr>
          <w:rFonts w:ascii="Consolas" w:hAnsi="Consolas"/>
          <w:color w:val="A03030"/>
          <w:sz w:val="18"/>
        </w:rPr>
        <w:t>SourceProtocolPickerModel</w:t>
      </w:r>
      <w:r>
        <w:t xml:space="preserve"> / </w:t>
      </w:r>
      <w:r>
        <w:rPr>
          <w:rFonts w:ascii="Consolas" w:hAnsi="Consolas"/>
          <w:color w:val="A03030"/>
          <w:sz w:val="18"/>
        </w:rPr>
        <w:t>DestinationProtocolPickerModel</w:t>
      </w:r>
      <w:r>
        <w:t xml:space="preserve"> tiles for absent protocols must not merely be hidden by edition — the tile entry itself must be compiled out, or </w:t>
      </w:r>
      <w:r>
        <w:rPr>
          <w:rFonts w:ascii="Consolas" w:hAnsi="Consolas"/>
          <w:color w:val="A03030"/>
          <w:sz w:val="18"/>
        </w:rPr>
        <w:t>Resolve</w:t>
      </w:r>
      <w:r>
        <w:t xml:space="preserve"> must tolerate a tile whose wizard page does not exist.</w:t>
      </w:r>
    </w:p>
    <w:p>
      <w:r>
        <w:rPr>
          <w:b/>
        </w:rPr>
        <w:t>Definition of done:</w:t>
      </w:r>
      <w:r>
        <w:t xml:space="preserve"> </w:t>
      </w:r>
      <w:r>
        <w:rPr>
          <w:rFonts w:ascii="Consolas" w:hAnsi="Consolas"/>
          <w:color w:val="A03030"/>
          <w:sz w:val="18"/>
        </w:rPr>
        <w:t>Standard</w:t>
      </w:r>
      <w:r>
        <w:t xml:space="preserve"> Studio boots, </w:t>
      </w:r>
      <w:r>
        <w:rPr>
          <w:rFonts w:ascii="Consolas" w:hAnsi="Consolas"/>
          <w:color w:val="A03030"/>
          <w:sz w:val="18"/>
        </w:rPr>
        <w:t>/sources/new</w:t>
      </w:r>
      <w:r>
        <w:t xml:space="preserve"> shows no OPC UA Client tile, </w:t>
      </w:r>
      <w:r>
        <w:rPr>
          <w:rFonts w:ascii="Consolas" w:hAnsi="Consolas"/>
          <w:color w:val="A03030"/>
          <w:sz w:val="18"/>
        </w:rPr>
        <w:t>/destinations/new</w:t>
      </w:r>
      <w:r>
        <w:t xml:space="preserve"> shows no OPC UA Server tile, </w:t>
      </w:r>
      <w:r>
        <w:rPr>
          <w:rFonts w:ascii="Consolas" w:hAnsi="Consolas"/>
          <w:color w:val="A03030"/>
          <w:sz w:val="18"/>
        </w:rPr>
        <w:t>/swagger</w:t>
      </w:r>
      <w:r>
        <w:t xml:space="preserve"> lists no OPC UA endpoints, and the assembly-isolation test in </w:t>
      </w:r>
      <w:r>
        <w:rPr>
          <w:rFonts w:ascii="Consolas" w:hAnsi="Consolas"/>
          <w:color w:val="A03030"/>
          <w:sz w:val="18"/>
        </w:rPr>
        <w:t>ElpisEdgeConnect.Management.Tests</w:t>
      </w:r>
      <w:r>
        <w:t xml:space="preserve"> still passes. </w:t>
      </w:r>
      <w:r>
        <w:rPr>
          <w:b/>
        </w:rPr>
        <w:t>No `Opc.Ua.*` file in the publish output.</w:t>
      </w:r>
      <w:r>
        <w:t xml:space="preserve"> </w:t>
      </w:r>
      <w:r>
        <w:rPr>
          <w:rFonts w:ascii="Consolas" w:hAnsi="Consolas"/>
          <w:color w:val="A03030"/>
          <w:sz w:val="18"/>
        </w:rPr>
        <w:t>Full</w:t>
      </w:r>
      <w:r>
        <w:t xml:space="preserve"> Studio is byte-identical in behaviour to today.</w:t>
      </w:r>
    </w:p>
    <w:p>
      <w:pPr>
        <w:pStyle w:val="Heading3"/>
      </w:pPr>
      <w:r>
        <w:t xml:space="preserve">N.4 — Two-edition release </w:t>
      </w:r>
      <w:r>
        <w:rPr>
          <w:i/>
        </w:rPr>
        <w:t>(2–3 days)</w:t>
      </w:r>
      <w:r>
        <w:t xml:space="preserve"> ← </w:t>
      </w:r>
      <w:r>
        <w:rPr>
          <w:b/>
        </w:rPr>
        <w:t>first customer-visible slice</w:t>
      </w:r>
    </w:p>
    <w:p>
      <w:r>
        <w:t xml:space="preserve">Ship </w:t>
      </w:r>
      <w:r>
        <w:rPr>
          <w:rFonts w:ascii="Consolas" w:hAnsi="Consolas"/>
          <w:color w:val="A03030"/>
          <w:sz w:val="18"/>
        </w:rPr>
        <w:t>ElpisEdgeConnect-Full-2.x.y.z.msi</w:t>
      </w:r>
      <w:r>
        <w:t xml:space="preserve"> + </w:t>
      </w:r>
      <w:r>
        <w:rPr>
          <w:rFonts w:ascii="Consolas" w:hAnsi="Consolas"/>
          <w:color w:val="A03030"/>
          <w:sz w:val="18"/>
        </w:rPr>
        <w:t>-Setup.exe</w:t>
      </w:r>
      <w:r>
        <w:t xml:space="preserve"> and </w:t>
      </w:r>
      <w:r>
        <w:rPr>
          <w:rFonts w:ascii="Consolas" w:hAnsi="Consolas"/>
          <w:color w:val="A03030"/>
          <w:sz w:val="18"/>
        </w:rPr>
        <w:t>ElpisEdgeConnect-Standard-2.x.y.z.msi</w:t>
      </w:r>
      <w:r>
        <w:t xml:space="preserve"> + </w:t>
      </w:r>
      <w:r>
        <w:rPr>
          <w:rFonts w:ascii="Consolas" w:hAnsi="Consolas"/>
          <w:color w:val="A03030"/>
          <w:sz w:val="18"/>
        </w:rPr>
        <w:t>-Setup.exe</w:t>
      </w:r>
      <w:r>
        <w:t xml:space="preserve">. Add </w:t>
      </w:r>
      <w:r>
        <w:rPr>
          <w:rFonts w:ascii="Consolas" w:hAnsi="Consolas"/>
          <w:color w:val="A03030"/>
          <w:sz w:val="18"/>
        </w:rPr>
        <w:t>AllowSameVersionUpgrades="yes"</w:t>
      </w:r>
      <w:r>
        <w:t xml:space="preserve"> to </w:t>
      </w:r>
      <w:r>
        <w:rPr>
          <w:rFonts w:ascii="Consolas" w:hAnsi="Consolas"/>
          <w:color w:val="A03030"/>
          <w:sz w:val="18"/>
        </w:rPr>
        <w:t>&lt;MajorUpgrade&gt;</w:t>
      </w:r>
      <w:r>
        <w:t xml:space="preserve"> and keep the single shared </w:t>
      </w:r>
      <w:r>
        <w:rPr>
          <w:rFonts w:ascii="Consolas" w:hAnsi="Consolas"/>
          <w:color w:val="A03030"/>
          <w:sz w:val="18"/>
        </w:rPr>
        <w:t>UpgradeCode</w:t>
      </w:r>
      <w:r>
        <w:t xml:space="preserve"> (§11). Stamp the built edition into HKLM (</w:t>
      </w:r>
      <w:r>
        <w:rPr>
          <w:rFonts w:ascii="Consolas" w:hAnsi="Consolas"/>
          <w:color w:val="A03030"/>
          <w:sz w:val="18"/>
        </w:rPr>
        <w:t>Software\Elpis IT Solutions\EdgeConnect\PackagedEdition</w:t>
      </w:r>
      <w:r>
        <w:t>) and surface it on the Studio License page next to the licensed edition, so a mismatch is diagnosable.</w:t>
      </w:r>
    </w:p>
    <w:p>
      <w:r>
        <w:rPr>
          <w:b/>
        </w:rPr>
        <w:t>Definition of done:</w:t>
      </w:r>
      <w:r>
        <w:t xml:space="preserve"> clean install of each; </w:t>
      </w:r>
      <w:r>
        <w:rPr>
          <w:b/>
        </w:rPr>
        <w:t>Standard → Full</w:t>
      </w:r>
      <w:r>
        <w:t xml:space="preserve"> upgrade at the same version succeeds, leaves one ARP entry, preserves </w:t>
      </w:r>
      <w:r>
        <w:rPr>
          <w:rFonts w:ascii="Consolas" w:hAnsi="Consolas"/>
          <w:color w:val="A03030"/>
          <w:sz w:val="18"/>
        </w:rPr>
        <w:t>C:\ProgramData\EdgeConnect</w:t>
      </w:r>
      <w:r>
        <w:t xml:space="preserve"> (config, identity, license), and the service restarts Running. </w:t>
      </w:r>
      <w:r>
        <w:rPr>
          <w:b/>
        </w:rPr>
        <w:t>Full → Standard</w:t>
      </w:r>
      <w:r>
        <w:t xml:space="preserve"> downgrade at the same version succeeds and any now-unsupported configured source </w:t>
      </w:r>
      <w:r>
        <w:rPr>
          <w:b/>
        </w:rPr>
        <w:t>faults cleanly</w:t>
      </w:r>
      <w:r>
        <w:t xml:space="preserve"> and is quarantined (ADR-0028) rather than killing startup — this is an explicit test, not an assumption. </w:t>
      </w:r>
      <w:r>
        <w:rPr>
          <w:rFonts w:ascii="Consolas" w:hAnsi="Consolas"/>
          <w:color w:val="A03030"/>
          <w:sz w:val="18"/>
        </w:rPr>
        <w:t>docs/installer/creating-the-installer.md</w:t>
      </w:r>
      <w:r>
        <w:t xml:space="preserve"> rewritten for two editions.</w:t>
      </w:r>
    </w:p>
    <w:p>
      <w:pPr>
        <w:pStyle w:val="Heading3"/>
      </w:pPr>
      <w:r>
        <w:t xml:space="preserve">N.5 — Cnc variant, and FOCAS-free variants </w:t>
      </w:r>
      <w:r>
        <w:rPr>
          <w:i/>
        </w:rPr>
        <w:t>(sizing TBD)</w:t>
      </w:r>
    </w:p>
    <w:p>
      <w:r>
        <w:t xml:space="preserve">Add the </w:t>
      </w:r>
      <w:r>
        <w:rPr>
          <w:rFonts w:ascii="Consolas" w:hAnsi="Consolas"/>
          <w:color w:val="A03030"/>
          <w:sz w:val="18"/>
        </w:rPr>
        <w:t>Cnc</w:t>
      </w:r>
      <w:r>
        <w:t xml:space="preserve"> variant. Separately and independently: make the </w:t>
      </w:r>
      <w:r>
        <w:rPr>
          <w:rFonts w:ascii="Consolas" w:hAnsi="Consolas"/>
          <w:color w:val="A03030"/>
          <w:sz w:val="18"/>
        </w:rPr>
        <w:t>FocasSrc</w:t>
      </w:r>
      <w:r>
        <w:t xml:space="preserve"> bindpath</w:t>
      </w:r>
    </w:p>
    <w:p>
      <w:r>
        <w:rPr>
          <w:b/>
        </w:rPr>
        <w:t>optional</w:t>
      </w:r>
      <w:r>
        <w:t xml:space="preserve"> so non-FOCAS editions do not redistribute Fanuc binaries (§6.3). Note this currently fails the build by design — changing it is a deliberate decision, not a fix.</w:t>
      </w:r>
    </w:p>
    <w:p>
      <w:r>
        <w:rPr>
          <w:b/>
        </w:rPr>
        <w:t>Definition of done:</w:t>
      </w:r>
      <w:r>
        <w:t xml:space="preserve"> a </w:t>
      </w:r>
      <w:r>
        <w:rPr>
          <w:rFonts w:ascii="Consolas" w:hAnsi="Consolas"/>
          <w:color w:val="A03030"/>
          <w:sz w:val="18"/>
        </w:rPr>
        <w:t>Standard</w:t>
      </w:r>
      <w:r>
        <w:t xml:space="preserve">-without-FOCAS MSI builds and installs; the FOCAS2 tile is absent; ~23.5 MB smaller; the redistribution contradiction in §6.3 is closed and </w:t>
      </w:r>
      <w:r>
        <w:rPr>
          <w:rFonts w:ascii="Consolas" w:hAnsi="Consolas"/>
          <w:color w:val="A03030"/>
          <w:sz w:val="18"/>
        </w:rPr>
        <w:t>module-catalog.md</w:t>
      </w:r>
      <w:r>
        <w:t xml:space="preserve"> re-verified as accurate.</w:t>
      </w:r>
    </w:p>
    <w:p/>
    <w:p>
      <w:pPr>
        <w:pStyle w:val="Heading2"/>
      </w:pPr>
      <w:r>
        <w:t xml:space="preserve">11. Upgrade / edition change (Question E) — and the </w:t>
      </w:r>
      <w:r>
        <w:rPr>
          <w:rFonts w:ascii="Consolas" w:hAnsi="Consolas"/>
          <w:color w:val="A03030"/>
          <w:sz w:val="18"/>
        </w:rPr>
        <w:t>UpgradeCode</w:t>
      </w:r>
      <w:r>
        <w:t xml:space="preserve"> trap</w:t>
      </w:r>
    </w:p>
    <w:p>
      <w:r>
        <w:t xml:space="preserve">Today: </w:t>
      </w:r>
      <w:r>
        <w:rPr>
          <w:rFonts w:ascii="Consolas" w:hAnsi="Consolas"/>
          <w:color w:val="A03030"/>
          <w:sz w:val="18"/>
        </w:rPr>
        <w:t>UpgradeCode="b7e2c1a4-9f3d-4c8e-8a21-5f6d7e8c9b01"</w:t>
      </w:r>
      <w:r>
        <w:t xml:space="preserve"> with a bare </w:t>
      </w:r>
      <w:r>
        <w:rPr>
          <w:rFonts w:ascii="Consolas" w:hAnsi="Consolas"/>
          <w:color w:val="A03030"/>
          <w:sz w:val="18"/>
        </w:rPr>
        <w:t>&lt;MajorUpgrade DowngradeErrorMessage="…"/&gt;</w:t>
      </w:r>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8"/>
              </w:rPr>
            </w:r>
            <w:r>
              <w:rPr>
                <w:b/>
                <w:sz w:val="18"/>
              </w:rPr>
              <w:t>Option</w:t>
            </w:r>
          </w:p>
        </w:tc>
        <w:tc>
          <w:tcPr>
            <w:tcW w:type="dxa" w:w="4320"/>
          </w:tcPr>
          <w:p>
            <w:r>
              <w:rPr>
                <w:b/>
                <w:sz w:val="18"/>
              </w:rPr>
            </w:r>
            <w:r>
              <w:rPr>
                <w:b/>
                <w:sz w:val="18"/>
              </w:rPr>
              <w:t>Consequence</w:t>
            </w:r>
          </w:p>
        </w:tc>
      </w:tr>
      <w:tr>
        <w:tc>
          <w:tcPr>
            <w:tcW w:type="dxa" w:w="4320"/>
          </w:tcPr>
          <w:p>
            <w:r>
              <w:rPr>
                <w:sz w:val="18"/>
              </w:rPr>
            </w:r>
            <w:r>
              <w:rPr>
                <w:b/>
                <w:sz w:val="18"/>
              </w:rPr>
              <w:t>Shared `UpgradeCode` across editions</w:t>
            </w:r>
            <w:r>
              <w:rPr>
                <w:sz w:val="18"/>
              </w:rPr>
              <w:t xml:space="preserve"> (recommended)</w:t>
            </w:r>
          </w:p>
        </w:tc>
        <w:tc>
          <w:tcPr>
            <w:tcW w:type="dxa" w:w="4320"/>
          </w:tcPr>
          <w:p>
            <w:r>
              <w:rPr>
                <w:sz w:val="18"/>
              </w:rPr>
            </w:r>
            <w:r>
              <w:rPr>
                <w:sz w:val="18"/>
              </w:rPr>
              <w:t xml:space="preserve">Installing Standard over Full is a </w:t>
            </w:r>
            <w:r>
              <w:rPr>
                <w:b/>
                <w:sz w:val="18"/>
              </w:rPr>
              <w:t>major upgrade</w:t>
            </w:r>
            <w:r>
              <w:rPr>
                <w:sz w:val="18"/>
              </w:rPr>
              <w:t>: the old product is removed, the new installed, one ARP entry. Correct behaviour.</w:t>
            </w:r>
          </w:p>
        </w:tc>
      </w:tr>
      <w:tr>
        <w:tc>
          <w:tcPr>
            <w:tcW w:type="dxa" w:w="4320"/>
          </w:tcPr>
          <w:p>
            <w:r>
              <w:rPr>
                <w:sz w:val="18"/>
              </w:rPr>
            </w:r>
            <w:r>
              <w:rPr>
                <w:b/>
                <w:sz w:val="18"/>
              </w:rPr>
              <w:t>Per-edition `UpgradeCode`</w:t>
            </w:r>
          </w:p>
        </w:tc>
        <w:tc>
          <w:tcPr>
            <w:tcW w:type="dxa" w:w="4320"/>
          </w:tcPr>
          <w:p>
            <w:r>
              <w:rPr>
                <w:sz w:val="18"/>
              </w:rPr>
            </w:r>
            <w:r>
              <w:rPr>
                <w:sz w:val="18"/>
              </w:rPr>
              <w:t xml:space="preserve">The two editions do </w:t>
            </w:r>
            <w:r>
              <w:rPr>
                <w:b/>
                <w:sz w:val="18"/>
              </w:rPr>
              <w:t>not</w:t>
            </w:r>
            <w:r>
              <w:rPr>
                <w:sz w:val="18"/>
              </w:rPr>
              <w:t xml:space="preserve"> see each other. Both install into </w:t>
            </w:r>
            <w:r>
              <w:rPr>
                <w:rFonts w:ascii="Consolas" w:hAnsi="Consolas"/>
                <w:color w:val="A03030"/>
                <w:sz w:val="18"/>
              </w:rPr>
              <w:t>%ProgramFiles%\Elpis EdgeConnect\</w:t>
            </w:r>
            <w:r>
              <w:rPr>
                <w:sz w:val="18"/>
              </w:rPr>
              <w:t xml:space="preserve">, both try to register the service named </w:t>
            </w:r>
            <w:r>
              <w:rPr>
                <w:rFonts w:ascii="Consolas" w:hAnsi="Consolas"/>
                <w:color w:val="A03030"/>
                <w:sz w:val="18"/>
              </w:rPr>
              <w:t>ElpisEdgeConnect</w:t>
            </w:r>
            <w:r>
              <w:rPr>
                <w:sz w:val="18"/>
              </w:rPr>
              <w:t xml:space="preserve">. Broken. </w:t>
            </w:r>
            <w:r>
              <w:rPr>
                <w:b/>
                <w:sz w:val="18"/>
              </w:rPr>
              <w:t>Reject.</w:t>
            </w:r>
          </w:p>
        </w:tc>
      </w:tr>
    </w:tbl>
    <w:p/>
    <w:p>
      <w:r>
        <w:rPr>
          <w:b/>
        </w:rPr>
        <w:t>The trap:</w:t>
      </w:r>
      <w:r>
        <w:t xml:space="preserve"> with a shared </w:t>
      </w:r>
      <w:r>
        <w:rPr>
          <w:rFonts w:ascii="Consolas" w:hAnsi="Consolas"/>
          <w:color w:val="A03030"/>
          <w:sz w:val="18"/>
        </w:rPr>
        <w:t>UpgradeCode</w:t>
      </w:r>
      <w:r>
        <w:t xml:space="preserve">, </w:t>
      </w:r>
      <w:r>
        <w:rPr>
          <w:rFonts w:ascii="Consolas" w:hAnsi="Consolas"/>
          <w:color w:val="A03030"/>
          <w:sz w:val="18"/>
        </w:rPr>
        <w:t>&lt;MajorUpgrade&gt;</w:t>
      </w:r>
      <w:r>
        <w:t xml:space="preserve"> by default only removes products with a version </w:t>
      </w:r>
      <w:r>
        <w:rPr>
          <w:b/>
        </w:rPr>
        <w:t>strictly less</w:t>
      </w:r>
      <w:r>
        <w:t xml:space="preserve"> than the new one. A Starter customer buying Professional at the </w:t>
      </w:r>
      <w:r>
        <w:rPr>
          <w:i/>
        </w:rPr>
        <w:t>same</w:t>
      </w:r>
      <w:r>
        <w:t xml:space="preserve"> </w:t>
      </w:r>
      <w:r>
        <w:rPr>
          <w:rFonts w:ascii="Consolas" w:hAnsi="Consolas"/>
          <w:color w:val="A03030"/>
          <w:sz w:val="18"/>
        </w:rPr>
        <w:t>2.1.0.1</w:t>
      </w:r>
      <w:r>
        <w:t xml:space="preserve"> would get the upgrade silently skipped — two ProductCodes, two ARP entries, one directory, one service name. </w:t>
      </w:r>
      <w:r>
        <w:rPr>
          <w:b/>
        </w:rPr>
        <w:t>`AllowSameVersionUpgrades="yes"` is mandatory</w:t>
      </w:r>
      <w:r>
        <w:t xml:space="preserve"> for edition changes, and it must land in the same slice (N.4) as the second edition, never after.</w:t>
      </w:r>
    </w:p>
    <w:p>
      <w:r>
        <w:rPr>
          <w:b/>
        </w:rPr>
        <w:t>What survives an edition change:</w:t>
      </w:r>
      <w:r>
        <w:t xml:space="preserve"> </w:t>
      </w:r>
      <w:r>
        <w:rPr>
          <w:rFonts w:ascii="Consolas" w:hAnsi="Consolas"/>
          <w:color w:val="A03030"/>
          <w:sz w:val="18"/>
        </w:rPr>
        <w:t>docs/installer/creating-the-installer.md</w:t>
      </w:r>
      <w:r>
        <w:t xml:space="preserve"> §6.2 —</w:t>
      </w:r>
    </w:p>
    <w:p>
      <w:r>
        <w:t xml:space="preserve">*"Uninstall preserves data. </w:t>
      </w:r>
      <w:r>
        <w:rPr>
          <w:rFonts w:ascii="Consolas" w:hAnsi="Consolas"/>
          <w:color w:val="A03030"/>
          <w:sz w:val="18"/>
        </w:rPr>
        <w:t>C:\ProgramData\EdgeConnect</w:t>
      </w:r>
      <w:r>
        <w:t xml:space="preserve"> (including any </w:t>
      </w:r>
      <w:r>
        <w:rPr>
          <w:rFonts w:ascii="Consolas" w:hAnsi="Consolas"/>
          <w:color w:val="A03030"/>
          <w:sz w:val="18"/>
        </w:rPr>
        <w:t>license.json</w:t>
      </w:r>
      <w:r>
        <w:t>) is</w:t>
      </w:r>
    </w:p>
    <w:p>
      <w:r>
        <w:rPr>
          <w:b/>
        </w:rPr>
        <w:t>not</w:t>
      </w:r>
      <w:r>
        <w:t xml:space="preserve"> owned by the MSI and is left in place."</w:t>
      </w:r>
      <w:r>
        <w:rPr>
          <w:i/>
        </w:rPr>
        <w:t xml:space="preserve"> Combined with ADR-0038's machine-anchored identity (HKLM `SOFTWARE\Elpis\EdgeConnect\GatewayId` + a machine-wide file), the </w:t>
      </w:r>
      <w:r>
        <w:rPr>
          <w:i/>
        </w:rPr>
        <w:t>gateway id survives</w:t>
      </w:r>
      <w:r>
        <w:t>*, so the customer's existing license keeps binding. That makes the upgrade path genuinely clean:</w:t>
      </w:r>
    </w:p>
    <w:p>
      <w:r>
        <w:t xml:space="preserve">&gt; </w:t>
      </w:r>
      <w:r>
        <w:rPr>
          <w:b/>
        </w:rPr>
        <w:t>Starter → Professional:</w:t>
      </w:r>
      <w:r>
        <w:t xml:space="preserve"> install the Standard MSI (major upgrade) → drop the new &gt; </w:t>
      </w:r>
      <w:r>
        <w:rPr>
          <w:rFonts w:ascii="Consolas" w:hAnsi="Consolas"/>
          <w:color w:val="A03030"/>
          <w:sz w:val="18"/>
        </w:rPr>
        <w:t>edgelicense.json</w:t>
      </w:r>
      <w:r>
        <w:t xml:space="preserve"> → restart the service. No re-identification, no re-configuration.</w:t>
      </w:r>
    </w:p>
    <w:p>
      <w:r>
        <w:rPr>
          <w:b/>
        </w:rPr>
        <w:t>Downgrade is the risky direction</w:t>
      </w:r>
      <w:r>
        <w:t xml:space="preserve"> and must be tested explicitly in N.4: a Full→Standard move leaves </w:t>
      </w:r>
      <w:r>
        <w:rPr>
          <w:rFonts w:ascii="Consolas" w:hAnsi="Consolas"/>
          <w:color w:val="A03030"/>
          <w:sz w:val="18"/>
        </w:rPr>
        <w:t>current.json</w:t>
      </w:r>
      <w:r>
        <w:t xml:space="preserve"> referencing an OPC UA source whose adapter is now absent. That must produce a clean configuration fault (the existing </w:t>
      </w:r>
      <w:r>
        <w:rPr>
          <w:rFonts w:ascii="Consolas" w:hAnsi="Consolas"/>
          <w:color w:val="A03030"/>
          <w:sz w:val="18"/>
        </w:rPr>
        <w:t>IConfigurationFaultRegistry</w:t>
      </w:r>
      <w:r>
        <w:t xml:space="preserve"> / quarantine path, ADR-0028), </w:t>
      </w:r>
      <w:r>
        <w:rPr>
          <w:b/>
        </w:rPr>
        <w:t>not</w:t>
      </w:r>
      <w:r>
        <w:t xml:space="preserve"> a startup crash. If it crashes, the fail-soft principle (ADR-0004) is violated and the slice is not done.</w:t>
      </w:r>
    </w:p>
    <w:p>
      <w:r>
        <w:rPr>
          <w:b/>
        </w:rPr>
        <w:t>Repair</w:t>
      </w:r>
      <w:r>
        <w:t xml:space="preserve"> (</w:t>
      </w:r>
      <w:r>
        <w:rPr>
          <w:rFonts w:ascii="Consolas" w:hAnsi="Consolas"/>
          <w:color w:val="A03030"/>
          <w:sz w:val="18"/>
        </w:rPr>
        <w:t>msiexec /f</w:t>
      </w:r>
      <w:r>
        <w:t xml:space="preserve">) reinstalls the </w:t>
      </w:r>
      <w:r>
        <w:rPr>
          <w:i/>
        </w:rPr>
        <w:t>installed</w:t>
      </w:r>
      <w:r>
        <w:t xml:space="preserve"> edition's file set from its own cached MSI — it cannot change edition and needs no special handling.</w:t>
      </w:r>
    </w:p>
    <w:p/>
    <w:p>
      <w:pPr>
        <w:pStyle w:val="Heading2"/>
      </w:pPr>
      <w:r>
        <w:t>12. Build &amp; release impact (Question F)</w:t>
      </w:r>
    </w:p>
    <w:p>
      <w:r>
        <w:t xml:space="preserve">Today: one manual publish pair → one MSI → one optional Setup.exe, per </w:t>
      </w:r>
      <w:r>
        <w:rPr>
          <w:rFonts w:ascii="Consolas" w:hAnsi="Consolas"/>
          <w:color w:val="A03030"/>
          <w:sz w:val="18"/>
        </w:rPr>
        <w:t>docs/installer/creating-the-installer.md</w:t>
      </w:r>
      <w:r>
        <w:t>. No CI exists.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r>
            <w:r>
              <w:rPr>
                <w:b/>
                <w:sz w:val="18"/>
              </w:rPr>
              <w:t>Today</w:t>
            </w:r>
          </w:p>
        </w:tc>
        <w:tc>
          <w:tcPr>
            <w:tcW w:type="dxa" w:w="2160"/>
          </w:tcPr>
          <w:p>
            <w:r>
              <w:rPr>
                <w:b/>
                <w:sz w:val="18"/>
              </w:rPr>
            </w:r>
            <w:r>
              <w:rPr>
                <w:b/>
                <w:sz w:val="18"/>
              </w:rPr>
              <w:t>After N.4 (2 editions)</w:t>
            </w:r>
          </w:p>
        </w:tc>
        <w:tc>
          <w:tcPr>
            <w:tcW w:type="dxa" w:w="2160"/>
          </w:tcPr>
          <w:p>
            <w:r>
              <w:rPr>
                <w:b/>
                <w:sz w:val="18"/>
              </w:rPr>
            </w:r>
            <w:r>
              <w:rPr>
                <w:b/>
                <w:sz w:val="18"/>
              </w:rPr>
              <w:t>After N.5 (3 editions)</w:t>
            </w:r>
          </w:p>
        </w:tc>
      </w:tr>
      <w:tr>
        <w:tc>
          <w:tcPr>
            <w:tcW w:type="dxa" w:w="2160"/>
          </w:tcPr>
          <w:p>
            <w:r>
              <w:rPr>
                <w:sz w:val="18"/>
              </w:rPr>
            </w:r>
            <w:r>
              <w:rPr>
                <w:rFonts w:ascii="Consolas" w:hAnsi="Consolas"/>
                <w:color w:val="A03030"/>
                <w:sz w:val="18"/>
              </w:rPr>
              <w:t>dotnet publish</w:t>
            </w:r>
            <w:r>
              <w:rPr>
                <w:sz w:val="18"/>
              </w:rPr>
              <w:t xml:space="preserve"> invocations</w:t>
            </w:r>
          </w:p>
        </w:tc>
        <w:tc>
          <w:tcPr>
            <w:tcW w:type="dxa" w:w="2160"/>
          </w:tcPr>
          <w:p>
            <w:r>
              <w:rPr>
                <w:sz w:val="18"/>
              </w:rPr>
            </w:r>
            <w:r>
              <w:rPr>
                <w:sz w:val="18"/>
              </w:rPr>
              <w:t>2</w:t>
            </w:r>
          </w:p>
        </w:tc>
        <w:tc>
          <w:tcPr>
            <w:tcW w:type="dxa" w:w="2160"/>
          </w:tcPr>
          <w:p>
            <w:r>
              <w:rPr>
                <w:sz w:val="18"/>
              </w:rPr>
            </w:r>
            <w:r>
              <w:rPr>
                <w:sz w:val="18"/>
              </w:rPr>
              <w:t>4</w:t>
            </w:r>
          </w:p>
        </w:tc>
        <w:tc>
          <w:tcPr>
            <w:tcW w:type="dxa" w:w="2160"/>
          </w:tcPr>
          <w:p>
            <w:r>
              <w:rPr>
                <w:sz w:val="18"/>
              </w:rPr>
            </w:r>
            <w:r>
              <w:rPr>
                <w:sz w:val="18"/>
              </w:rPr>
              <w:t>6</w:t>
            </w:r>
          </w:p>
        </w:tc>
      </w:tr>
      <w:tr>
        <w:tc>
          <w:tcPr>
            <w:tcW w:type="dxa" w:w="2160"/>
          </w:tcPr>
          <w:p>
            <w:r>
              <w:rPr>
                <w:sz w:val="18"/>
              </w:rPr>
            </w:r>
            <w:r>
              <w:rPr>
                <w:rFonts w:ascii="Consolas" w:hAnsi="Consolas"/>
                <w:color w:val="A03030"/>
                <w:sz w:val="18"/>
              </w:rPr>
              <w:t>wix build</w:t>
            </w:r>
            <w:r>
              <w:rPr>
                <w:sz w:val="18"/>
              </w:rPr>
              <w:t xml:space="preserve"> invocations</w:t>
            </w:r>
          </w:p>
        </w:tc>
        <w:tc>
          <w:tcPr>
            <w:tcW w:type="dxa" w:w="2160"/>
          </w:tcPr>
          <w:p>
            <w:r>
              <w:rPr>
                <w:sz w:val="18"/>
              </w:rPr>
            </w:r>
            <w:r>
              <w:rPr>
                <w:sz w:val="18"/>
              </w:rPr>
              <w:t>2</w:t>
            </w:r>
          </w:p>
        </w:tc>
        <w:tc>
          <w:tcPr>
            <w:tcW w:type="dxa" w:w="2160"/>
          </w:tcPr>
          <w:p>
            <w:r>
              <w:rPr>
                <w:sz w:val="18"/>
              </w:rPr>
            </w:r>
            <w:r>
              <w:rPr>
                <w:sz w:val="18"/>
              </w:rPr>
              <w:t>4</w:t>
            </w:r>
          </w:p>
        </w:tc>
        <w:tc>
          <w:tcPr>
            <w:tcW w:type="dxa" w:w="2160"/>
          </w:tcPr>
          <w:p>
            <w:r>
              <w:rPr>
                <w:sz w:val="18"/>
              </w:rPr>
            </w:r>
            <w:r>
              <w:rPr>
                <w:sz w:val="18"/>
              </w:rPr>
              <w:t>6</w:t>
            </w:r>
          </w:p>
        </w:tc>
      </w:tr>
      <w:tr>
        <w:tc>
          <w:tcPr>
            <w:tcW w:type="dxa" w:w="2160"/>
          </w:tcPr>
          <w:p>
            <w:r>
              <w:rPr>
                <w:sz w:val="18"/>
              </w:rPr>
            </w:r>
            <w:r>
              <w:rPr>
                <w:sz w:val="18"/>
              </w:rPr>
              <w:t>Publish output on disk</w:t>
            </w:r>
          </w:p>
        </w:tc>
        <w:tc>
          <w:tcPr>
            <w:tcW w:type="dxa" w:w="2160"/>
          </w:tcPr>
          <w:p>
            <w:r>
              <w:rPr>
                <w:sz w:val="18"/>
              </w:rPr>
            </w:r>
            <w:r>
              <w:rPr>
                <w:sz w:val="18"/>
              </w:rPr>
              <w:t>~268 MB</w:t>
            </w:r>
          </w:p>
        </w:tc>
        <w:tc>
          <w:tcPr>
            <w:tcW w:type="dxa" w:w="2160"/>
          </w:tcPr>
          <w:p>
            <w:r>
              <w:rPr>
                <w:sz w:val="18"/>
              </w:rPr>
            </w:r>
            <w:r>
              <w:rPr>
                <w:sz w:val="18"/>
              </w:rPr>
              <w:t>~530 MB</w:t>
            </w:r>
          </w:p>
        </w:tc>
        <w:tc>
          <w:tcPr>
            <w:tcW w:type="dxa" w:w="2160"/>
          </w:tcPr>
          <w:p>
            <w:r>
              <w:rPr>
                <w:sz w:val="18"/>
              </w:rPr>
            </w:r>
            <w:r>
              <w:rPr>
                <w:sz w:val="18"/>
              </w:rPr>
              <w:t>~790 MB</w:t>
            </w:r>
          </w:p>
        </w:tc>
      </w:tr>
      <w:tr>
        <w:tc>
          <w:tcPr>
            <w:tcW w:type="dxa" w:w="2160"/>
          </w:tcPr>
          <w:p>
            <w:r>
              <w:rPr>
                <w:sz w:val="18"/>
              </w:rPr>
            </w:r>
            <w:r>
              <w:rPr>
                <w:sz w:val="18"/>
              </w:rPr>
              <w:t>Shipped artifacts</w:t>
            </w:r>
          </w:p>
        </w:tc>
        <w:tc>
          <w:tcPr>
            <w:tcW w:type="dxa" w:w="2160"/>
          </w:tcPr>
          <w:p>
            <w:r>
              <w:rPr>
                <w:sz w:val="18"/>
              </w:rPr>
            </w:r>
            <w:r>
              <w:rPr>
                <w:sz w:val="18"/>
              </w:rPr>
              <w:t>2</w:t>
            </w:r>
          </w:p>
        </w:tc>
        <w:tc>
          <w:tcPr>
            <w:tcW w:type="dxa" w:w="2160"/>
          </w:tcPr>
          <w:p>
            <w:r>
              <w:rPr>
                <w:sz w:val="18"/>
              </w:rPr>
            </w:r>
            <w:r>
              <w:rPr>
                <w:sz w:val="18"/>
              </w:rPr>
              <w:t>4</w:t>
            </w:r>
          </w:p>
        </w:tc>
        <w:tc>
          <w:tcPr>
            <w:tcW w:type="dxa" w:w="2160"/>
          </w:tcPr>
          <w:p>
            <w:r>
              <w:rPr>
                <w:sz w:val="18"/>
              </w:rPr>
            </w:r>
            <w:r>
              <w:rPr>
                <w:sz w:val="18"/>
              </w:rPr>
              <w:t>6</w:t>
            </w:r>
          </w:p>
        </w:tc>
      </w:tr>
      <w:tr>
        <w:tc>
          <w:tcPr>
            <w:tcW w:type="dxa" w:w="2160"/>
          </w:tcPr>
          <w:p>
            <w:r>
              <w:rPr>
                <w:sz w:val="18"/>
              </w:rPr>
            </w:r>
            <w:r>
              <w:rPr>
                <w:sz w:val="18"/>
              </w:rPr>
              <w:t>Manual steps to get them wrong</w:t>
            </w:r>
          </w:p>
        </w:tc>
        <w:tc>
          <w:tcPr>
            <w:tcW w:type="dxa" w:w="2160"/>
          </w:tcPr>
          <w:p>
            <w:r>
              <w:rPr>
                <w:sz w:val="18"/>
              </w:rPr>
            </w:r>
            <w:r>
              <w:rPr>
                <w:sz w:val="18"/>
              </w:rPr>
              <w:t>several</w:t>
            </w:r>
          </w:p>
        </w:tc>
        <w:tc>
          <w:tcPr>
            <w:tcW w:type="dxa" w:w="2160"/>
          </w:tcPr>
          <w:p>
            <w:r>
              <w:rPr>
                <w:sz w:val="18"/>
              </w:rPr>
            </w:r>
            <w:r>
              <w:rPr>
                <w:b/>
                <w:sz w:val="18"/>
              </w:rPr>
              <w:t>double</w:t>
            </w:r>
          </w:p>
        </w:tc>
        <w:tc>
          <w:tcPr>
            <w:tcW w:type="dxa" w:w="2160"/>
          </w:tcPr>
          <w:p>
            <w:r>
              <w:rPr>
                <w:sz w:val="18"/>
              </w:rPr>
            </w:r>
            <w:r>
              <w:rPr>
                <w:b/>
                <w:sz w:val="18"/>
              </w:rPr>
              <w:t>triple</w:t>
            </w:r>
          </w:p>
        </w:tc>
      </w:tr>
    </w:tbl>
    <w:p/>
    <w:p>
      <w:r>
        <w:t xml:space="preserve">The manual-error surface is the real cost, not the wall clock. </w:t>
      </w:r>
      <w:r>
        <w:rPr>
          <w:rFonts w:ascii="Consolas" w:hAnsi="Consolas"/>
          <w:color w:val="A03030"/>
          <w:sz w:val="18"/>
        </w:rPr>
        <w:t>installer/Build-Edition.ps1</w:t>
      </w:r>
      <w:r>
        <w:t xml:space="preserve"> (slice N.1) is therefore not optional polish — it is the thing that makes N.4 safe. It must:</w:t>
      </w:r>
    </w:p>
    <w:p>
      <w:pPr>
        <w:pStyle w:val="ListBullet"/>
      </w:pPr>
      <w:r>
        <w:t xml:space="preserve">take </w:t>
      </w:r>
      <w:r>
        <w:rPr>
          <w:rFonts w:ascii="Consolas" w:hAnsi="Consolas"/>
          <w:color w:val="A03030"/>
          <w:sz w:val="18"/>
        </w:rPr>
        <w:t>-Edition</w:t>
      </w:r>
      <w:r>
        <w:t xml:space="preserve"> and refuse an unknown value;</w:t>
      </w:r>
    </w:p>
    <w:p>
      <w:pPr>
        <w:pStyle w:val="ListBullet"/>
      </w:pPr>
      <w:r>
        <w:t xml:space="preserve">read </w:t>
      </w:r>
      <w:r>
        <w:rPr>
          <w:rFonts w:ascii="Consolas" w:hAnsi="Consolas"/>
          <w:color w:val="A03030"/>
          <w:sz w:val="18"/>
        </w:rPr>
        <w:t>Version</w:t>
      </w:r>
      <w:r>
        <w:t xml:space="preserve"> from </w:t>
      </w:r>
      <w:r>
        <w:rPr>
          <w:rFonts w:ascii="Consolas" w:hAnsi="Consolas"/>
          <w:color w:val="A03030"/>
          <w:sz w:val="18"/>
        </w:rPr>
        <w:t>Directory.Build.props</w:t>
      </w:r>
      <w:r>
        <w:t xml:space="preserve"> (never accept it as an argument — the existing</w:t>
      </w:r>
    </w:p>
    <w:p>
      <w:r>
        <w:t>doc already insists on this so MSI and assembly versions cannot drift);</w:t>
      </w:r>
    </w:p>
    <w:p>
      <w:pPr>
        <w:pStyle w:val="ListBullet"/>
      </w:pPr>
      <w:r>
        <w:t>clean the publish directory first (the doc's existing warning about stale harvested files</w:t>
      </w:r>
    </w:p>
    <w:p>
      <w:r>
        <w:t xml:space="preserve">becomes far more dangerous with multiple editions sharing </w:t>
      </w:r>
      <w:r>
        <w:rPr>
          <w:rFonts w:ascii="Consolas" w:hAnsi="Consolas"/>
          <w:color w:val="A03030"/>
          <w:sz w:val="18"/>
        </w:rPr>
        <w:t>publish/</w:t>
      </w:r>
      <w:r>
        <w:t>);</w:t>
      </w:r>
    </w:p>
    <w:p>
      <w:pPr>
        <w:pStyle w:val="ListBullet"/>
      </w:pPr>
      <w:r>
        <w:t xml:space="preserve">name outputs </w:t>
      </w:r>
      <w:r>
        <w:rPr>
          <w:rFonts w:ascii="Consolas" w:hAnsi="Consolas"/>
          <w:color w:val="A03030"/>
          <w:sz w:val="18"/>
        </w:rPr>
        <w:t>ElpisEdgeConnect-&lt;Edition&gt;-&lt;Version&gt;.msi</w:t>
      </w:r>
      <w:r>
        <w:t>;</w:t>
      </w:r>
    </w:p>
    <w:p>
      <w:pPr>
        <w:pStyle w:val="ListBullet"/>
      </w:pPr>
      <w:r>
        <w:t>fail loudly if a variant's publish output contains a file it should not (an assertion, run</w:t>
      </w:r>
    </w:p>
    <w:p>
      <w:r>
        <w:t>as part of the build, comparing against the expected exclusion set).</w:t>
      </w:r>
    </w:p>
    <w:p>
      <w:r>
        <w:rPr>
          <w:rFonts w:ascii="Consolas" w:hAnsi="Consolas"/>
          <w:color w:val="A03030"/>
          <w:sz w:val="18"/>
        </w:rPr>
        <w:t>docs/installer/creating-the-installer.md</w:t>
      </w:r>
      <w:r>
        <w:t xml:space="preserve"> needs: a new §0.1 explaining variants; the build recipe replaced by the script; the </w:t>
      </w:r>
      <w:r>
        <w:rPr>
          <w:rFonts w:ascii="Consolas" w:hAnsi="Consolas"/>
          <w:color w:val="A03030"/>
          <w:sz w:val="18"/>
        </w:rPr>
        <w:t>-bindpath FocasSrc</w:t>
      </w:r>
      <w:r>
        <w:t xml:space="preserve"> note updated once N.5 makes it conditional; and §5.1 amended for </w:t>
      </w:r>
      <w:r>
        <w:rPr>
          <w:rFonts w:ascii="Consolas" w:hAnsi="Consolas"/>
          <w:color w:val="A03030"/>
          <w:sz w:val="18"/>
        </w:rPr>
        <w:t>AllowSameVersionUpgrades</w:t>
      </w:r>
      <w:r>
        <w:t>.</w:t>
      </w:r>
    </w:p>
    <w:p>
      <w:r>
        <w:rPr>
          <w:b/>
        </w:rPr>
        <w:t>CI:</w:t>
      </w:r>
      <w:r>
        <w:t xml:space="preserve"> none exists. A minimal GitHub Actions matrix over </w:t>
      </w:r>
      <w:r>
        <w:rPr>
          <w:rFonts w:ascii="Consolas" w:hAnsi="Consolas"/>
          <w:color w:val="A03030"/>
          <w:sz w:val="18"/>
        </w:rPr>
        <w:t>EdgeConnectEdition</w:t>
      </w:r>
      <w:r>
        <w:t xml:space="preserve"> would be the natural home for the "no forbidden file in publish" assertion and the N-way test run. Out of scope for N.0–N.4; recommend raising it as a separate decision once N.4 proves the shape.</w:t>
      </w:r>
    </w:p>
    <w:p/>
    <w:p>
      <w:pPr>
        <w:pStyle w:val="Heading2"/>
      </w:pPr>
      <w:r>
        <w:t>13. ADR candidates (Question H)</w:t>
      </w:r>
    </w:p>
    <w:p>
      <w:r>
        <w:t xml:space="preserve">Existing ADRs top out at </w:t>
      </w:r>
      <w:r>
        <w:rPr>
          <w:b/>
        </w:rPr>
        <w:t>0038</w:t>
      </w:r>
      <w:r>
        <w:t xml:space="preserve">. These are the decisions that are architecturally locked-in and painful to reverse, and should be written </w:t>
      </w:r>
      <w:r>
        <w:rPr>
          <w:b/>
        </w:rPr>
        <w:t>before</w:t>
      </w:r>
      <w:r>
        <w:t xml:space="preserve"> N.2 begins.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8"/>
              </w:rPr>
            </w:r>
            <w:r>
              <w:rPr>
                <w:b/>
                <w:sz w:val="18"/>
              </w:rPr>
              <w:t>#</w:t>
            </w:r>
          </w:p>
        </w:tc>
        <w:tc>
          <w:tcPr>
            <w:tcW w:type="dxa" w:w="2880"/>
          </w:tcPr>
          <w:p>
            <w:r>
              <w:rPr>
                <w:b/>
                <w:sz w:val="18"/>
              </w:rPr>
            </w:r>
            <w:r>
              <w:rPr>
                <w:b/>
                <w:sz w:val="18"/>
              </w:rPr>
              <w:t>Proposed title</w:t>
            </w:r>
          </w:p>
        </w:tc>
        <w:tc>
          <w:tcPr>
            <w:tcW w:type="dxa" w:w="2880"/>
          </w:tcPr>
          <w:p>
            <w:r>
              <w:rPr>
                <w:b/>
                <w:sz w:val="18"/>
              </w:rPr>
            </w:r>
            <w:r>
              <w:rPr>
                <w:b/>
                <w:sz w:val="18"/>
              </w:rPr>
              <w:t>Why it must be an ADR</w:t>
            </w:r>
          </w:p>
        </w:tc>
      </w:tr>
      <w:tr>
        <w:tc>
          <w:tcPr>
            <w:tcW w:type="dxa" w:w="2880"/>
          </w:tcPr>
          <w:p>
            <w:r>
              <w:rPr>
                <w:sz w:val="18"/>
              </w:rPr>
            </w:r>
            <w:r>
              <w:rPr>
                <w:b/>
                <w:sz w:val="18"/>
              </w:rPr>
              <w:t>0039</w:t>
            </w:r>
          </w:p>
        </w:tc>
        <w:tc>
          <w:tcPr>
            <w:tcW w:type="dxa" w:w="2880"/>
          </w:tcPr>
          <w:p>
            <w:r>
              <w:rPr>
                <w:sz w:val="18"/>
              </w:rPr>
            </w:r>
            <w:r>
              <w:rPr>
                <w:i/>
                <w:sz w:val="18"/>
              </w:rPr>
              <w:t>Per-edition packaging is built, not installed</w:t>
            </w:r>
          </w:p>
        </w:tc>
        <w:tc>
          <w:tcPr>
            <w:tcW w:type="dxa" w:w="2880"/>
          </w:tcPr>
          <w:p>
            <w:r>
              <w:rPr>
                <w:sz w:val="18"/>
              </w:rPr>
            </w:r>
            <w:r>
              <w:rPr>
                <w:sz w:val="18"/>
              </w:rPr>
              <w:t xml:space="preserve">Locks the mechanism: edition is chosen at </w:t>
            </w:r>
            <w:r>
              <w:rPr>
                <w:b/>
                <w:sz w:val="18"/>
              </w:rPr>
              <w:t>build</w:t>
            </w:r>
            <w:r>
              <w:rPr>
                <w:sz w:val="18"/>
              </w:rPr>
              <w:t xml:space="preserve"> time on Elpis's machine; the installer never reads, parses, or verifies a license. Painful to reverse because it shapes the build system, the release process, and every downstream artifact name. Must record the ADR-0036 sequencing argument explicitly, or someone will re-propose install-time license reading in a year.</w:t>
            </w:r>
          </w:p>
        </w:tc>
      </w:tr>
      <w:tr>
        <w:tc>
          <w:tcPr>
            <w:tcW w:type="dxa" w:w="2880"/>
          </w:tcPr>
          <w:p>
            <w:r>
              <w:rPr>
                <w:sz w:val="18"/>
              </w:rPr>
            </w:r>
            <w:r>
              <w:rPr>
                <w:b/>
                <w:sz w:val="18"/>
              </w:rPr>
              <w:t>0040</w:t>
            </w:r>
          </w:p>
        </w:tc>
        <w:tc>
          <w:tcPr>
            <w:tcW w:type="dxa" w:w="2880"/>
          </w:tcPr>
          <w:p>
            <w:r>
              <w:rPr>
                <w:sz w:val="18"/>
              </w:rPr>
            </w:r>
            <w:r>
              <w:rPr>
                <w:i/>
                <w:sz w:val="18"/>
              </w:rPr>
              <w:t>Packaging is a compliance control, not an enforcement control</w:t>
            </w:r>
          </w:p>
        </w:tc>
        <w:tc>
          <w:tcPr>
            <w:tcW w:type="dxa" w:w="2880"/>
          </w:tcPr>
          <w:p>
            <w:r>
              <w:rPr>
                <w:sz w:val="18"/>
              </w:rPr>
            </w:r>
            <w:r>
              <w:rPr>
                <w:sz w:val="18"/>
              </w:rPr>
              <w:t>Locks the trust boundary. States that layers 2 and 3 remain authoritative and unchanged, that omitted binaries are a speed bump, and that no customer-facing material may claim packaging enforces licensing. Prevents the slow erosion of runtime enforcement "because the installer already handles it".</w:t>
            </w:r>
          </w:p>
        </w:tc>
      </w:tr>
      <w:tr>
        <w:tc>
          <w:tcPr>
            <w:tcW w:type="dxa" w:w="2880"/>
          </w:tcPr>
          <w:p>
            <w:r>
              <w:rPr>
                <w:sz w:val="18"/>
              </w:rPr>
            </w:r>
            <w:r>
              <w:rPr>
                <w:b/>
                <w:sz w:val="18"/>
              </w:rPr>
              <w:t>0041</w:t>
            </w:r>
          </w:p>
        </w:tc>
        <w:tc>
          <w:tcPr>
            <w:tcW w:type="dxa" w:w="2880"/>
          </w:tcPr>
          <w:p>
            <w:r>
              <w:rPr>
                <w:sz w:val="18"/>
              </w:rPr>
            </w:r>
            <w:r>
              <w:rPr>
                <w:i/>
                <w:sz w:val="18"/>
              </w:rPr>
              <w:t>`LicenseEditionCatalog` is the single source of truth for edition→module mapping</w:t>
            </w:r>
          </w:p>
        </w:tc>
        <w:tc>
          <w:tcPr>
            <w:tcW w:type="dxa" w:w="2880"/>
          </w:tcPr>
          <w:p>
            <w:r>
              <w:rPr>
                <w:sz w:val="18"/>
              </w:rPr>
            </w:r>
            <w:r>
              <w:rPr>
                <w:sz w:val="18"/>
              </w:rPr>
              <w:t xml:space="preserve">Blueprint §7.1, license-file-format §4.3 and the code currently disagree (§3.3). Without a ruling, packaging will be built against the wrong table. Also settles the </w:t>
            </w:r>
            <w:r>
              <w:rPr>
                <w:rFonts w:ascii="Consolas" w:hAnsi="Consolas"/>
                <w:color w:val="A03030"/>
                <w:sz w:val="18"/>
              </w:rPr>
              <w:t>source-opcua-client</w:t>
            </w:r>
            <w:r>
              <w:rPr>
                <w:sz w:val="18"/>
              </w:rPr>
              <w:t xml:space="preserve"> vs </w:t>
            </w:r>
            <w:r>
              <w:rPr>
                <w:rFonts w:ascii="Consolas" w:hAnsi="Consolas"/>
                <w:color w:val="A03030"/>
                <w:sz w:val="18"/>
              </w:rPr>
              <w:t>source-opc-ua-client</w:t>
            </w:r>
            <w:r>
              <w:rPr>
                <w:sz w:val="18"/>
              </w:rPr>
              <w:t xml:space="preserve"> key.</w:t>
            </w:r>
          </w:p>
        </w:tc>
      </w:tr>
      <w:tr>
        <w:tc>
          <w:tcPr>
            <w:tcW w:type="dxa" w:w="2880"/>
          </w:tcPr>
          <w:p>
            <w:r>
              <w:rPr>
                <w:sz w:val="18"/>
              </w:rPr>
            </w:r>
            <w:r>
              <w:rPr>
                <w:b/>
                <w:sz w:val="18"/>
              </w:rPr>
              <w:t>0042</w:t>
            </w:r>
          </w:p>
        </w:tc>
        <w:tc>
          <w:tcPr>
            <w:tcW w:type="dxa" w:w="2880"/>
          </w:tcPr>
          <w:p>
            <w:r>
              <w:rPr>
                <w:sz w:val="18"/>
              </w:rPr>
            </w:r>
            <w:r>
              <w:rPr>
                <w:i/>
                <w:sz w:val="18"/>
              </w:rPr>
              <w:t>Single `UpgradeCode` across editions with `AllowSameVersionUpgrades`</w:t>
            </w:r>
          </w:p>
        </w:tc>
        <w:tc>
          <w:tcPr>
            <w:tcW w:type="dxa" w:w="2880"/>
          </w:tcPr>
          <w:p>
            <w:r>
              <w:rPr>
                <w:sz w:val="18"/>
              </w:rPr>
            </w:r>
            <w:r>
              <w:rPr>
                <w:sz w:val="18"/>
              </w:rPr>
              <w:t xml:space="preserve">Once shipped, the </w:t>
            </w:r>
            <w:r>
              <w:rPr>
                <w:rFonts w:ascii="Consolas" w:hAnsi="Consolas"/>
                <w:color w:val="A03030"/>
                <w:sz w:val="18"/>
              </w:rPr>
              <w:t>UpgradeCode</w:t>
            </w:r>
            <w:r>
              <w:rPr>
                <w:sz w:val="18"/>
              </w:rPr>
              <w:t xml:space="preserve"> cannot change without breaking every installed customer's upgrade path. Getting this wrong is discovered only in the field.</w:t>
            </w:r>
          </w:p>
        </w:tc>
      </w:tr>
      <w:tr>
        <w:tc>
          <w:tcPr>
            <w:tcW w:type="dxa" w:w="2880"/>
          </w:tcPr>
          <w:p>
            <w:r>
              <w:rPr>
                <w:sz w:val="18"/>
              </w:rPr>
            </w:r>
            <w:r>
              <w:rPr>
                <w:b/>
                <w:sz w:val="18"/>
              </w:rPr>
              <w:t>0043</w:t>
            </w:r>
            <w:r>
              <w:rPr>
                <w:sz w:val="18"/>
              </w:rPr>
              <w:t xml:space="preserve"> </w:t>
            </w:r>
            <w:r>
              <w:rPr>
                <w:i/>
                <w:sz w:val="18"/>
              </w:rPr>
              <w:t>(conditional — only if N.0 chooses Route R1)</w:t>
            </w:r>
          </w:p>
        </w:tc>
        <w:tc>
          <w:tcPr>
            <w:tcW w:type="dxa" w:w="2880"/>
          </w:tcPr>
          <w:p>
            <w:r>
              <w:rPr>
                <w:sz w:val="18"/>
              </w:rPr>
            </w:r>
            <w:r>
              <w:rPr>
                <w:i/>
                <w:sz w:val="18"/>
              </w:rPr>
              <w:t>Tolerating an absent adapter assembly is not dynamic plugin loading</w:t>
            </w:r>
          </w:p>
        </w:tc>
        <w:tc>
          <w:tcPr>
            <w:tcW w:type="dxa" w:w="2880"/>
          </w:tcPr>
          <w:p>
            <w:r>
              <w:rPr>
                <w:sz w:val="18"/>
              </w:rPr>
            </w:r>
            <w:r>
              <w:rPr>
                <w:sz w:val="18"/>
              </w:rPr>
              <w:t>Resolves the tension with Locked #4 and anti-pattern #2. Only needed if the spike shows R1 is viable.</w:t>
            </w:r>
          </w:p>
        </w:tc>
      </w:tr>
    </w:tbl>
    <w:p/>
    <w:p/>
    <w:p>
      <w:pPr>
        <w:pStyle w:val="Heading2"/>
      </w:pPr>
      <w:r>
        <w:t>14. Open questions for the product owner (Question I)</w:t>
      </w:r>
    </w:p>
    <w:p>
      <w:r>
        <w:t xml:space="preserve">These cannot be decided from the repository, and they lead to </w:t>
      </w:r>
      <w:r>
        <w:rPr>
          <w:b/>
        </w:rPr>
        <w:t>materially different designs</w:t>
      </w:r>
      <w:r>
        <w:t>. Recommend answering Q1 and Q2 before N.1 starts.</w:t>
      </w:r>
    </w:p>
    <w:p>
      <w:r>
        <w:rPr>
          <w:b/>
        </w:rPr>
        <w:t>Q1 — What is the actual goal?</w:t>
      </w:r>
      <w:r>
        <w:t xml:space="preserve"> The four plausible answers point different directions: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8"/>
              </w:rPr>
            </w:r>
            <w:r>
              <w:rPr>
                <w:b/>
                <w:sz w:val="18"/>
              </w:rPr>
              <w:t>If the goal is…</w:t>
            </w:r>
          </w:p>
        </w:tc>
        <w:tc>
          <w:tcPr>
            <w:tcW w:type="dxa" w:w="4320"/>
          </w:tcPr>
          <w:p>
            <w:r>
              <w:rPr>
                <w:b/>
                <w:sz w:val="18"/>
              </w:rPr>
            </w:r>
            <w:r>
              <w:rPr>
                <w:b/>
                <w:sz w:val="18"/>
              </w:rPr>
              <w:t>…then the right design is</w:t>
            </w:r>
          </w:p>
        </w:tc>
      </w:tr>
      <w:tr>
        <w:tc>
          <w:tcPr>
            <w:tcW w:type="dxa" w:w="4320"/>
          </w:tcPr>
          <w:p>
            <w:r>
              <w:rPr>
                <w:sz w:val="18"/>
              </w:rPr>
            </w:r>
            <w:r>
              <w:rPr>
                <w:b/>
                <w:sz w:val="18"/>
              </w:rPr>
              <w:t>Redistribution compliance</w:t>
            </w:r>
            <w:r>
              <w:rPr>
                <w:sz w:val="18"/>
              </w:rPr>
              <w:t xml:space="preserve"> (Fanuc, OPC Foundation)</w:t>
            </w:r>
          </w:p>
        </w:tc>
        <w:tc>
          <w:tcPr>
            <w:tcW w:type="dxa" w:w="4320"/>
          </w:tcPr>
          <w:p>
            <w:r>
              <w:rPr>
                <w:sz w:val="18"/>
              </w:rPr>
            </w:r>
            <w:r>
              <w:rPr>
                <w:sz w:val="18"/>
              </w:rPr>
              <w:t xml:space="preserve">Exactly this plan. One cut per restricted dependency. §6.3 is already a live problem. </w:t>
            </w:r>
            <w:r>
              <w:rPr>
                <w:b/>
                <w:sz w:val="18"/>
              </w:rPr>
              <w:t>Strongest evidence-backed case.</w:t>
            </w:r>
          </w:p>
        </w:tc>
      </w:tr>
      <w:tr>
        <w:tc>
          <w:tcPr>
            <w:tcW w:type="dxa" w:w="4320"/>
          </w:tcPr>
          <w:p>
            <w:r>
              <w:rPr>
                <w:sz w:val="18"/>
              </w:rPr>
            </w:r>
            <w:r>
              <w:rPr>
                <w:b/>
                <w:sz w:val="18"/>
              </w:rPr>
              <w:t>IP protection</w:t>
            </w:r>
            <w:r>
              <w:rPr>
                <w:sz w:val="18"/>
              </w:rPr>
              <w:t xml:space="preserve"> (competitors can't decompile unbought adapters)</w:t>
            </w:r>
          </w:p>
        </w:tc>
        <w:tc>
          <w:tcPr>
            <w:tcW w:type="dxa" w:w="4320"/>
          </w:tcPr>
          <w:p>
            <w:r>
              <w:rPr>
                <w:sz w:val="18"/>
              </w:rPr>
            </w:r>
            <w:r>
              <w:rPr>
                <w:sz w:val="18"/>
              </w:rPr>
              <w:t xml:space="preserve">This plan, but the </w:t>
            </w:r>
            <w:r>
              <w:rPr>
                <w:rFonts w:ascii="Consolas" w:hAnsi="Consolas"/>
                <w:color w:val="A03030"/>
                <w:sz w:val="18"/>
              </w:rPr>
              <w:t>TrialPeriod</w:t>
            </w:r>
            <w:r>
              <w:rPr>
                <w:sz w:val="18"/>
              </w:rPr>
              <w:t xml:space="preserve"> variant undermines it (Q3) and .NET IL is decompilable anyway — obfuscation would be the real answer, not packaging.</w:t>
            </w:r>
          </w:p>
        </w:tc>
      </w:tr>
      <w:tr>
        <w:tc>
          <w:tcPr>
            <w:tcW w:type="dxa" w:w="4320"/>
          </w:tcPr>
          <w:p>
            <w:r>
              <w:rPr>
                <w:sz w:val="18"/>
              </w:rPr>
            </w:r>
            <w:r>
              <w:rPr>
                <w:b/>
                <w:sz w:val="18"/>
              </w:rPr>
              <w:t>Download size</w:t>
            </w:r>
          </w:p>
        </w:tc>
        <w:tc>
          <w:tcPr>
            <w:tcW w:type="dxa" w:w="4320"/>
          </w:tcPr>
          <w:p>
            <w:r>
              <w:rPr>
                <w:sz w:val="18"/>
              </w:rPr>
            </w:r>
            <w:r>
              <w:rPr>
                <w:b/>
                <w:sz w:val="18"/>
              </w:rPr>
              <w:t>Weak lever.</w:t>
            </w:r>
            <w:r>
              <w:rPr>
                <w:sz w:val="18"/>
              </w:rPr>
              <w:t xml:space="preserve"> ~18 % of raw payload, ~9 % of a single app dir; the .NET runtime and </w:t>
            </w:r>
            <w:r>
              <w:rPr>
                <w:rFonts w:ascii="Consolas" w:hAnsi="Consolas"/>
                <w:color w:val="A03030"/>
                <w:sz w:val="18"/>
              </w:rPr>
              <w:t>MudBlazor.dll</w:t>
            </w:r>
            <w:r>
              <w:rPr>
                <w:sz w:val="18"/>
              </w:rPr>
              <w:t xml:space="preserve"> dominate (§6.4). Not worth N.2+N.3.</w:t>
            </w:r>
          </w:p>
        </w:tc>
      </w:tr>
      <w:tr>
        <w:tc>
          <w:tcPr>
            <w:tcW w:type="dxa" w:w="4320"/>
          </w:tcPr>
          <w:p>
            <w:r>
              <w:rPr>
                <w:sz w:val="18"/>
              </w:rPr>
            </w:r>
            <w:r>
              <w:rPr>
                <w:b/>
                <w:sz w:val="18"/>
              </w:rPr>
              <w:t>Cleaner customer experience</w:t>
            </w:r>
          </w:p>
        </w:tc>
        <w:tc>
          <w:tcPr>
            <w:tcW w:type="dxa" w:w="4320"/>
          </w:tcPr>
          <w:p>
            <w:r>
              <w:rPr>
                <w:sz w:val="18"/>
              </w:rPr>
            </w:r>
            <w:r>
              <w:rPr>
                <w:b/>
                <w:sz w:val="18"/>
              </w:rPr>
              <w:t>Don't touch the installer.</w:t>
            </w:r>
            <w:r>
              <w:rPr>
                <w:sz w:val="18"/>
              </w:rPr>
              <w:t xml:space="preserve"> Invest in the post-install Activate flow on the Studio License page, which ADR-0036 already started. Much cheaper, much lower risk.</w:t>
            </w:r>
          </w:p>
        </w:tc>
      </w:tr>
    </w:tbl>
    <w:p/>
    <w:p>
      <w:r>
        <w:rPr>
          <w:b/>
        </w:rPr>
        <w:t>Q2 — Which edition list is authoritative?</w:t>
      </w:r>
      <w:r>
        <w:t xml:space="preserve"> Blueprint §7.1 (Starter / Professional / Enterprise / Custom, with </w:t>
      </w:r>
      <w:r>
        <w:rPr>
          <w:rFonts w:ascii="Consolas" w:hAnsi="Consolas"/>
          <w:color w:val="A03030"/>
          <w:sz w:val="18"/>
        </w:rPr>
        <w:t>MtLinki</w:t>
      </w:r>
      <w:r>
        <w:t xml:space="preserve"> which has no adapter project) or the code (</w:t>
      </w:r>
      <w:r>
        <w:rPr>
          <w:rFonts w:ascii="Consolas" w:hAnsi="Consolas"/>
          <w:color w:val="A03030"/>
          <w:sz w:val="18"/>
        </w:rPr>
        <w:t>Starter / Professional / Enterprise / CncPro / TrialPeriod</w:t>
      </w:r>
      <w:r>
        <w:t>)? I recommend the code, but this is a commercial decision, not an engineering one.</w:t>
      </w:r>
    </w:p>
    <w:p>
      <w:r>
        <w:rPr>
          <w:b/>
        </w:rPr>
        <w:t>Q3 — Does `TrialPeriod` get the full binary set?</w:t>
      </w:r>
      <w:r>
        <w:t xml:space="preserve"> </w:t>
      </w:r>
      <w:r>
        <w:rPr>
          <w:rFonts w:ascii="Consolas" w:hAnsi="Consolas"/>
          <w:color w:val="A03030"/>
          <w:sz w:val="18"/>
        </w:rPr>
        <w:t>LicenseEditionCatalog</w:t>
      </w:r>
      <w:r>
        <w:t xml:space="preserve"> offers it everything. If every evaluator receives the Full installer, then packaging provides no IP protection to anyone who trials first — only compliance value on paid installs. Is that acceptable, or should there be a restricted trial build?</w:t>
      </w:r>
    </w:p>
    <w:p>
      <w:r>
        <w:rPr>
          <w:b/>
        </w:rPr>
        <w:t>Q4 — Has OPC Foundation Corporate membership cleared?</w:t>
      </w:r>
      <w:r>
        <w:t xml:space="preserve"> </w:t>
      </w:r>
      <w:r>
        <w:rPr>
          <w:rFonts w:ascii="Consolas" w:hAnsi="Consolas"/>
          <w:color w:val="A03030"/>
          <w:sz w:val="18"/>
        </w:rPr>
        <w:t>module-catalog.md</w:t>
      </w:r>
      <w:r>
        <w:t xml:space="preserve"> records it as "procurement initiated Phase 4 week 1; tracking as a release blocker for Milestone L". If it has cleared, the single strongest driver for the Full/Standard split weakens considerably. I could not determine the current status from the repository.</w:t>
      </w:r>
    </w:p>
    <w:p>
      <w:r>
        <w:rPr>
          <w:b/>
        </w:rPr>
        <w:t>Q5 — Are we knowingly redistributing the Fanuc FOCAS2 DLLs?</w:t>
      </w:r>
      <w:r>
        <w:t xml:space="preserve"> §6.3 shows the installer does, and </w:t>
      </w:r>
      <w:r>
        <w:rPr>
          <w:rFonts w:ascii="Consolas" w:hAnsi="Consolas"/>
          <w:color w:val="A03030"/>
          <w:sz w:val="18"/>
        </w:rPr>
        <w:t>module-catalog.md</w:t>
      </w:r>
      <w:r>
        <w:t xml:space="preserve"> says we do not. One of the two is wrong. This needs an answer independently of whether this plan proceeds.</w:t>
      </w:r>
    </w:p>
    <w:p>
      <w:r>
        <w:rPr>
          <w:b/>
        </w:rPr>
        <w:t>Q6 — What does "installer application" mean literally?</w:t>
      </w:r>
      <w:r>
        <w:t xml:space="preserve"> A separate licensing-aware launcher EXE (rejected here for ADR-0036 reasons), or simply "edition-specific installers"? If the owner genuinely wants a launcher, the honest answer is that it can select an edition but cannot </w:t>
      </w:r>
      <w:r>
        <w:rPr>
          <w:i/>
        </w:rPr>
        <w:t>verify</w:t>
      </w:r>
      <w:r>
        <w:t xml:space="preserve"> entitlement on a fresh machine, and I would want that confirmed as understood before building one.</w:t>
      </w:r>
    </w:p>
    <w:p>
      <w:r>
        <w:rPr>
          <w:b/>
        </w:rPr>
        <w:t>Q7 — Sparkplug B.</w:t>
      </w:r>
      <w:r>
        <w:t xml:space="preserve"> Built (</w:t>
      </w:r>
      <w:r>
        <w:rPr>
          <w:rFonts w:ascii="Consolas" w:hAnsi="Consolas"/>
          <w:color w:val="A03030"/>
          <w:sz w:val="18"/>
        </w:rPr>
        <w:t>src/ElpisEdgeConnect.Sinks.SparkplugB/</w:t>
      </w:r>
      <w:r>
        <w:t>, ADR-0035/0036-sparkplug) but not referenced by the Host, not published, no module key, no picker tile. Does it get a module key and an edition placement before N.1, or is it explicitly deferred?</w:t>
      </w:r>
    </w:p>
    <w:p>
      <w:r>
        <w:rPr>
          <w:b/>
        </w:rPr>
        <w:t>Q8 — Where does `Starter` sit?</w:t>
      </w:r>
      <w:r>
        <w:t xml:space="preserve"> </w:t>
      </w:r>
      <w:r>
        <w:rPr>
          <w:rFonts w:ascii="Consolas" w:hAnsi="Consolas"/>
          <w:color w:val="A03030"/>
          <w:sz w:val="18"/>
        </w:rPr>
        <w:t>Starter</w:t>
      </w:r>
      <w:r>
        <w:t xml:space="preserve"> is Modbus-only, so the proposed </w:t>
      </w:r>
      <w:r>
        <w:rPr>
          <w:rFonts w:ascii="Consolas" w:hAnsi="Consolas"/>
          <w:color w:val="A03030"/>
          <w:sz w:val="18"/>
        </w:rPr>
        <w:t>Cnc</w:t>
      </w:r>
      <w:r>
        <w:t xml:space="preserve"> variant (FOCAS2 + Brother + MTConnect) does not serve it. Does </w:t>
      </w:r>
      <w:r>
        <w:rPr>
          <w:rFonts w:ascii="Consolas" w:hAnsi="Consolas"/>
          <w:color w:val="A03030"/>
          <w:sz w:val="18"/>
        </w:rPr>
        <w:t>Starter</w:t>
      </w:r>
      <w:r>
        <w:t xml:space="preserve"> justify a fourth build variant, or does it ship the </w:t>
      </w:r>
      <w:r>
        <w:rPr>
          <w:rFonts w:ascii="Consolas" w:hAnsi="Consolas"/>
          <w:color w:val="A03030"/>
          <w:sz w:val="18"/>
        </w:rPr>
        <w:t>Standard</w:t>
      </w:r>
      <w:r>
        <w:t xml:space="preserve"> binaries and rely on the runtime gate alone? The latter is cheaper and, given §7, loses nothing in enforcement terms.</w:t>
      </w:r>
    </w:p>
    <w:p/>
    <w:p>
      <w:pPr>
        <w:pStyle w:val="Heading2"/>
      </w:pPr>
      <w:r>
        <w:t>15. Things I could not determine from the repository</w:t>
      </w:r>
    </w:p>
    <w:p>
      <w:r>
        <w:t>Stated explicitly so nothing here is mistaken for a confirmed finding.</w:t>
      </w:r>
    </w:p>
    <w:p>
      <w:pPr>
        <w:pStyle w:val="ListNumber"/>
      </w:pPr>
      <w:r>
        <w:t xml:space="preserve">**Whether </w:t>
      </w:r>
      <w:r>
        <w:rPr>
          <w:rFonts w:ascii="Consolas" w:hAnsi="Consolas"/>
          <w:color w:val="A03030"/>
          <w:sz w:val="18"/>
        </w:rPr>
        <w:t>hostpolicy</w:t>
      </w:r>
      <w:r>
        <w:t xml:space="preserve"> hard-fails pre-</w:t>
      </w:r>
      <w:r>
        <w:rPr>
          <w:rFonts w:ascii="Consolas" w:hAnsi="Consolas"/>
          <w:color w:val="A03030"/>
          <w:sz w:val="18"/>
        </w:rPr>
        <w:t>Main</w:t>
      </w:r>
      <w:r>
        <w:t xml:space="preserve"> on a deps.json entry with no file, for this</w:t>
      </w:r>
    </w:p>
    <w:p>
      <w:r>
        <w:t>specific self-contained publish.** This is the central technical premise of §5.1. I was instructed not to build or run anything. Slice N.0 exists solely to settle it, and the plan explicitly pivots to Route R1 if the premise is wrong.</w:t>
      </w:r>
    </w:p>
    <w:p>
      <w:pPr>
        <w:pStyle w:val="ListNumber"/>
      </w:pPr>
      <w:r>
        <w:rPr>
          <w:b/>
        </w:rPr>
        <w:t>Whether the exclusion set can be computed cleanly</w:t>
      </w:r>
      <w:r>
        <w:t xml:space="preserve"> for a variant without two real</w:t>
      </w:r>
    </w:p>
    <w:p>
      <w:r>
        <w:t>builds to diff (§6.2). Asserted from the dependency graph, not measured.</w:t>
      </w:r>
    </w:p>
    <w:p>
      <w:pPr>
        <w:pStyle w:val="ListNumber"/>
      </w:pPr>
      <w:r>
        <w:rPr>
          <w:b/>
        </w:rPr>
        <w:t>The current OPC Foundation Corporate membership status</w:t>
      </w:r>
      <w:r>
        <w:t xml:space="preserve"> (Q4).</w:t>
      </w:r>
    </w:p>
    <w:p>
      <w:pPr>
        <w:pStyle w:val="ListNumber"/>
      </w:pPr>
      <w:r>
        <w:rPr>
          <w:b/>
        </w:rPr>
        <w:t>Whether any CI exists outside this repository.</w:t>
      </w:r>
      <w:r>
        <w:t xml:space="preserve"> No </w:t>
      </w:r>
      <w:r>
        <w:rPr>
          <w:rFonts w:ascii="Consolas" w:hAnsi="Consolas"/>
          <w:color w:val="A03030"/>
          <w:sz w:val="18"/>
        </w:rPr>
        <w:t>.github/</w:t>
      </w:r>
      <w:r>
        <w:t>, no build scripts at</w:t>
      </w:r>
    </w:p>
    <w:p>
      <w:r>
        <w:t xml:space="preserve">root — but that only proves it is not </w:t>
      </w:r>
      <w:r>
        <w:rPr>
          <w:i/>
        </w:rPr>
        <w:t>here</w:t>
      </w:r>
      <w:r>
        <w:t>.</w:t>
      </w:r>
    </w:p>
    <w:p>
      <w:pPr>
        <w:pStyle w:val="ListNumber"/>
      </w:pPr>
      <w:r>
        <w:t xml:space="preserve">**Whether </w:t>
      </w:r>
      <w:r>
        <w:rPr>
          <w:rFonts w:ascii="Consolas" w:hAnsi="Consolas"/>
          <w:color w:val="A03030"/>
          <w:sz w:val="18"/>
        </w:rPr>
        <w:t>AllowSameVersionUpgrades</w:t>
      </w:r>
      <w:r>
        <w:t xml:space="preserve"> interacts badly with the Burn bundle's separate</w:t>
      </w:r>
    </w:p>
    <w:p>
      <w:r>
        <w:rPr>
          <w:rFonts w:ascii="Consolas" w:hAnsi="Consolas"/>
          <w:color w:val="A03030"/>
          <w:sz w:val="18"/>
        </w:rPr>
        <w:t>UpgradeCode</w:t>
      </w:r>
      <w:r>
        <w:t>** (</w:t>
      </w:r>
      <w:r>
        <w:rPr>
          <w:rFonts w:ascii="Consolas" w:hAnsi="Consolas"/>
          <w:color w:val="A03030"/>
          <w:sz w:val="18"/>
        </w:rPr>
        <w:t>c8f3d2b5-a04e-4d19-9b32-6a7e8f9d0c12</w:t>
      </w:r>
      <w:r>
        <w:t>). Bundle-level upgrade semantics for edition changes were not investigated and must be covered in N.4's test matrix.</w:t>
      </w:r>
    </w:p>
    <w:p>
      <w:pPr>
        <w:pStyle w:val="ListNumber"/>
      </w:pPr>
      <w:r>
        <w:rPr>
          <w:b/>
        </w:rPr>
        <w:t>How `WixUI_FeatureTree` should present a per-edition MSI.</w:t>
      </w:r>
      <w:r>
        <w:t xml:space="preserve"> With one required feature</w:t>
      </w:r>
    </w:p>
    <w:p>
      <w:r>
        <w:t xml:space="preserve">and a desktop-shortcut toggle it is already thin; whether it should be replaced by </w:t>
      </w:r>
      <w:r>
        <w:rPr>
          <w:rFonts w:ascii="Consolas" w:hAnsi="Consolas"/>
          <w:color w:val="A03030"/>
          <w:sz w:val="18"/>
        </w:rPr>
        <w:t>WixUI_InstallDir</w:t>
      </w:r>
      <w:r>
        <w:t xml:space="preserve"> or </w:t>
      </w:r>
      <w:r>
        <w:rPr>
          <w:rFonts w:ascii="Consolas" w:hAnsi="Consolas"/>
          <w:color w:val="A03030"/>
          <w:sz w:val="18"/>
        </w:rPr>
        <w:t>WixUI_Minimal</w:t>
      </w:r>
      <w:r>
        <w:t xml:space="preserve"> for edition builds is a UX call not made here.</w:t>
      </w:r>
    </w:p>
    <w:p/>
    <w:p>
      <w:r>
        <w:rPr>
          <w:i/>
        </w:rPr>
        <w:t>This document is a proposal. No code, installer manifest, or configuration was changed in producing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