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rporate-card-usage-updated-2025"/>
    <w:p>
      <w:pPr>
        <w:pStyle w:val="Heading1"/>
      </w:pPr>
      <w:r>
        <w:t xml:space="preserve">Corporate Card Usage (Updated 2025)</w:t>
      </w:r>
    </w:p>
    <w:p>
      <w:pPr>
        <w:pStyle w:val="FirstParagraph"/>
      </w:pPr>
      <w:r>
        <w:rPr>
          <w:iCs/>
          <w:i/>
        </w:rPr>
        <w:t xml:space="preserve">Document ID: POL-FIN-002-v2</w:t>
      </w:r>
    </w:p>
    <w:p>
      <w:pPr>
        <w:pStyle w:val="BodyText"/>
      </w:pPr>
      <w:r>
        <w:rPr>
          <w:iCs/>
          <w:i/>
        </w:rPr>
        <w:t xml:space="preserve">This document supersedes POL-FIN-002 effective 1 March 2025.</w:t>
      </w:r>
    </w:p>
    <w:p>
      <w:pPr>
        <w:pStyle w:val="BodyText"/>
      </w:pPr>
      <w:r>
        <w:t xml:space="preserve">Meridian issues corporate credit cards to employees at</w:t>
      </w:r>
      <w:r>
        <w:t xml:space="preserve"> </w:t>
      </w:r>
      <w:r>
        <w:rPr>
          <w:bCs/>
          <w:b/>
        </w:rPr>
        <w:t xml:space="preserve">Senior Manager grade and above</w:t>
      </w:r>
      <w:r>
        <w:t xml:space="preserve"> </w:t>
      </w:r>
      <w:r>
        <w:t xml:space="preserve">(changed from Manager).</w:t>
      </w:r>
    </w:p>
    <w:bookmarkStart w:id="20" w:name="approved-uses"/>
    <w:p>
      <w:pPr>
        <w:pStyle w:val="Heading2"/>
      </w:pPr>
      <w:r>
        <w:t xml:space="preserve">Approved Uses</w:t>
      </w:r>
    </w:p>
    <w:p>
      <w:pPr>
        <w:numPr>
          <w:ilvl w:val="0"/>
          <w:numId w:val="1001"/>
        </w:numPr>
        <w:pStyle w:val="Compact"/>
      </w:pPr>
      <w:r>
        <w:t xml:space="preserve">Business travel expenses</w:t>
      </w:r>
    </w:p>
    <w:p>
      <w:pPr>
        <w:numPr>
          <w:ilvl w:val="0"/>
          <w:numId w:val="1001"/>
        </w:numPr>
        <w:pStyle w:val="Compact"/>
      </w:pPr>
      <w:r>
        <w:t xml:space="preserve">Client entertainment within authorized limits</w:t>
      </w:r>
    </w:p>
    <w:p>
      <w:pPr>
        <w:numPr>
          <w:ilvl w:val="0"/>
          <w:numId w:val="1001"/>
        </w:numPr>
        <w:pStyle w:val="Compact"/>
      </w:pPr>
      <w:r>
        <w:t xml:space="preserve">Emergency business supplies up to AED 5,000 (new cap)</w:t>
      </w:r>
    </w:p>
    <w:bookmarkEnd w:id="20"/>
    <w:bookmarkStart w:id="21" w:name="prohibited-uses"/>
    <w:p>
      <w:pPr>
        <w:pStyle w:val="Heading2"/>
      </w:pPr>
      <w:r>
        <w:t xml:space="preserve">Prohibited Uses</w:t>
      </w:r>
    </w:p>
    <w:p>
      <w:pPr>
        <w:numPr>
          <w:ilvl w:val="0"/>
          <w:numId w:val="1002"/>
        </w:numPr>
        <w:pStyle w:val="Compact"/>
      </w:pPr>
      <w:r>
        <w:t xml:space="preserve">Personal expenses of any kind</w:t>
      </w:r>
    </w:p>
    <w:p>
      <w:pPr>
        <w:numPr>
          <w:ilvl w:val="0"/>
          <w:numId w:val="1002"/>
        </w:numPr>
        <w:pStyle w:val="Compact"/>
      </w:pPr>
      <w:r>
        <w:t xml:space="preserve">Cash advances</w:t>
      </w:r>
    </w:p>
    <w:p>
      <w:pPr>
        <w:numPr>
          <w:ilvl w:val="0"/>
          <w:numId w:val="1002"/>
        </w:numPr>
        <w:pStyle w:val="Compact"/>
      </w:pPr>
      <w:r>
        <w:t xml:space="preserve">Unapproved vendor payments</w:t>
      </w:r>
    </w:p>
    <w:p>
      <w:pPr>
        <w:numPr>
          <w:ilvl w:val="0"/>
          <w:numId w:val="1002"/>
        </w:numPr>
        <w:pStyle w:val="Compact"/>
      </w:pPr>
      <w:r>
        <w:t xml:space="preserve">Subscription services without prior Finance approval (new)</w:t>
      </w:r>
    </w:p>
    <w:bookmarkEnd w:id="21"/>
    <w:bookmarkStart w:id="22" w:name="reconciliation"/>
    <w:p>
      <w:pPr>
        <w:pStyle w:val="Heading2"/>
      </w:pPr>
      <w:r>
        <w:t xml:space="preserve">Reconciliation</w:t>
      </w:r>
    </w:p>
    <w:p>
      <w:pPr>
        <w:pStyle w:val="FirstParagraph"/>
      </w:pPr>
      <w:r>
        <w:t xml:space="preserve">Monthly corporate card statements must be reconciled and submitted with receipts by the 10th of the following month.</w:t>
      </w:r>
    </w:p>
    <w:bookmarkEnd w:id="22"/>
    <w:bookmarkStart w:id="23" w:name="lost-cards"/>
    <w:p>
      <w:pPr>
        <w:pStyle w:val="Heading2"/>
      </w:pPr>
      <w:r>
        <w:t xml:space="preserve">Lost Cards</w:t>
      </w:r>
    </w:p>
    <w:p>
      <w:pPr>
        <w:pStyle w:val="FirstParagraph"/>
      </w:pPr>
      <w:r>
        <w:t xml:space="preserve">Report lost or stolen cards to Finance and the card issuer immediately. The digital card lock feature should be used for temporary loss.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2026-04-18T10:46:02Z</dcterms:created>
  <dcterms:modified xsi:type="dcterms:W3CDTF">2026-04-18T10:46:02Z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