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cceptable-ai-use-policy-updated-2025"/>
    <w:p>
      <w:pPr>
        <w:pStyle w:val="Heading1"/>
      </w:pPr>
      <w:r>
        <w:t xml:space="preserve">Acceptable AI Use Policy (Updated 2025)</w:t>
      </w:r>
    </w:p>
    <w:p>
      <w:pPr>
        <w:pStyle w:val="FirstParagraph"/>
      </w:pPr>
      <w:r>
        <w:rPr>
          <w:iCs/>
          <w:i/>
        </w:rPr>
        <w:t xml:space="preserve">Document ID: POL-IT-005-v2</w:t>
      </w:r>
    </w:p>
    <w:p>
      <w:pPr>
        <w:pStyle w:val="BodyText"/>
      </w:pPr>
      <w:r>
        <w:rPr>
          <w:iCs/>
          <w:i/>
        </w:rPr>
        <w:t xml:space="preserve">This document supersedes POL-IT-005 effective 1 October 2025.</w:t>
      </w:r>
    </w:p>
    <w:bookmarkStart w:id="20" w:name="approved-ai-tools"/>
    <w:p>
      <w:pPr>
        <w:pStyle w:val="Heading2"/>
      </w:pPr>
      <w:r>
        <w:t xml:space="preserve">Approved AI Tools</w:t>
      </w:r>
    </w:p>
    <w:p>
      <w:pPr>
        <w:pStyle w:val="FirstParagraph"/>
      </w:pPr>
      <w:r>
        <w:t xml:space="preserve">Employees may use the following AI tools for work purposes: Microsoft Copilot, ChatGPT Enterprise, Claude for Business, Gemini for Workspace, and</w:t>
      </w:r>
      <w:r>
        <w:t xml:space="preserve"> </w:t>
      </w:r>
      <w:r>
        <w:rPr>
          <w:bCs/>
          <w:b/>
        </w:rPr>
        <w:t xml:space="preserve">AWS Bedrock-hosted models</w:t>
      </w:r>
      <w:r>
        <w:t xml:space="preserve"> </w:t>
      </w:r>
      <w:r>
        <w:t xml:space="preserve">(new).</w:t>
      </w:r>
    </w:p>
    <w:bookmarkEnd w:id="20"/>
    <w:bookmarkStart w:id="21" w:name="prohibited-uses"/>
    <w:p>
      <w:pPr>
        <w:pStyle w:val="Heading2"/>
      </w:pPr>
      <w:r>
        <w:t xml:space="preserve">Prohibited Uses</w:t>
      </w:r>
    </w:p>
    <w:p>
      <w:pPr>
        <w:numPr>
          <w:ilvl w:val="0"/>
          <w:numId w:val="1001"/>
        </w:numPr>
        <w:pStyle w:val="Compact"/>
      </w:pPr>
      <w:r>
        <w:t xml:space="preserve">Uploading client data to public or free-tier AI tools</w:t>
      </w:r>
    </w:p>
    <w:p>
      <w:pPr>
        <w:numPr>
          <w:ilvl w:val="0"/>
          <w:numId w:val="1001"/>
        </w:numPr>
        <w:pStyle w:val="Compact"/>
      </w:pPr>
      <w:r>
        <w:t xml:space="preserve">Using AI-generated content in client deliverables without review and disclosure</w:t>
      </w:r>
    </w:p>
    <w:p>
      <w:pPr>
        <w:numPr>
          <w:ilvl w:val="0"/>
          <w:numId w:val="1001"/>
        </w:numPr>
        <w:pStyle w:val="Compact"/>
      </w:pPr>
      <w:r>
        <w:t xml:space="preserve">Using AI to impersonate another person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Using AI agents with autonomous system access without Security review</w:t>
      </w:r>
      <w:r>
        <w:t xml:space="preserve"> </w:t>
      </w:r>
      <w:r>
        <w:t xml:space="preserve">(new)</w:t>
      </w:r>
    </w:p>
    <w:bookmarkEnd w:id="21"/>
    <w:bookmarkStart w:id="22" w:name="disclosure"/>
    <w:p>
      <w:pPr>
        <w:pStyle w:val="Heading2"/>
      </w:pPr>
      <w:r>
        <w:t xml:space="preserve">Disclosure</w:t>
      </w:r>
    </w:p>
    <w:p>
      <w:pPr>
        <w:pStyle w:val="FirstParagraph"/>
      </w:pPr>
      <w:r>
        <w:t xml:space="preserve">Client-facing AI-assisted work must be disclosed to the client. Internal use for drafting, summarization, and analysis does not require disclosure.</w:t>
      </w:r>
    </w:p>
    <w:bookmarkEnd w:id="22"/>
    <w:bookmarkStart w:id="23" w:name="data-handling"/>
    <w:p>
      <w:pPr>
        <w:pStyle w:val="Heading2"/>
      </w:pPr>
      <w:r>
        <w:t xml:space="preserve">Data Handling</w:t>
      </w:r>
    </w:p>
    <w:p>
      <w:pPr>
        <w:pStyle w:val="FirstParagraph"/>
      </w:pPr>
      <w:r>
        <w:t xml:space="preserve">Do not paste confidential or restricted data into AI tools outside the approved enterprise channels.</w:t>
      </w:r>
    </w:p>
    <w:bookmarkEnd w:id="23"/>
    <w:bookmarkStart w:id="24" w:name="ai-agent-policy"/>
    <w:p>
      <w:pPr>
        <w:pStyle w:val="Heading2"/>
      </w:pPr>
      <w:r>
        <w:t xml:space="preserve">AI Agent Policy</w:t>
      </w:r>
    </w:p>
    <w:p>
      <w:pPr>
        <w:pStyle w:val="FirstParagraph"/>
      </w:pPr>
      <w:r>
        <w:rPr>
          <w:bCs/>
          <w:b/>
        </w:rPr>
        <w:t xml:space="preserve">New in this version</w:t>
      </w:r>
      <w:r>
        <w:t xml:space="preserve">: autonomous AI agents that act on systems (create tickets, send emails, execute transactions) require Security and Legal review before deployment. Agents must have appropriate logging and kill-switch capabilities.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2026-04-18T10:46:02Z</dcterms:created>
  <dcterms:modified xsi:type="dcterms:W3CDTF">2026-04-18T10:46:02Z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