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usiness-travel-policy-updated-2025"/>
    <w:p>
      <w:pPr>
        <w:pStyle w:val="Heading1"/>
      </w:pPr>
      <w:r>
        <w:t xml:space="preserve">Business Travel Policy (Updated 2025)</w:t>
      </w:r>
    </w:p>
    <w:p>
      <w:pPr>
        <w:pStyle w:val="FirstParagraph"/>
      </w:pPr>
      <w:r>
        <w:rPr>
          <w:iCs/>
          <w:i/>
        </w:rPr>
        <w:t xml:space="preserve">Document ID: POL-TRAVEL-001-v2</w:t>
      </w:r>
    </w:p>
    <w:p>
      <w:pPr>
        <w:pStyle w:val="BodyText"/>
      </w:pPr>
      <w:r>
        <w:rPr>
          <w:iCs/>
          <w:i/>
        </w:rPr>
        <w:t xml:space="preserve">This document supersedes POL-TRAVEL-001 effective 1 September 2025.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policy applies to all business travel undertaken on behalf of Meridian Consulting, both domestic within UAE and international.</w:t>
      </w:r>
    </w:p>
    <w:bookmarkEnd w:id="20"/>
    <w:bookmarkStart w:id="21" w:name="pre-approval"/>
    <w:p>
      <w:pPr>
        <w:pStyle w:val="Heading2"/>
      </w:pPr>
      <w:r>
        <w:t xml:space="preserve">Pre-Approval</w:t>
      </w:r>
    </w:p>
    <w:p>
      <w:pPr>
        <w:pStyle w:val="FirstParagraph"/>
      </w:pPr>
      <w:r>
        <w:t xml:space="preserve">All business travel must be pre-approved via the Travel Request Form, submitted to the line manager</w:t>
      </w:r>
      <w:r>
        <w:t xml:space="preserve"> </w:t>
      </w:r>
      <w:r>
        <w:rPr>
          <w:bCs/>
          <w:b/>
        </w:rPr>
        <w:t xml:space="preserve">at least 10 working days</w:t>
      </w:r>
      <w:r>
        <w:t xml:space="preserve"> </w:t>
      </w:r>
      <w:r>
        <w:t xml:space="preserve">before travel (changed from 7 working days).</w:t>
      </w:r>
    </w:p>
    <w:bookmarkEnd w:id="21"/>
    <w:bookmarkStart w:id="22" w:name="class-of-travel"/>
    <w:p>
      <w:pPr>
        <w:pStyle w:val="Heading2"/>
      </w:pPr>
      <w:r>
        <w:t xml:space="preserve">Class of Travel</w:t>
      </w:r>
    </w:p>
    <w:p>
      <w:pPr>
        <w:numPr>
          <w:ilvl w:val="0"/>
          <w:numId w:val="1001"/>
        </w:numPr>
        <w:pStyle w:val="Compact"/>
      </w:pPr>
      <w:r>
        <w:t xml:space="preserve">Economy class for flights under 8 hours (changed from 6 hours)</w:t>
      </w:r>
    </w:p>
    <w:p>
      <w:pPr>
        <w:numPr>
          <w:ilvl w:val="0"/>
          <w:numId w:val="1001"/>
        </w:numPr>
        <w:pStyle w:val="Compact"/>
      </w:pPr>
      <w:r>
        <w:t xml:space="preserve">Business class for flights over 8 hours AND for all travel by Directors and above</w:t>
      </w:r>
    </w:p>
    <w:bookmarkEnd w:id="22"/>
    <w:bookmarkStart w:id="23" w:name="per-diem-rates"/>
    <w:p>
      <w:pPr>
        <w:pStyle w:val="Heading2"/>
      </w:pPr>
      <w:r>
        <w:t xml:space="preserve">Per Diem Rates</w:t>
      </w:r>
    </w:p>
    <w:p>
      <w:pPr>
        <w:pStyle w:val="FirstParagraph"/>
      </w:pPr>
      <w:r>
        <w:t xml:space="preserve">See POL-TRAVEL-002 (Per Diem Schedule) — rates unchanged.</w:t>
      </w:r>
    </w:p>
    <w:bookmarkEnd w:id="23"/>
    <w:bookmarkStart w:id="24" w:name="expense-reporting"/>
    <w:p>
      <w:pPr>
        <w:pStyle w:val="Heading2"/>
      </w:pPr>
      <w:r>
        <w:t xml:space="preserve">Expense Reporting</w:t>
      </w:r>
    </w:p>
    <w:p>
      <w:pPr>
        <w:pStyle w:val="FirstParagraph"/>
      </w:pPr>
      <w:r>
        <w:t xml:space="preserve">Business travel expenses must be reported within 10 working days of return. See POL-FIN-003.</w:t>
      </w:r>
    </w:p>
    <w:bookmarkEnd w:id="24"/>
    <w:bookmarkStart w:id="25" w:name="safety"/>
    <w:p>
      <w:pPr>
        <w:pStyle w:val="Heading2"/>
      </w:pPr>
      <w:r>
        <w:t xml:space="preserve">Safety</w:t>
      </w:r>
    </w:p>
    <w:p>
      <w:pPr>
        <w:pStyle w:val="FirstParagraph"/>
      </w:pPr>
      <w:r>
        <w:t xml:space="preserve">Travelers must register with the Travel Safety Platform before departure. For high-risk destinations, additional security briefing is required. Enhanced country-risk review added in this version.</w:t>
      </w:r>
    </w:p>
    <w:bookmarkEnd w:id="25"/>
    <w:bookmarkStart w:id="26" w:name="carbon-reporting"/>
    <w:p>
      <w:pPr>
        <w:pStyle w:val="Heading2"/>
      </w:pPr>
      <w:r>
        <w:t xml:space="preserve">Carbon Reporting</w:t>
      </w:r>
    </w:p>
    <w:p>
      <w:pPr>
        <w:pStyle w:val="FirstParagraph"/>
      </w:pPr>
      <w:r>
        <w:rPr>
          <w:bCs/>
          <w:b/>
        </w:rPr>
        <w:t xml:space="preserve">New in this version</w:t>
      </w:r>
      <w:r>
        <w:t xml:space="preserve">: employees should select the lowest-emission viable travel option. A carbon report is generated annually per department.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2026-04-18T10:46:02Z</dcterms:created>
  <dcterms:modified xsi:type="dcterms:W3CDTF">2026-04-18T10:46:02Z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