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ACF3D" w14:textId="77777777" w:rsidR="00452948" w:rsidRDefault="00452948" w:rsidP="00452948">
      <w:pPr>
        <w:pStyle w:val="NormalWeb"/>
        <w:shd w:val="clear" w:color="auto" w:fill="FFFFFF"/>
        <w:spacing w:before="0" w:beforeAutospacing="0"/>
        <w:rPr>
          <w:rFonts w:ascii="Roboto" w:hAnsi="Roboto"/>
          <w:color w:val="212529"/>
          <w:sz w:val="30"/>
          <w:szCs w:val="30"/>
        </w:rPr>
      </w:pPr>
      <w:r>
        <w:rPr>
          <w:rFonts w:ascii="Roboto" w:hAnsi="Roboto"/>
          <w:color w:val="212529"/>
          <w:sz w:val="30"/>
          <w:szCs w:val="30"/>
        </w:rPr>
        <w:t>In 2019, Spotify gained notice with its Spotify Everywhere meme-themed campaign. For example, on one billboard, the left side read: “Me: It’s Okay; the breakup was mutual.” On the right side, it read: “Also Me: Sad Indie” (complete with the app’s music search imagery). The simple, creatively delivered message went deep into a full range of emotions familiar to countless people.</w:t>
      </w:r>
    </w:p>
    <w:p w14:paraId="0EED5DF6" w14:textId="77777777" w:rsidR="00452948" w:rsidRDefault="00452948" w:rsidP="00452948">
      <w:pPr>
        <w:pStyle w:val="NormalWeb"/>
        <w:shd w:val="clear" w:color="auto" w:fill="FFFFFF"/>
        <w:spacing w:before="0" w:beforeAutospacing="0"/>
        <w:rPr>
          <w:rFonts w:ascii="Roboto" w:hAnsi="Roboto"/>
          <w:color w:val="212529"/>
          <w:sz w:val="30"/>
          <w:szCs w:val="30"/>
        </w:rPr>
      </w:pPr>
      <w:r>
        <w:rPr>
          <w:rFonts w:ascii="Roboto" w:hAnsi="Roboto"/>
          <w:color w:val="212529"/>
          <w:sz w:val="30"/>
          <w:szCs w:val="30"/>
        </w:rPr>
        <w:t>The COVID-19 pandemic led to numerous ad campaigns that underscore the value of brevity. Nike handled it this way: “If you ever dreamed of playing for millions around the world, now is your chance. Play inside, play for the world.”</w:t>
      </w:r>
    </w:p>
    <w:p w14:paraId="433A5127" w14:textId="77777777" w:rsidR="00452948" w:rsidRDefault="00452948" w:rsidP="00452948">
      <w:pPr>
        <w:pStyle w:val="NormalWeb"/>
        <w:shd w:val="clear" w:color="auto" w:fill="FFFFFF"/>
        <w:spacing w:before="0" w:beforeAutospacing="0"/>
        <w:rPr>
          <w:rFonts w:ascii="Roboto" w:hAnsi="Roboto"/>
          <w:color w:val="212529"/>
          <w:sz w:val="30"/>
          <w:szCs w:val="30"/>
        </w:rPr>
      </w:pPr>
      <w:r>
        <w:rPr>
          <w:rFonts w:ascii="Roboto" w:hAnsi="Roboto"/>
          <w:color w:val="212529"/>
          <w:sz w:val="30"/>
          <w:szCs w:val="30"/>
        </w:rPr>
        <w:t>CARA Welfare Philippines (Compassion and Responsibility for Animals) chose contrasting images – neglect and recovery – and four words to reinforce the message of caring: “Same dog, different owner.”</w:t>
      </w:r>
    </w:p>
    <w:p w14:paraId="153813E2" w14:textId="77777777" w:rsidR="004F36BE" w:rsidRDefault="004F36BE"/>
    <w:sectPr w:rsidR="004F3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48"/>
    <w:rsid w:val="00452948"/>
    <w:rsid w:val="004F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9501BB"/>
  <w15:chartTrackingRefBased/>
  <w15:docId w15:val="{79689085-8C40-49A1-913A-0E84DE52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682</Characters>
  <Application>Microsoft Office Word</Application>
  <DocSecurity>0</DocSecurity>
  <Lines>14</Lines>
  <Paragraphs>3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Chowdary</dc:creator>
  <cp:keywords/>
  <dc:description/>
  <cp:lastModifiedBy>Rajesh Chowdary</cp:lastModifiedBy>
  <cp:revision>1</cp:revision>
  <dcterms:created xsi:type="dcterms:W3CDTF">2024-03-16T23:34:00Z</dcterms:created>
  <dcterms:modified xsi:type="dcterms:W3CDTF">2024-03-16T23:35:00Z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d27b68b5-5a73-4306-8dcc-0bc43e089520</vt:lpwstr>
  </property>
</Properties>
</file>