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on 1 August 2026 between Northwind Analytics Pvt Ltd ("Provider"), Hyderabad, India, and Contoso Retail LLC ("Client"), Dubai, United Arab Emirates.</w:t>
      </w:r>
    </w:p>
    <w:p>
      <w:pPr>
        <w:pStyle w:val="Heading1"/>
      </w:pPr>
      <w:r>
        <w:t>1. Scope of Services</w:t>
      </w:r>
    </w:p>
    <w:p>
      <w:r>
        <w:t>The Provider will design, build and operate an AI-based document processing platform for the Client, including document ingestion, text extraction, classification, summarization and a reporting dashboard.</w:t>
      </w:r>
    </w:p>
    <w:p>
      <w:pPr>
        <w:pStyle w:val="Heading1"/>
      </w:pPr>
      <w:r>
        <w:t>2. Term</w:t>
      </w:r>
    </w:p>
    <w:p>
      <w:r>
        <w:t>The agreement starts on 1 August 2026 and continues for 12 months, ending on 31 July 2027, unless terminated earlier under Section 6.</w:t>
      </w:r>
    </w:p>
    <w:p>
      <w:pPr>
        <w:pStyle w:val="Heading1"/>
      </w:pPr>
      <w:r>
        <w:t>3. Fees and Payment</w:t>
      </w:r>
    </w:p>
    <w:p>
      <w:r>
        <w:t>The total contract value is USD 180,000, payable in the milestones below. Invoices are payable within 30 days of receipt.</w:t>
      </w:r>
    </w:p>
    <w:tbl>
      <w:tblPr>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Due date</w:t>
            </w:r>
          </w:p>
        </w:tc>
        <w:tc>
          <w:tcPr>
            <w:tcW w:type="dxa" w:w="2880"/>
          </w:tcPr>
          <w:p>
            <w:r>
              <w:t>Amount</w:t>
            </w:r>
          </w:p>
        </w:tc>
      </w:tr>
      <w:tr>
        <w:tc>
          <w:tcPr>
            <w:tcW w:type="dxa" w:w="2880"/>
          </w:tcPr>
          <w:p>
            <w:r>
              <w:t>Platform design sign-off</w:t>
            </w:r>
          </w:p>
        </w:tc>
        <w:tc>
          <w:tcPr>
            <w:tcW w:type="dxa" w:w="2880"/>
          </w:tcPr>
          <w:p>
            <w:r>
              <w:t>15 September 2026</w:t>
            </w:r>
          </w:p>
        </w:tc>
        <w:tc>
          <w:tcPr>
            <w:tcW w:type="dxa" w:w="2880"/>
          </w:tcPr>
          <w:p>
            <w:r>
              <w:t>USD 40,000</w:t>
            </w:r>
          </w:p>
        </w:tc>
      </w:tr>
      <w:tr>
        <w:tc>
          <w:tcPr>
            <w:tcW w:type="dxa" w:w="2880"/>
          </w:tcPr>
          <w:p>
            <w:r>
              <w:t>Pilot go-live</w:t>
            </w:r>
          </w:p>
        </w:tc>
        <w:tc>
          <w:tcPr>
            <w:tcW w:type="dxa" w:w="2880"/>
          </w:tcPr>
          <w:p>
            <w:r>
              <w:t>30 November 2026</w:t>
            </w:r>
          </w:p>
        </w:tc>
        <w:tc>
          <w:tcPr>
            <w:tcW w:type="dxa" w:w="2880"/>
          </w:tcPr>
          <w:p>
            <w:r>
              <w:t>USD 70,000</w:t>
            </w:r>
          </w:p>
        </w:tc>
      </w:tr>
      <w:tr>
        <w:tc>
          <w:tcPr>
            <w:tcW w:type="dxa" w:w="2880"/>
          </w:tcPr>
          <w:p>
            <w:r>
              <w:t>Full production rollout</w:t>
            </w:r>
          </w:p>
        </w:tc>
        <w:tc>
          <w:tcPr>
            <w:tcW w:type="dxa" w:w="2880"/>
          </w:tcPr>
          <w:p>
            <w:r>
              <w:t>28 February 2027</w:t>
            </w:r>
          </w:p>
        </w:tc>
        <w:tc>
          <w:tcPr>
            <w:tcW w:type="dxa" w:w="2880"/>
          </w:tcPr>
          <w:p>
            <w:r>
              <w:t>USD 70,000</w:t>
            </w:r>
          </w:p>
        </w:tc>
      </w:tr>
    </w:tbl>
    <w:p>
      <w:pPr>
        <w:pStyle w:val="Heading1"/>
      </w:pPr>
      <w:r>
        <w:t>4. Service Levels</w:t>
      </w:r>
    </w:p>
    <w:p>
      <w:r>
        <w:t>The Provider guarantees 99.5% monthly platform availability. For each full percentage point below this target, the Client receives a service credit of 5% of that month's fees, capped at 20%.</w:t>
      </w:r>
    </w:p>
    <w:p>
      <w:pPr>
        <w:pStyle w:val="Heading1"/>
      </w:pPr>
      <w:r>
        <w:t>5. Data Protection</w:t>
      </w:r>
    </w:p>
    <w:p>
      <w:r>
        <w:t>All Client data will be processed in line with the UAE Personal Data Protection Law. Personal data will be masked before being sent to any AI model, and no Client data will be used to train models.</w:t>
      </w:r>
    </w:p>
    <w:p>
      <w:pPr>
        <w:pStyle w:val="Heading1"/>
      </w:pPr>
      <w:r>
        <w:t>6. Termination</w:t>
      </w:r>
    </w:p>
    <w:p>
      <w:r>
        <w:t>Either party may terminate with 60 days' written notice. The Client pays for all services delivered up to the termination date.</w:t>
      </w:r>
    </w:p>
    <w:p>
      <w:pPr>
        <w:pStyle w:val="Heading1"/>
      </w:pPr>
      <w:r>
        <w:t>7. Contacts</w:t>
      </w:r>
    </w:p>
    <w:p>
      <w:r>
        <w:t>Provider contact: Arjun Mehta, Delivery Director. Client contact: Sara Al Mansoori, Head of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