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329" w:rsidRDefault="00D65118" w:rsidP="00D65118">
      <w:pPr>
        <w:jc w:val="center"/>
        <w:rPr>
          <w:rFonts w:ascii="Arial" w:hAnsi="Arial" w:cs="Arial"/>
          <w:b/>
          <w:sz w:val="24"/>
          <w:u w:val="single"/>
        </w:rPr>
      </w:pPr>
      <w:r>
        <w:rPr>
          <w:rFonts w:ascii="Arial" w:hAnsi="Arial" w:cs="Arial"/>
          <w:b/>
          <w:sz w:val="24"/>
          <w:u w:val="single"/>
        </w:rPr>
        <w:t>BUDGET</w:t>
      </w:r>
    </w:p>
    <w:p w:rsidR="00D65118" w:rsidRPr="00D65118" w:rsidRDefault="00D65118" w:rsidP="00D65118">
      <w:pPr>
        <w:spacing w:line="360" w:lineRule="auto"/>
        <w:jc w:val="center"/>
        <w:rPr>
          <w:rFonts w:ascii="Arial" w:hAnsi="Arial" w:cs="Arial"/>
          <w:b/>
          <w:sz w:val="24"/>
          <w:u w:val="single"/>
        </w:rPr>
      </w:pPr>
    </w:p>
    <w:p w:rsidR="00B25329" w:rsidRPr="00D55C22" w:rsidRDefault="00D65118" w:rsidP="00D65118">
      <w:pPr>
        <w:spacing w:line="360" w:lineRule="auto"/>
        <w:jc w:val="both"/>
        <w:rPr>
          <w:rFonts w:ascii="Arial" w:hAnsi="Arial" w:cs="Arial"/>
          <w:sz w:val="24"/>
        </w:rPr>
      </w:pPr>
      <w:r>
        <w:rPr>
          <w:rFonts w:ascii="Arial" w:hAnsi="Arial" w:cs="Arial"/>
          <w:bCs/>
          <w:sz w:val="24"/>
        </w:rPr>
        <w:t>1</w:t>
      </w:r>
      <w:r w:rsidR="00B25329" w:rsidRPr="00D55C22">
        <w:rPr>
          <w:rFonts w:ascii="Arial" w:hAnsi="Arial" w:cs="Arial"/>
          <w:bCs/>
          <w:sz w:val="24"/>
        </w:rPr>
        <w:t>.</w:t>
      </w:r>
      <w:r>
        <w:rPr>
          <w:rFonts w:ascii="Arial" w:hAnsi="Arial" w:cs="Arial"/>
          <w:bCs/>
          <w:sz w:val="24"/>
        </w:rPr>
        <w:tab/>
      </w:r>
      <w:r>
        <w:rPr>
          <w:rFonts w:ascii="Arial" w:hAnsi="Arial" w:cs="Arial"/>
          <w:sz w:val="24"/>
        </w:rPr>
        <w:t>HQ IDS</w:t>
      </w:r>
      <w:r w:rsidR="00B25329" w:rsidRPr="00D55C22">
        <w:rPr>
          <w:rFonts w:ascii="Arial" w:hAnsi="Arial" w:cs="Arial"/>
          <w:sz w:val="24"/>
        </w:rPr>
        <w:t xml:space="preserve"> is tasked to deal with various financial planning issues of Defence Services and also caters for the budget</w:t>
      </w:r>
      <w:r w:rsidR="000617C8">
        <w:rPr>
          <w:rFonts w:ascii="Arial" w:hAnsi="Arial" w:cs="Arial"/>
          <w:sz w:val="24"/>
        </w:rPr>
        <w:t>ary</w:t>
      </w:r>
      <w:r w:rsidR="00B25329" w:rsidRPr="00D55C22">
        <w:rPr>
          <w:rFonts w:ascii="Arial" w:hAnsi="Arial" w:cs="Arial"/>
          <w:sz w:val="24"/>
        </w:rPr>
        <w:t xml:space="preserve"> support requirements of various Joint Staff Organisations (JSO’s) under </w:t>
      </w:r>
      <w:r>
        <w:rPr>
          <w:rFonts w:ascii="Arial" w:hAnsi="Arial" w:cs="Arial"/>
          <w:sz w:val="24"/>
        </w:rPr>
        <w:t xml:space="preserve">it </w:t>
      </w:r>
      <w:r w:rsidR="00B25329" w:rsidRPr="00D55C22">
        <w:rPr>
          <w:rFonts w:ascii="Arial" w:hAnsi="Arial" w:cs="Arial"/>
          <w:sz w:val="24"/>
        </w:rPr>
        <w:t xml:space="preserve">ie ANC, SFC, DIPAC, ADGSI (including SI Dte), DSSC, NDA, CDM and DSCC. </w:t>
      </w:r>
      <w:r>
        <w:rPr>
          <w:rFonts w:ascii="Arial" w:hAnsi="Arial" w:cs="Arial"/>
          <w:sz w:val="24"/>
        </w:rPr>
        <w:t>It</w:t>
      </w:r>
      <w:r w:rsidR="00B25329" w:rsidRPr="00D55C22">
        <w:rPr>
          <w:rFonts w:ascii="Arial" w:hAnsi="Arial" w:cs="Arial"/>
          <w:sz w:val="24"/>
        </w:rPr>
        <w:t xml:space="preserve"> is responsible for forecasting, projecting, allocating, inspecting and monitoring expenditure of both Revenue and Capital in respect of </w:t>
      </w:r>
      <w:r>
        <w:rPr>
          <w:rFonts w:ascii="Arial" w:hAnsi="Arial" w:cs="Arial"/>
          <w:sz w:val="24"/>
        </w:rPr>
        <w:t xml:space="preserve">the various </w:t>
      </w:r>
      <w:r w:rsidR="00B25329" w:rsidRPr="00D55C22">
        <w:rPr>
          <w:rFonts w:ascii="Arial" w:hAnsi="Arial" w:cs="Arial"/>
          <w:sz w:val="24"/>
        </w:rPr>
        <w:t xml:space="preserve">JSO’s. </w:t>
      </w:r>
      <w:r>
        <w:rPr>
          <w:rFonts w:ascii="Arial" w:hAnsi="Arial" w:cs="Arial"/>
          <w:sz w:val="24"/>
        </w:rPr>
        <w:t>V</w:t>
      </w:r>
      <w:r w:rsidR="00B25329" w:rsidRPr="00D55C22">
        <w:rPr>
          <w:rFonts w:ascii="Arial" w:hAnsi="Arial" w:cs="Arial"/>
          <w:sz w:val="24"/>
        </w:rPr>
        <w:t xml:space="preserve">arious policy issues </w:t>
      </w:r>
      <w:r>
        <w:rPr>
          <w:rFonts w:ascii="Arial" w:hAnsi="Arial" w:cs="Arial"/>
          <w:sz w:val="24"/>
        </w:rPr>
        <w:t xml:space="preserve">including </w:t>
      </w:r>
      <w:r w:rsidR="00B25329" w:rsidRPr="00D55C22">
        <w:rPr>
          <w:rFonts w:ascii="Arial" w:hAnsi="Arial" w:cs="Arial"/>
          <w:sz w:val="24"/>
        </w:rPr>
        <w:t>monitoring</w:t>
      </w:r>
      <w:r>
        <w:rPr>
          <w:rFonts w:ascii="Arial" w:hAnsi="Arial" w:cs="Arial"/>
          <w:sz w:val="24"/>
        </w:rPr>
        <w:t xml:space="preserve"> of </w:t>
      </w:r>
      <w:r w:rsidR="00D55C22" w:rsidRPr="00D55C22">
        <w:rPr>
          <w:rFonts w:ascii="Arial" w:hAnsi="Arial" w:cs="Arial"/>
          <w:sz w:val="24"/>
        </w:rPr>
        <w:t>long-term</w:t>
      </w:r>
      <w:r w:rsidR="00B25329" w:rsidRPr="00D55C22">
        <w:rPr>
          <w:rFonts w:ascii="Arial" w:hAnsi="Arial" w:cs="Arial"/>
          <w:sz w:val="24"/>
        </w:rPr>
        <w:t xml:space="preserve"> nat</w:t>
      </w:r>
      <w:r>
        <w:rPr>
          <w:rFonts w:ascii="Arial" w:hAnsi="Arial" w:cs="Arial"/>
          <w:sz w:val="24"/>
        </w:rPr>
        <w:t xml:space="preserve">ional financial projections, </w:t>
      </w:r>
      <w:r w:rsidR="00B25329" w:rsidRPr="00D55C22">
        <w:rPr>
          <w:rFonts w:ascii="Arial" w:hAnsi="Arial" w:cs="Arial"/>
          <w:sz w:val="24"/>
        </w:rPr>
        <w:t xml:space="preserve">GDP growth and </w:t>
      </w:r>
      <w:r>
        <w:rPr>
          <w:rFonts w:ascii="Arial" w:hAnsi="Arial" w:cs="Arial"/>
          <w:sz w:val="24"/>
        </w:rPr>
        <w:t xml:space="preserve">the </w:t>
      </w:r>
      <w:r w:rsidR="00B25329" w:rsidRPr="00D55C22">
        <w:rPr>
          <w:rFonts w:ascii="Arial" w:hAnsi="Arial" w:cs="Arial"/>
          <w:sz w:val="24"/>
        </w:rPr>
        <w:t>assess</w:t>
      </w:r>
      <w:r>
        <w:rPr>
          <w:rFonts w:ascii="Arial" w:hAnsi="Arial" w:cs="Arial"/>
          <w:sz w:val="24"/>
        </w:rPr>
        <w:t xml:space="preserve">ment of </w:t>
      </w:r>
      <w:r w:rsidR="00B25329" w:rsidRPr="00D55C22">
        <w:rPr>
          <w:rFonts w:ascii="Arial" w:hAnsi="Arial" w:cs="Arial"/>
          <w:sz w:val="24"/>
        </w:rPr>
        <w:t xml:space="preserve">its likely effects on funds availability for defence expenditure besides financial aspects of short, medium and </w:t>
      </w:r>
      <w:r w:rsidR="00D55C22" w:rsidRPr="00D55C22">
        <w:rPr>
          <w:rFonts w:ascii="Arial" w:hAnsi="Arial" w:cs="Arial"/>
          <w:sz w:val="24"/>
        </w:rPr>
        <w:t>long-term</w:t>
      </w:r>
      <w:r w:rsidR="00B25329" w:rsidRPr="00D55C22">
        <w:rPr>
          <w:rFonts w:ascii="Arial" w:hAnsi="Arial" w:cs="Arial"/>
          <w:sz w:val="24"/>
        </w:rPr>
        <w:t xml:space="preserve"> acq</w:t>
      </w:r>
      <w:r>
        <w:rPr>
          <w:rFonts w:ascii="Arial" w:hAnsi="Arial" w:cs="Arial"/>
          <w:sz w:val="24"/>
        </w:rPr>
        <w:t>uisition plans of the services is also the mandate of HQ IDS</w:t>
      </w:r>
      <w:r w:rsidR="000617C8">
        <w:rPr>
          <w:rFonts w:ascii="Arial" w:hAnsi="Arial" w:cs="Arial"/>
          <w:sz w:val="24"/>
        </w:rPr>
        <w:t xml:space="preserve">  Broadly speaking the two main functions of HQ IDS with respect to financial planning and budget are as under :-</w:t>
      </w:r>
    </w:p>
    <w:p w:rsidR="00B25329" w:rsidRPr="00D55C22" w:rsidRDefault="00B25329" w:rsidP="000617C8">
      <w:pPr>
        <w:tabs>
          <w:tab w:val="left" w:pos="1098"/>
          <w:tab w:val="left" w:pos="6687"/>
        </w:tabs>
        <w:spacing w:line="360" w:lineRule="auto"/>
        <w:ind w:left="720"/>
        <w:jc w:val="both"/>
        <w:rPr>
          <w:rFonts w:ascii="Arial" w:hAnsi="Arial" w:cs="Arial"/>
          <w:sz w:val="24"/>
        </w:rPr>
      </w:pPr>
      <w:r w:rsidRPr="00D55C22">
        <w:rPr>
          <w:rFonts w:ascii="Arial" w:hAnsi="Arial" w:cs="Arial"/>
          <w:sz w:val="24"/>
        </w:rPr>
        <w:t xml:space="preserve">(a)  </w:t>
      </w:r>
      <w:r w:rsidRPr="00D55C22">
        <w:rPr>
          <w:rFonts w:ascii="Arial" w:hAnsi="Arial" w:cs="Arial"/>
          <w:b/>
          <w:sz w:val="24"/>
          <w:u w:val="single"/>
        </w:rPr>
        <w:t>Financial Planning</w:t>
      </w:r>
      <w:r w:rsidRPr="000617C8">
        <w:rPr>
          <w:rFonts w:ascii="Arial" w:hAnsi="Arial" w:cs="Arial"/>
          <w:b/>
          <w:sz w:val="24"/>
        </w:rPr>
        <w:t>.</w:t>
      </w:r>
      <w:r w:rsidRPr="000617C8">
        <w:rPr>
          <w:rFonts w:ascii="Arial" w:hAnsi="Arial" w:cs="Arial"/>
          <w:sz w:val="24"/>
        </w:rPr>
        <w:t xml:space="preserve"> </w:t>
      </w:r>
      <w:r w:rsidRPr="00D55C22">
        <w:rPr>
          <w:rFonts w:ascii="Arial" w:hAnsi="Arial" w:cs="Arial"/>
          <w:sz w:val="24"/>
        </w:rPr>
        <w:t xml:space="preserve"> </w:t>
      </w:r>
      <w:r w:rsidR="000617C8">
        <w:rPr>
          <w:rFonts w:ascii="Arial" w:hAnsi="Arial" w:cs="Arial"/>
          <w:sz w:val="24"/>
        </w:rPr>
        <w:t xml:space="preserve">It </w:t>
      </w:r>
      <w:r w:rsidRPr="00D55C22">
        <w:rPr>
          <w:rFonts w:ascii="Arial" w:hAnsi="Arial" w:cs="Arial"/>
          <w:sz w:val="24"/>
        </w:rPr>
        <w:t xml:space="preserve">is primarily tasked to look after financial aspects of current as well as the perspective plans of three Services and Joint Staff.  It coordinates various policy issues impacting Defence Budget and its allocation by the MoD / MoD (Fin) to Joint Staff and the three Service HQs. </w:t>
      </w:r>
      <w:r w:rsidR="000617C8">
        <w:rPr>
          <w:rFonts w:ascii="Arial" w:hAnsi="Arial" w:cs="Arial"/>
          <w:sz w:val="24"/>
        </w:rPr>
        <w:t xml:space="preserve">It also </w:t>
      </w:r>
      <w:r w:rsidRPr="00D55C22">
        <w:rPr>
          <w:rFonts w:ascii="Arial" w:hAnsi="Arial" w:cs="Arial"/>
          <w:sz w:val="24"/>
        </w:rPr>
        <w:t>pursue</w:t>
      </w:r>
      <w:r w:rsidR="000617C8">
        <w:rPr>
          <w:rFonts w:ascii="Arial" w:hAnsi="Arial" w:cs="Arial"/>
          <w:sz w:val="24"/>
        </w:rPr>
        <w:t>s</w:t>
      </w:r>
      <w:r w:rsidRPr="00D55C22">
        <w:rPr>
          <w:rFonts w:ascii="Arial" w:hAnsi="Arial" w:cs="Arial"/>
          <w:sz w:val="24"/>
        </w:rPr>
        <w:t xml:space="preserve"> all financial policy matters of joint nature concerning the three Services.</w:t>
      </w:r>
    </w:p>
    <w:p w:rsidR="00B10E8A" w:rsidRPr="00D55C22" w:rsidRDefault="00B25329" w:rsidP="000617C8">
      <w:pPr>
        <w:spacing w:line="360" w:lineRule="auto"/>
        <w:ind w:left="720"/>
        <w:jc w:val="both"/>
        <w:rPr>
          <w:rFonts w:ascii="Arial" w:hAnsi="Arial" w:cs="Arial"/>
          <w:b/>
          <w:sz w:val="28"/>
          <w:u w:val="single"/>
        </w:rPr>
      </w:pPr>
      <w:r w:rsidRPr="00D55C22">
        <w:rPr>
          <w:rFonts w:ascii="Arial" w:hAnsi="Arial" w:cs="Arial"/>
          <w:sz w:val="24"/>
        </w:rPr>
        <w:t>(b)</w:t>
      </w:r>
      <w:r w:rsidRPr="00D55C22">
        <w:rPr>
          <w:rFonts w:ascii="Arial" w:hAnsi="Arial" w:cs="Arial"/>
          <w:sz w:val="24"/>
        </w:rPr>
        <w:tab/>
      </w:r>
      <w:r w:rsidRPr="00D55C22">
        <w:rPr>
          <w:rFonts w:ascii="Arial" w:hAnsi="Arial" w:cs="Arial"/>
          <w:b/>
          <w:sz w:val="24"/>
          <w:u w:val="single"/>
        </w:rPr>
        <w:t>Budget</w:t>
      </w:r>
      <w:r w:rsidRPr="000617C8">
        <w:rPr>
          <w:rFonts w:ascii="Arial" w:hAnsi="Arial" w:cs="Arial"/>
          <w:b/>
          <w:sz w:val="24"/>
        </w:rPr>
        <w:t>.</w:t>
      </w:r>
      <w:r w:rsidRPr="000617C8">
        <w:rPr>
          <w:rFonts w:ascii="Arial" w:hAnsi="Arial" w:cs="Arial"/>
          <w:sz w:val="24"/>
        </w:rPr>
        <w:tab/>
      </w:r>
      <w:r w:rsidR="000617C8">
        <w:rPr>
          <w:rFonts w:ascii="Arial" w:hAnsi="Arial" w:cs="Arial"/>
          <w:sz w:val="24"/>
        </w:rPr>
        <w:t>It</w:t>
      </w:r>
      <w:r w:rsidRPr="00D55C22">
        <w:rPr>
          <w:rFonts w:ascii="Arial" w:hAnsi="Arial" w:cs="Arial"/>
          <w:sz w:val="24"/>
        </w:rPr>
        <w:t xml:space="preserve"> is responsible for forecasting, projecting, allocation and monitoring expenditure of both Revenue and Cap</w:t>
      </w:r>
      <w:r w:rsidR="000617C8">
        <w:rPr>
          <w:rFonts w:ascii="Arial" w:hAnsi="Arial" w:cs="Arial"/>
          <w:sz w:val="24"/>
        </w:rPr>
        <w:t>ital in respect of Joint Staff O</w:t>
      </w:r>
      <w:r w:rsidRPr="00D55C22">
        <w:rPr>
          <w:rFonts w:ascii="Arial" w:hAnsi="Arial" w:cs="Arial"/>
          <w:sz w:val="24"/>
        </w:rPr>
        <w:t xml:space="preserve">rganisations. This entails an extremely involved process of close monitoring and management of budgetary allocations for Joint Staff through series of reports and returns and close liaison with the budget controllers, IFA and MoD (Fin).  </w:t>
      </w:r>
      <w:r w:rsidR="000617C8">
        <w:rPr>
          <w:rFonts w:ascii="Arial" w:hAnsi="Arial" w:cs="Arial"/>
          <w:sz w:val="24"/>
        </w:rPr>
        <w:t>It</w:t>
      </w:r>
      <w:r w:rsidRPr="00D55C22">
        <w:rPr>
          <w:rFonts w:ascii="Arial" w:hAnsi="Arial" w:cs="Arial"/>
          <w:sz w:val="24"/>
        </w:rPr>
        <w:t xml:space="preserve"> also processes various cases for sanction within the financial powers of the CISC.</w:t>
      </w:r>
    </w:p>
    <w:p w:rsidR="00B25329" w:rsidRDefault="00B25329">
      <w:pPr>
        <w:rPr>
          <w:rFonts w:ascii="Arial" w:hAnsi="Arial" w:cs="Arial"/>
          <w:b/>
          <w:sz w:val="24"/>
          <w:u w:val="single"/>
        </w:rPr>
      </w:pPr>
    </w:p>
    <w:p w:rsidR="002624AC" w:rsidRDefault="002624AC">
      <w:pPr>
        <w:rPr>
          <w:rFonts w:ascii="Arial" w:hAnsi="Arial" w:cs="Arial"/>
          <w:b/>
          <w:sz w:val="24"/>
          <w:u w:val="single"/>
        </w:rPr>
      </w:pPr>
    </w:p>
    <w:p w:rsidR="002624AC" w:rsidRDefault="002624AC">
      <w:pPr>
        <w:rPr>
          <w:rFonts w:ascii="Arial" w:hAnsi="Arial" w:cs="Arial"/>
          <w:b/>
          <w:sz w:val="24"/>
          <w:u w:val="single"/>
        </w:rPr>
      </w:pPr>
    </w:p>
    <w:p w:rsidR="002624AC" w:rsidRDefault="002624AC">
      <w:pPr>
        <w:rPr>
          <w:rFonts w:ascii="Arial" w:hAnsi="Arial" w:cs="Arial"/>
          <w:b/>
          <w:sz w:val="24"/>
          <w:u w:val="single"/>
        </w:rPr>
      </w:pPr>
    </w:p>
    <w:p w:rsidR="005C2C22" w:rsidRDefault="005C2C22">
      <w:pPr>
        <w:rPr>
          <w:rFonts w:ascii="Arial" w:hAnsi="Arial" w:cs="Arial"/>
          <w:b/>
          <w:sz w:val="24"/>
          <w:u w:val="single"/>
        </w:rPr>
      </w:pPr>
    </w:p>
    <w:p w:rsidR="002624AC" w:rsidRDefault="002624AC">
      <w:pPr>
        <w:rPr>
          <w:rFonts w:ascii="Arial" w:hAnsi="Arial" w:cs="Arial"/>
          <w:b/>
          <w:sz w:val="24"/>
          <w:u w:val="single"/>
        </w:rPr>
      </w:pPr>
    </w:p>
    <w:p w:rsidR="004730B2" w:rsidRPr="002624AC" w:rsidRDefault="002624AC">
      <w:pPr>
        <w:rPr>
          <w:rFonts w:ascii="Arial" w:hAnsi="Arial" w:cs="Arial"/>
          <w:bCs/>
          <w:sz w:val="24"/>
          <w:szCs w:val="24"/>
        </w:rPr>
      </w:pPr>
      <w:r>
        <w:rPr>
          <w:rFonts w:ascii="Arial" w:hAnsi="Arial" w:cs="Arial"/>
          <w:sz w:val="24"/>
          <w:szCs w:val="24"/>
        </w:rPr>
        <w:lastRenderedPageBreak/>
        <w:t>2</w:t>
      </w:r>
      <w:r w:rsidR="004730B2" w:rsidRPr="004730B2">
        <w:rPr>
          <w:rFonts w:ascii="Arial" w:hAnsi="Arial" w:cs="Arial"/>
          <w:sz w:val="24"/>
          <w:szCs w:val="24"/>
        </w:rPr>
        <w:t>.</w:t>
      </w:r>
      <w:r w:rsidR="004730B2" w:rsidRPr="004730B2">
        <w:rPr>
          <w:rFonts w:ascii="Arial" w:hAnsi="Arial" w:cs="Arial"/>
          <w:sz w:val="24"/>
          <w:szCs w:val="24"/>
        </w:rPr>
        <w:tab/>
      </w:r>
      <w:r w:rsidR="004730B2" w:rsidRPr="002624AC">
        <w:rPr>
          <w:rFonts w:ascii="Arial" w:hAnsi="Arial" w:cs="Arial"/>
          <w:b/>
          <w:sz w:val="24"/>
          <w:szCs w:val="24"/>
          <w:u w:val="single"/>
        </w:rPr>
        <w:t xml:space="preserve">Sector-wise Allocation of </w:t>
      </w:r>
      <w:r w:rsidR="00153948" w:rsidRPr="002624AC">
        <w:rPr>
          <w:rFonts w:ascii="Arial" w:hAnsi="Arial" w:cs="Arial"/>
          <w:b/>
          <w:sz w:val="24"/>
          <w:szCs w:val="24"/>
          <w:u w:val="single"/>
        </w:rPr>
        <w:t xml:space="preserve">Union </w:t>
      </w:r>
      <w:r w:rsidR="004730B2" w:rsidRPr="002624AC">
        <w:rPr>
          <w:rFonts w:ascii="Arial" w:hAnsi="Arial" w:cs="Arial"/>
          <w:b/>
          <w:sz w:val="24"/>
          <w:szCs w:val="24"/>
          <w:u w:val="single"/>
        </w:rPr>
        <w:t>Budget</w:t>
      </w:r>
      <w:r>
        <w:rPr>
          <w:rFonts w:ascii="Arial" w:hAnsi="Arial" w:cs="Arial"/>
          <w:bCs/>
          <w:sz w:val="24"/>
          <w:szCs w:val="24"/>
        </w:rPr>
        <w:t>.</w:t>
      </w:r>
    </w:p>
    <w:tbl>
      <w:tblPr>
        <w:tblW w:w="9606" w:type="dxa"/>
        <w:tblCellMar>
          <w:left w:w="0" w:type="dxa"/>
          <w:right w:w="0" w:type="dxa"/>
        </w:tblCellMar>
        <w:tblLook w:val="04A0" w:firstRow="1" w:lastRow="0" w:firstColumn="1" w:lastColumn="0" w:noHBand="0" w:noVBand="1"/>
      </w:tblPr>
      <w:tblGrid>
        <w:gridCol w:w="3855"/>
        <w:gridCol w:w="1581"/>
        <w:gridCol w:w="1421"/>
        <w:gridCol w:w="1384"/>
        <w:gridCol w:w="1365"/>
      </w:tblGrid>
      <w:tr w:rsidR="006D3F39" w:rsidRPr="00573E55" w:rsidTr="002624AC">
        <w:trPr>
          <w:trHeight w:hRule="exact" w:val="393"/>
        </w:trPr>
        <w:tc>
          <w:tcPr>
            <w:tcW w:w="38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00360A">
            <w:pPr>
              <w:jc w:val="center"/>
              <w:rPr>
                <w:rFonts w:ascii="Arial" w:hAnsi="Arial" w:cs="Arial"/>
                <w:b/>
                <w:sz w:val="18"/>
                <w:szCs w:val="20"/>
                <w:u w:val="single"/>
              </w:rPr>
            </w:pPr>
            <w:r w:rsidRPr="00573E55">
              <w:rPr>
                <w:rFonts w:ascii="Arial" w:hAnsi="Arial" w:cs="Arial"/>
                <w:b/>
                <w:sz w:val="18"/>
                <w:szCs w:val="20"/>
                <w:u w:val="single"/>
              </w:rPr>
              <w:t>SECTOR</w:t>
            </w:r>
          </w:p>
        </w:tc>
        <w:tc>
          <w:tcPr>
            <w:tcW w:w="15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u w:val="single"/>
              </w:rPr>
              <w:t>BE 2016-17</w:t>
            </w:r>
            <w:r w:rsidRPr="00573E55">
              <w:rPr>
                <w:rFonts w:ascii="Arial" w:hAnsi="Arial" w:cs="Arial"/>
                <w:b/>
                <w:sz w:val="18"/>
                <w:szCs w:val="20"/>
              </w:rPr>
              <w:t xml:space="preserve"> </w:t>
            </w: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u w:val="single"/>
              </w:rPr>
              <w:t>RE 2016-17</w:t>
            </w:r>
            <w:r w:rsidRPr="00573E55">
              <w:rPr>
                <w:rFonts w:ascii="Arial" w:hAnsi="Arial" w:cs="Arial"/>
                <w:b/>
                <w:sz w:val="18"/>
                <w:szCs w:val="20"/>
              </w:rPr>
              <w:t xml:space="preserve"> </w:t>
            </w:r>
          </w:p>
        </w:tc>
        <w:tc>
          <w:tcPr>
            <w:tcW w:w="13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u w:val="single"/>
              </w:rPr>
              <w:t>RE 2017-18</w:t>
            </w:r>
            <w:r w:rsidRPr="00573E55">
              <w:rPr>
                <w:rFonts w:ascii="Arial" w:hAnsi="Arial" w:cs="Arial"/>
                <w:b/>
                <w:sz w:val="18"/>
                <w:szCs w:val="20"/>
              </w:rPr>
              <w:t xml:space="preserve"> </w:t>
            </w:r>
          </w:p>
        </w:tc>
        <w:tc>
          <w:tcPr>
            <w:tcW w:w="1365" w:type="dxa"/>
            <w:tcBorders>
              <w:top w:val="single" w:sz="8" w:space="0" w:color="000000"/>
              <w:left w:val="single" w:sz="8" w:space="0" w:color="000000"/>
              <w:bottom w:val="single" w:sz="8" w:space="0" w:color="000000"/>
              <w:right w:val="single" w:sz="8" w:space="0" w:color="000000"/>
            </w:tcBorders>
          </w:tcPr>
          <w:p w:rsidR="006D3F39" w:rsidRPr="00573E55" w:rsidRDefault="006D3F39" w:rsidP="006D3F39">
            <w:pPr>
              <w:rPr>
                <w:rFonts w:ascii="Arial" w:hAnsi="Arial" w:cs="Arial"/>
                <w:b/>
                <w:bCs/>
                <w:sz w:val="18"/>
                <w:szCs w:val="20"/>
                <w:u w:val="single"/>
              </w:rPr>
            </w:pPr>
            <w:r w:rsidRPr="00573E55">
              <w:rPr>
                <w:rFonts w:ascii="Arial" w:hAnsi="Arial" w:cs="Arial"/>
                <w:b/>
                <w:bCs/>
                <w:sz w:val="18"/>
                <w:szCs w:val="20"/>
                <w:u w:val="single"/>
              </w:rPr>
              <w:t>BE 2018-19</w:t>
            </w:r>
          </w:p>
        </w:tc>
      </w:tr>
      <w:tr w:rsidR="006D3F39" w:rsidRPr="00573E55" w:rsidTr="002624AC">
        <w:trPr>
          <w:trHeight w:hRule="exact" w:val="393"/>
        </w:trPr>
        <w:tc>
          <w:tcPr>
            <w:tcW w:w="38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CAPITAL OUTLAY EXCLUDING DEFENCE </w:t>
            </w:r>
          </w:p>
        </w:tc>
        <w:tc>
          <w:tcPr>
            <w:tcW w:w="15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132,806.00 </w:t>
            </w: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162,570.00 </w:t>
            </w:r>
          </w:p>
        </w:tc>
        <w:tc>
          <w:tcPr>
            <w:tcW w:w="1384"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164,006.00 </w:t>
            </w:r>
          </w:p>
        </w:tc>
        <w:tc>
          <w:tcPr>
            <w:tcW w:w="1365" w:type="dxa"/>
            <w:tcBorders>
              <w:top w:val="single" w:sz="8" w:space="0" w:color="000000"/>
              <w:left w:val="single" w:sz="8" w:space="0" w:color="000000"/>
              <w:bottom w:val="single" w:sz="8" w:space="0" w:color="000000"/>
              <w:right w:val="single" w:sz="8" w:space="0" w:color="000000"/>
            </w:tcBorders>
            <w:shd w:val="clear" w:color="auto" w:fill="FFFF00"/>
          </w:tcPr>
          <w:p w:rsidR="006D3F39" w:rsidRPr="00573E55" w:rsidRDefault="00E373A5" w:rsidP="004730B2">
            <w:pPr>
              <w:rPr>
                <w:rFonts w:ascii="Arial" w:hAnsi="Arial" w:cs="Arial"/>
                <w:b/>
                <w:bCs/>
                <w:sz w:val="18"/>
                <w:szCs w:val="20"/>
              </w:rPr>
            </w:pPr>
            <w:r>
              <w:rPr>
                <w:rFonts w:ascii="Arial" w:hAnsi="Arial" w:cs="Arial"/>
                <w:b/>
                <w:bCs/>
                <w:sz w:val="18"/>
                <w:szCs w:val="20"/>
              </w:rPr>
              <w:t>1,84,681.00</w:t>
            </w:r>
          </w:p>
        </w:tc>
      </w:tr>
      <w:tr w:rsidR="006D3F39" w:rsidRPr="00573E55" w:rsidTr="002624AC">
        <w:trPr>
          <w:trHeight w:hRule="exact" w:val="393"/>
        </w:trPr>
        <w:tc>
          <w:tcPr>
            <w:tcW w:w="3855"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GRANTS &amp; LOANS TO STATES </w:t>
            </w:r>
          </w:p>
        </w:tc>
        <w:tc>
          <w:tcPr>
            <w:tcW w:w="1581"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282,222.00 </w:t>
            </w:r>
          </w:p>
        </w:tc>
        <w:tc>
          <w:tcPr>
            <w:tcW w:w="1421"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293,172.00 </w:t>
            </w:r>
          </w:p>
        </w:tc>
        <w:tc>
          <w:tcPr>
            <w:tcW w:w="1384"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368,585.00 </w:t>
            </w:r>
          </w:p>
        </w:tc>
        <w:tc>
          <w:tcPr>
            <w:tcW w:w="1365" w:type="dxa"/>
            <w:tcBorders>
              <w:top w:val="single" w:sz="8" w:space="0" w:color="000000"/>
              <w:left w:val="single" w:sz="8" w:space="0" w:color="000000"/>
              <w:bottom w:val="single" w:sz="8" w:space="0" w:color="000000"/>
              <w:right w:val="single" w:sz="8" w:space="0" w:color="000000"/>
            </w:tcBorders>
            <w:shd w:val="clear" w:color="auto" w:fill="00CC00"/>
          </w:tcPr>
          <w:p w:rsidR="006D3F39" w:rsidRPr="00573E55" w:rsidRDefault="00993917" w:rsidP="004730B2">
            <w:pPr>
              <w:rPr>
                <w:rFonts w:ascii="Arial" w:hAnsi="Arial" w:cs="Arial"/>
                <w:b/>
                <w:bCs/>
                <w:sz w:val="18"/>
                <w:szCs w:val="20"/>
              </w:rPr>
            </w:pPr>
            <w:r>
              <w:rPr>
                <w:rFonts w:ascii="Arial" w:hAnsi="Arial" w:cs="Arial"/>
                <w:b/>
                <w:bCs/>
                <w:sz w:val="18"/>
                <w:szCs w:val="20"/>
              </w:rPr>
              <w:t>4,20,133.00</w:t>
            </w:r>
          </w:p>
        </w:tc>
      </w:tr>
      <w:tr w:rsidR="006D3F39" w:rsidRPr="00573E55" w:rsidTr="002624AC">
        <w:trPr>
          <w:trHeight w:hRule="exact" w:val="393"/>
        </w:trPr>
        <w:tc>
          <w:tcPr>
            <w:tcW w:w="38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PENSIONS </w:t>
            </w:r>
          </w:p>
        </w:tc>
        <w:tc>
          <w:tcPr>
            <w:tcW w:w="15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123,368.00 </w:t>
            </w: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128,166.00 </w:t>
            </w:r>
          </w:p>
        </w:tc>
        <w:tc>
          <w:tcPr>
            <w:tcW w:w="1384"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147,387.00 </w:t>
            </w:r>
          </w:p>
        </w:tc>
        <w:tc>
          <w:tcPr>
            <w:tcW w:w="1365" w:type="dxa"/>
            <w:tcBorders>
              <w:top w:val="single" w:sz="8" w:space="0" w:color="000000"/>
              <w:left w:val="single" w:sz="8" w:space="0" w:color="000000"/>
              <w:bottom w:val="single" w:sz="8" w:space="0" w:color="000000"/>
              <w:right w:val="single" w:sz="8" w:space="0" w:color="000000"/>
            </w:tcBorders>
            <w:shd w:val="clear" w:color="auto" w:fill="00CC00"/>
          </w:tcPr>
          <w:p w:rsidR="006D3F39" w:rsidRPr="00573E55" w:rsidRDefault="00993917" w:rsidP="004730B2">
            <w:pPr>
              <w:rPr>
                <w:rFonts w:ascii="Arial" w:hAnsi="Arial" w:cs="Arial"/>
                <w:b/>
                <w:bCs/>
                <w:sz w:val="18"/>
                <w:szCs w:val="20"/>
              </w:rPr>
            </w:pPr>
            <w:r>
              <w:rPr>
                <w:rFonts w:ascii="Arial" w:hAnsi="Arial" w:cs="Arial"/>
                <w:b/>
                <w:bCs/>
                <w:sz w:val="18"/>
                <w:szCs w:val="20"/>
              </w:rPr>
              <w:t>1,68,466.00</w:t>
            </w:r>
          </w:p>
        </w:tc>
      </w:tr>
      <w:tr w:rsidR="006D3F39" w:rsidRPr="00573E55" w:rsidTr="002624AC">
        <w:trPr>
          <w:trHeight w:hRule="exact" w:val="393"/>
        </w:trPr>
        <w:tc>
          <w:tcPr>
            <w:tcW w:w="3855"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POLICE </w:t>
            </w:r>
          </w:p>
        </w:tc>
        <w:tc>
          <w:tcPr>
            <w:tcW w:w="1581"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60,335.00 </w:t>
            </w:r>
          </w:p>
        </w:tc>
        <w:tc>
          <w:tcPr>
            <w:tcW w:w="1421"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62,407.00 </w:t>
            </w:r>
          </w:p>
        </w:tc>
        <w:tc>
          <w:tcPr>
            <w:tcW w:w="1384"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69,704.00 </w:t>
            </w:r>
          </w:p>
        </w:tc>
        <w:tc>
          <w:tcPr>
            <w:tcW w:w="1365" w:type="dxa"/>
            <w:tcBorders>
              <w:top w:val="single" w:sz="8" w:space="0" w:color="000000"/>
              <w:left w:val="single" w:sz="8" w:space="0" w:color="000000"/>
              <w:bottom w:val="single" w:sz="8" w:space="0" w:color="000000"/>
              <w:right w:val="single" w:sz="8" w:space="0" w:color="000000"/>
            </w:tcBorders>
            <w:shd w:val="clear" w:color="auto" w:fill="00CC00"/>
          </w:tcPr>
          <w:p w:rsidR="006D3F39" w:rsidRPr="00573E55" w:rsidRDefault="00993917" w:rsidP="004730B2">
            <w:pPr>
              <w:rPr>
                <w:rFonts w:ascii="Arial" w:hAnsi="Arial" w:cs="Arial"/>
                <w:b/>
                <w:bCs/>
                <w:sz w:val="18"/>
                <w:szCs w:val="20"/>
              </w:rPr>
            </w:pPr>
            <w:r>
              <w:rPr>
                <w:rFonts w:ascii="Arial" w:hAnsi="Arial" w:cs="Arial"/>
                <w:b/>
                <w:bCs/>
                <w:sz w:val="18"/>
                <w:szCs w:val="20"/>
              </w:rPr>
              <w:t>74,866.00</w:t>
            </w:r>
          </w:p>
        </w:tc>
      </w:tr>
      <w:tr w:rsidR="006D3F39" w:rsidRPr="00573E55" w:rsidTr="002624AC">
        <w:trPr>
          <w:trHeight w:hRule="exact" w:val="393"/>
        </w:trPr>
        <w:tc>
          <w:tcPr>
            <w:tcW w:w="3855"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EDUCATION </w:t>
            </w:r>
          </w:p>
        </w:tc>
        <w:tc>
          <w:tcPr>
            <w:tcW w:w="1581"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31,223.00 </w:t>
            </w:r>
          </w:p>
        </w:tc>
        <w:tc>
          <w:tcPr>
            <w:tcW w:w="1421"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32,229.00 </w:t>
            </w:r>
          </w:p>
        </w:tc>
        <w:tc>
          <w:tcPr>
            <w:tcW w:w="1384"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38,649.00 </w:t>
            </w:r>
          </w:p>
        </w:tc>
        <w:tc>
          <w:tcPr>
            <w:tcW w:w="1365" w:type="dxa"/>
            <w:tcBorders>
              <w:top w:val="single" w:sz="8" w:space="0" w:color="000000"/>
              <w:left w:val="single" w:sz="8" w:space="0" w:color="000000"/>
              <w:bottom w:val="single" w:sz="8" w:space="0" w:color="000000"/>
              <w:right w:val="single" w:sz="8" w:space="0" w:color="000000"/>
            </w:tcBorders>
            <w:shd w:val="clear" w:color="auto" w:fill="00CC00"/>
          </w:tcPr>
          <w:p w:rsidR="006D3F39" w:rsidRPr="00573E55" w:rsidRDefault="00993917" w:rsidP="004730B2">
            <w:pPr>
              <w:rPr>
                <w:rFonts w:ascii="Arial" w:hAnsi="Arial" w:cs="Arial"/>
                <w:b/>
                <w:bCs/>
                <w:sz w:val="18"/>
                <w:szCs w:val="20"/>
              </w:rPr>
            </w:pPr>
            <w:r>
              <w:rPr>
                <w:rFonts w:ascii="Arial" w:hAnsi="Arial" w:cs="Arial"/>
                <w:b/>
                <w:bCs/>
                <w:sz w:val="18"/>
                <w:szCs w:val="20"/>
              </w:rPr>
              <w:t>40,612.00</w:t>
            </w:r>
          </w:p>
        </w:tc>
      </w:tr>
      <w:tr w:rsidR="006D3F39" w:rsidRPr="00573E55" w:rsidTr="002624AC">
        <w:trPr>
          <w:trHeight w:hRule="exact" w:val="393"/>
        </w:trPr>
        <w:tc>
          <w:tcPr>
            <w:tcW w:w="3855"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HEALTH AND FAMILY WELFARE </w:t>
            </w:r>
          </w:p>
        </w:tc>
        <w:tc>
          <w:tcPr>
            <w:tcW w:w="1581"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13,985.00 </w:t>
            </w:r>
          </w:p>
        </w:tc>
        <w:tc>
          <w:tcPr>
            <w:tcW w:w="1421"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14,478.00 </w:t>
            </w:r>
          </w:p>
        </w:tc>
        <w:tc>
          <w:tcPr>
            <w:tcW w:w="1384"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17,312.00 </w:t>
            </w:r>
          </w:p>
        </w:tc>
        <w:tc>
          <w:tcPr>
            <w:tcW w:w="1365" w:type="dxa"/>
            <w:tcBorders>
              <w:top w:val="single" w:sz="8" w:space="0" w:color="000000"/>
              <w:left w:val="single" w:sz="8" w:space="0" w:color="000000"/>
              <w:bottom w:val="single" w:sz="8" w:space="0" w:color="000000"/>
              <w:right w:val="single" w:sz="8" w:space="0" w:color="000000"/>
            </w:tcBorders>
            <w:shd w:val="clear" w:color="auto" w:fill="00CC00"/>
          </w:tcPr>
          <w:p w:rsidR="006D3F39" w:rsidRPr="00573E55" w:rsidRDefault="00993917" w:rsidP="004730B2">
            <w:pPr>
              <w:rPr>
                <w:rFonts w:ascii="Arial" w:hAnsi="Arial" w:cs="Arial"/>
                <w:b/>
                <w:bCs/>
                <w:sz w:val="18"/>
                <w:szCs w:val="20"/>
              </w:rPr>
            </w:pPr>
            <w:r>
              <w:rPr>
                <w:rFonts w:ascii="Arial" w:hAnsi="Arial" w:cs="Arial"/>
                <w:b/>
                <w:bCs/>
                <w:sz w:val="18"/>
                <w:szCs w:val="20"/>
              </w:rPr>
              <w:t>19,163.00</w:t>
            </w:r>
          </w:p>
        </w:tc>
      </w:tr>
      <w:tr w:rsidR="006D3F39" w:rsidRPr="00573E55" w:rsidTr="002624AC">
        <w:trPr>
          <w:trHeight w:hRule="exact" w:val="393"/>
        </w:trPr>
        <w:tc>
          <w:tcPr>
            <w:tcW w:w="38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FOOD SUBSIDY </w:t>
            </w:r>
          </w:p>
        </w:tc>
        <w:tc>
          <w:tcPr>
            <w:tcW w:w="15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134,835.00 </w:t>
            </w: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135,173.00 </w:t>
            </w:r>
          </w:p>
        </w:tc>
        <w:tc>
          <w:tcPr>
            <w:tcW w:w="1384"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140,282.00 </w:t>
            </w:r>
          </w:p>
        </w:tc>
        <w:tc>
          <w:tcPr>
            <w:tcW w:w="1365" w:type="dxa"/>
            <w:tcBorders>
              <w:top w:val="single" w:sz="8" w:space="0" w:color="000000"/>
              <w:left w:val="single" w:sz="8" w:space="0" w:color="000000"/>
              <w:bottom w:val="single" w:sz="8" w:space="0" w:color="000000"/>
              <w:right w:val="single" w:sz="8" w:space="0" w:color="000000"/>
            </w:tcBorders>
            <w:shd w:val="clear" w:color="auto" w:fill="FFFF00"/>
          </w:tcPr>
          <w:p w:rsidR="006D3F39" w:rsidRPr="00573E55" w:rsidRDefault="00993917" w:rsidP="004730B2">
            <w:pPr>
              <w:rPr>
                <w:rFonts w:ascii="Arial" w:hAnsi="Arial" w:cs="Arial"/>
                <w:b/>
                <w:bCs/>
                <w:sz w:val="18"/>
                <w:szCs w:val="20"/>
              </w:rPr>
            </w:pPr>
            <w:r>
              <w:rPr>
                <w:rFonts w:ascii="Arial" w:hAnsi="Arial" w:cs="Arial"/>
                <w:b/>
                <w:bCs/>
                <w:sz w:val="18"/>
                <w:szCs w:val="20"/>
              </w:rPr>
              <w:t>1,69,323.00</w:t>
            </w:r>
          </w:p>
        </w:tc>
      </w:tr>
      <w:tr w:rsidR="006D3F39" w:rsidRPr="00573E55" w:rsidTr="002624AC">
        <w:trPr>
          <w:trHeight w:hRule="exact" w:val="393"/>
        </w:trPr>
        <w:tc>
          <w:tcPr>
            <w:tcW w:w="3855" w:type="dxa"/>
            <w:tcBorders>
              <w:top w:val="single" w:sz="8" w:space="0" w:color="000000"/>
              <w:left w:val="single" w:sz="8" w:space="0" w:color="000000"/>
              <w:bottom w:val="single" w:sz="8" w:space="0" w:color="000000"/>
              <w:right w:val="single" w:sz="8" w:space="0" w:color="000000"/>
            </w:tcBorders>
            <w:shd w:val="clear" w:color="auto" w:fill="FF00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GRANTS &amp; LOANS TO UT GOVT </w:t>
            </w:r>
          </w:p>
        </w:tc>
        <w:tc>
          <w:tcPr>
            <w:tcW w:w="1581" w:type="dxa"/>
            <w:tcBorders>
              <w:top w:val="single" w:sz="8" w:space="0" w:color="000000"/>
              <w:left w:val="single" w:sz="8" w:space="0" w:color="000000"/>
              <w:bottom w:val="single" w:sz="8" w:space="0" w:color="000000"/>
              <w:right w:val="single" w:sz="8" w:space="0" w:color="000000"/>
            </w:tcBorders>
            <w:shd w:val="clear" w:color="auto" w:fill="FF00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5,476.00 </w:t>
            </w:r>
          </w:p>
        </w:tc>
        <w:tc>
          <w:tcPr>
            <w:tcW w:w="1421" w:type="dxa"/>
            <w:tcBorders>
              <w:top w:val="single" w:sz="8" w:space="0" w:color="000000"/>
              <w:left w:val="single" w:sz="8" w:space="0" w:color="000000"/>
              <w:bottom w:val="single" w:sz="8" w:space="0" w:color="000000"/>
              <w:right w:val="single" w:sz="8" w:space="0" w:color="000000"/>
            </w:tcBorders>
            <w:shd w:val="clear" w:color="auto" w:fill="FF00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5,547.00 </w:t>
            </w:r>
          </w:p>
        </w:tc>
        <w:tc>
          <w:tcPr>
            <w:tcW w:w="1384" w:type="dxa"/>
            <w:tcBorders>
              <w:top w:val="single" w:sz="8" w:space="0" w:color="000000"/>
              <w:left w:val="single" w:sz="8" w:space="0" w:color="000000"/>
              <w:bottom w:val="single" w:sz="8" w:space="0" w:color="000000"/>
              <w:right w:val="single" w:sz="8" w:space="0" w:color="000000"/>
            </w:tcBorders>
            <w:shd w:val="clear" w:color="auto" w:fill="FF00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5,272.00 </w:t>
            </w:r>
          </w:p>
        </w:tc>
        <w:tc>
          <w:tcPr>
            <w:tcW w:w="1365" w:type="dxa"/>
            <w:tcBorders>
              <w:top w:val="single" w:sz="8" w:space="0" w:color="000000"/>
              <w:left w:val="single" w:sz="8" w:space="0" w:color="000000"/>
              <w:bottom w:val="single" w:sz="8" w:space="0" w:color="000000"/>
              <w:right w:val="single" w:sz="8" w:space="0" w:color="000000"/>
            </w:tcBorders>
            <w:shd w:val="clear" w:color="auto" w:fill="FF0000"/>
          </w:tcPr>
          <w:p w:rsidR="006D3F39" w:rsidRPr="00573E55" w:rsidRDefault="00993917" w:rsidP="004730B2">
            <w:pPr>
              <w:rPr>
                <w:rFonts w:ascii="Arial" w:hAnsi="Arial" w:cs="Arial"/>
                <w:b/>
                <w:bCs/>
                <w:sz w:val="18"/>
                <w:szCs w:val="20"/>
              </w:rPr>
            </w:pPr>
            <w:r>
              <w:rPr>
                <w:rFonts w:ascii="Arial" w:hAnsi="Arial" w:cs="Arial"/>
                <w:b/>
                <w:bCs/>
                <w:sz w:val="18"/>
                <w:szCs w:val="20"/>
              </w:rPr>
              <w:t>4,20,133.00</w:t>
            </w:r>
          </w:p>
        </w:tc>
      </w:tr>
      <w:tr w:rsidR="006D3F39" w:rsidRPr="00573E55" w:rsidTr="002624AC">
        <w:trPr>
          <w:trHeight w:hRule="exact" w:val="393"/>
        </w:trPr>
        <w:tc>
          <w:tcPr>
            <w:tcW w:w="38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DEFENCE </w:t>
            </w:r>
          </w:p>
        </w:tc>
        <w:tc>
          <w:tcPr>
            <w:tcW w:w="15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249,099.00 </w:t>
            </w: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248,005.00 </w:t>
            </w:r>
          </w:p>
        </w:tc>
        <w:tc>
          <w:tcPr>
            <w:tcW w:w="1384"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267,108.00 </w:t>
            </w:r>
          </w:p>
        </w:tc>
        <w:tc>
          <w:tcPr>
            <w:tcW w:w="1365" w:type="dxa"/>
            <w:tcBorders>
              <w:top w:val="single" w:sz="8" w:space="0" w:color="000000"/>
              <w:left w:val="single" w:sz="8" w:space="0" w:color="000000"/>
              <w:bottom w:val="single" w:sz="8" w:space="0" w:color="000000"/>
              <w:right w:val="single" w:sz="8" w:space="0" w:color="000000"/>
            </w:tcBorders>
            <w:shd w:val="clear" w:color="auto" w:fill="FFFF00"/>
          </w:tcPr>
          <w:p w:rsidR="006D3F39" w:rsidRPr="00573E55" w:rsidRDefault="00993917" w:rsidP="00993917">
            <w:pPr>
              <w:rPr>
                <w:rFonts w:ascii="Arial" w:hAnsi="Arial" w:cs="Arial"/>
                <w:b/>
                <w:bCs/>
                <w:sz w:val="18"/>
                <w:szCs w:val="20"/>
              </w:rPr>
            </w:pPr>
            <w:r>
              <w:rPr>
                <w:rFonts w:ascii="Arial" w:hAnsi="Arial" w:cs="Arial"/>
                <w:b/>
                <w:bCs/>
                <w:sz w:val="18"/>
                <w:szCs w:val="20"/>
              </w:rPr>
              <w:t>2,82,733.00</w:t>
            </w:r>
          </w:p>
        </w:tc>
      </w:tr>
      <w:tr w:rsidR="006D3F39" w:rsidRPr="00573E55" w:rsidTr="002624AC">
        <w:trPr>
          <w:trHeight w:hRule="exact" w:val="393"/>
        </w:trPr>
        <w:tc>
          <w:tcPr>
            <w:tcW w:w="3855" w:type="dxa"/>
            <w:tcBorders>
              <w:top w:val="single" w:sz="8" w:space="0" w:color="000000"/>
              <w:left w:val="single" w:sz="8" w:space="0" w:color="000000"/>
              <w:bottom w:val="single" w:sz="8" w:space="0" w:color="000000"/>
              <w:right w:val="single" w:sz="8" w:space="0" w:color="000000"/>
            </w:tcBorders>
            <w:shd w:val="clear" w:color="auto" w:fill="FF00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OTHER SUBSIDIES </w:t>
            </w:r>
          </w:p>
        </w:tc>
        <w:tc>
          <w:tcPr>
            <w:tcW w:w="1581" w:type="dxa"/>
            <w:tcBorders>
              <w:top w:val="single" w:sz="8" w:space="0" w:color="000000"/>
              <w:left w:val="single" w:sz="8" w:space="0" w:color="000000"/>
              <w:bottom w:val="single" w:sz="8" w:space="0" w:color="000000"/>
              <w:right w:val="single" w:sz="8" w:space="0" w:color="000000"/>
            </w:tcBorders>
            <w:shd w:val="clear" w:color="auto" w:fill="FF00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128,307.00 </w:t>
            </w:r>
          </w:p>
        </w:tc>
        <w:tc>
          <w:tcPr>
            <w:tcW w:w="1421" w:type="dxa"/>
            <w:tcBorders>
              <w:top w:val="single" w:sz="8" w:space="0" w:color="000000"/>
              <w:left w:val="single" w:sz="8" w:space="0" w:color="000000"/>
              <w:bottom w:val="single" w:sz="8" w:space="0" w:color="000000"/>
              <w:right w:val="single" w:sz="8" w:space="0" w:color="000000"/>
            </w:tcBorders>
            <w:shd w:val="clear" w:color="auto" w:fill="FF00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125,312.00 </w:t>
            </w:r>
          </w:p>
        </w:tc>
        <w:tc>
          <w:tcPr>
            <w:tcW w:w="1384" w:type="dxa"/>
            <w:tcBorders>
              <w:top w:val="single" w:sz="8" w:space="0" w:color="000000"/>
              <w:left w:val="single" w:sz="8" w:space="0" w:color="000000"/>
              <w:bottom w:val="single" w:sz="8" w:space="0" w:color="000000"/>
              <w:right w:val="single" w:sz="8" w:space="0" w:color="000000"/>
            </w:tcBorders>
            <w:shd w:val="clear" w:color="auto" w:fill="FF00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123,842.00 </w:t>
            </w:r>
          </w:p>
        </w:tc>
        <w:tc>
          <w:tcPr>
            <w:tcW w:w="1365" w:type="dxa"/>
            <w:tcBorders>
              <w:top w:val="single" w:sz="8" w:space="0" w:color="000000"/>
              <w:left w:val="single" w:sz="8" w:space="0" w:color="000000"/>
              <w:bottom w:val="single" w:sz="8" w:space="0" w:color="000000"/>
              <w:right w:val="single" w:sz="8" w:space="0" w:color="000000"/>
            </w:tcBorders>
            <w:shd w:val="clear" w:color="auto" w:fill="FF0000"/>
          </w:tcPr>
          <w:p w:rsidR="006D3F39" w:rsidRPr="00573E55" w:rsidRDefault="00993917" w:rsidP="004730B2">
            <w:pPr>
              <w:rPr>
                <w:rFonts w:ascii="Arial" w:hAnsi="Arial" w:cs="Arial"/>
                <w:b/>
                <w:bCs/>
                <w:sz w:val="18"/>
                <w:szCs w:val="20"/>
              </w:rPr>
            </w:pPr>
            <w:r>
              <w:rPr>
                <w:rFonts w:ascii="Arial" w:hAnsi="Arial" w:cs="Arial"/>
                <w:b/>
                <w:bCs/>
                <w:sz w:val="18"/>
                <w:szCs w:val="20"/>
              </w:rPr>
              <w:t>1,23,502.00</w:t>
            </w:r>
          </w:p>
        </w:tc>
      </w:tr>
      <w:tr w:rsidR="006D3F39" w:rsidRPr="00573E55" w:rsidTr="002624AC">
        <w:trPr>
          <w:trHeight w:hRule="exact" w:val="393"/>
        </w:trPr>
        <w:tc>
          <w:tcPr>
            <w:tcW w:w="38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INTEREST PAYMENT </w:t>
            </w:r>
          </w:p>
        </w:tc>
        <w:tc>
          <w:tcPr>
            <w:tcW w:w="15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492,670.00 </w:t>
            </w: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483,069.00 </w:t>
            </w:r>
          </w:p>
        </w:tc>
        <w:tc>
          <w:tcPr>
            <w:tcW w:w="1384"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530,843.00 </w:t>
            </w:r>
          </w:p>
        </w:tc>
        <w:tc>
          <w:tcPr>
            <w:tcW w:w="1365" w:type="dxa"/>
            <w:tcBorders>
              <w:top w:val="single" w:sz="8" w:space="0" w:color="000000"/>
              <w:left w:val="single" w:sz="8" w:space="0" w:color="000000"/>
              <w:bottom w:val="single" w:sz="8" w:space="0" w:color="000000"/>
              <w:right w:val="single" w:sz="8" w:space="0" w:color="000000"/>
            </w:tcBorders>
            <w:shd w:val="clear" w:color="auto" w:fill="00CC00"/>
          </w:tcPr>
          <w:p w:rsidR="006D3F39" w:rsidRPr="00573E55" w:rsidRDefault="00993917" w:rsidP="004730B2">
            <w:pPr>
              <w:rPr>
                <w:rFonts w:ascii="Arial" w:hAnsi="Arial" w:cs="Arial"/>
                <w:b/>
                <w:bCs/>
                <w:sz w:val="18"/>
                <w:szCs w:val="20"/>
              </w:rPr>
            </w:pPr>
            <w:r>
              <w:rPr>
                <w:rFonts w:ascii="Arial" w:hAnsi="Arial" w:cs="Arial"/>
                <w:b/>
                <w:bCs/>
                <w:sz w:val="18"/>
                <w:szCs w:val="20"/>
              </w:rPr>
              <w:t>5,75,795.00</w:t>
            </w:r>
          </w:p>
        </w:tc>
      </w:tr>
      <w:tr w:rsidR="006D3F39" w:rsidRPr="00573E55" w:rsidTr="002624AC">
        <w:trPr>
          <w:trHeight w:hRule="exact" w:val="393"/>
        </w:trPr>
        <w:tc>
          <w:tcPr>
            <w:tcW w:w="38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OTHERS </w:t>
            </w:r>
          </w:p>
        </w:tc>
        <w:tc>
          <w:tcPr>
            <w:tcW w:w="15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323,734.00 </w:t>
            </w: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324,279.00 </w:t>
            </w:r>
          </w:p>
        </w:tc>
        <w:tc>
          <w:tcPr>
            <w:tcW w:w="1384"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344,760.00 </w:t>
            </w:r>
          </w:p>
        </w:tc>
        <w:tc>
          <w:tcPr>
            <w:tcW w:w="1365" w:type="dxa"/>
            <w:tcBorders>
              <w:top w:val="single" w:sz="8" w:space="0" w:color="000000"/>
              <w:left w:val="single" w:sz="8" w:space="0" w:color="000000"/>
              <w:bottom w:val="single" w:sz="8" w:space="0" w:color="000000"/>
              <w:right w:val="single" w:sz="8" w:space="0" w:color="000000"/>
            </w:tcBorders>
            <w:shd w:val="clear" w:color="auto" w:fill="FFFF00"/>
          </w:tcPr>
          <w:p w:rsidR="006D3F39" w:rsidRPr="00573E55" w:rsidRDefault="00993917" w:rsidP="004730B2">
            <w:pPr>
              <w:rPr>
                <w:rFonts w:ascii="Arial" w:hAnsi="Arial" w:cs="Arial"/>
                <w:b/>
                <w:bCs/>
                <w:sz w:val="18"/>
                <w:szCs w:val="20"/>
              </w:rPr>
            </w:pPr>
            <w:r>
              <w:rPr>
                <w:rFonts w:ascii="Arial" w:hAnsi="Arial" w:cs="Arial"/>
                <w:b/>
                <w:bCs/>
                <w:sz w:val="18"/>
                <w:szCs w:val="20"/>
              </w:rPr>
              <w:t>3,76,439.00</w:t>
            </w:r>
          </w:p>
        </w:tc>
      </w:tr>
      <w:tr w:rsidR="006D3F39" w:rsidRPr="00573E55" w:rsidTr="002624AC">
        <w:trPr>
          <w:trHeight w:hRule="exact" w:val="393"/>
        </w:trPr>
        <w:tc>
          <w:tcPr>
            <w:tcW w:w="3855"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4730B2">
            <w:pPr>
              <w:rPr>
                <w:rFonts w:ascii="Arial" w:hAnsi="Arial" w:cs="Arial"/>
                <w:b/>
                <w:sz w:val="18"/>
                <w:szCs w:val="20"/>
              </w:rPr>
            </w:pPr>
            <w:r w:rsidRPr="00573E55">
              <w:rPr>
                <w:rFonts w:ascii="Arial" w:hAnsi="Arial" w:cs="Arial"/>
                <w:b/>
                <w:bCs/>
                <w:sz w:val="18"/>
                <w:szCs w:val="20"/>
              </w:rPr>
              <w:t xml:space="preserve">TOTAL EXPENDITURE </w:t>
            </w:r>
          </w:p>
        </w:tc>
        <w:tc>
          <w:tcPr>
            <w:tcW w:w="1581"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993917" w:rsidP="004730B2">
            <w:pPr>
              <w:rPr>
                <w:rFonts w:ascii="Arial" w:hAnsi="Arial" w:cs="Arial"/>
                <w:b/>
                <w:sz w:val="18"/>
                <w:szCs w:val="20"/>
              </w:rPr>
            </w:pPr>
            <w:r>
              <w:rPr>
                <w:rFonts w:ascii="Arial" w:hAnsi="Arial" w:cs="Arial"/>
                <w:b/>
                <w:bCs/>
                <w:sz w:val="18"/>
                <w:szCs w:val="20"/>
              </w:rPr>
              <w:t>1</w:t>
            </w:r>
            <w:r w:rsidR="006D3F39" w:rsidRPr="00573E55">
              <w:rPr>
                <w:rFonts w:ascii="Arial" w:hAnsi="Arial" w:cs="Arial"/>
                <w:b/>
                <w:bCs/>
                <w:sz w:val="18"/>
                <w:szCs w:val="20"/>
              </w:rPr>
              <w:t>9</w:t>
            </w:r>
            <w:r>
              <w:rPr>
                <w:rFonts w:ascii="Arial" w:hAnsi="Arial" w:cs="Arial"/>
                <w:b/>
                <w:bCs/>
                <w:sz w:val="18"/>
                <w:szCs w:val="20"/>
              </w:rPr>
              <w:t>,</w:t>
            </w:r>
            <w:r w:rsidR="006D3F39" w:rsidRPr="00573E55">
              <w:rPr>
                <w:rFonts w:ascii="Arial" w:hAnsi="Arial" w:cs="Arial"/>
                <w:b/>
                <w:bCs/>
                <w:sz w:val="18"/>
                <w:szCs w:val="20"/>
              </w:rPr>
              <w:t xml:space="preserve">78,060.00 </w:t>
            </w:r>
          </w:p>
        </w:tc>
        <w:tc>
          <w:tcPr>
            <w:tcW w:w="1421"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6D3F39" w:rsidP="00993917">
            <w:pPr>
              <w:rPr>
                <w:rFonts w:ascii="Arial" w:hAnsi="Arial" w:cs="Arial"/>
                <w:b/>
                <w:sz w:val="18"/>
                <w:szCs w:val="20"/>
              </w:rPr>
            </w:pPr>
            <w:r w:rsidRPr="00573E55">
              <w:rPr>
                <w:rFonts w:ascii="Arial" w:hAnsi="Arial" w:cs="Arial"/>
                <w:b/>
                <w:bCs/>
                <w:sz w:val="18"/>
                <w:szCs w:val="20"/>
              </w:rPr>
              <w:t>20</w:t>
            </w:r>
            <w:r w:rsidR="00993917">
              <w:rPr>
                <w:rFonts w:ascii="Arial" w:hAnsi="Arial" w:cs="Arial"/>
                <w:b/>
                <w:bCs/>
                <w:sz w:val="18"/>
                <w:szCs w:val="20"/>
              </w:rPr>
              <w:t>,</w:t>
            </w:r>
            <w:r w:rsidRPr="00573E55">
              <w:rPr>
                <w:rFonts w:ascii="Arial" w:hAnsi="Arial" w:cs="Arial"/>
                <w:b/>
                <w:bCs/>
                <w:sz w:val="18"/>
                <w:szCs w:val="20"/>
              </w:rPr>
              <w:t xml:space="preserve">14,407.00 </w:t>
            </w:r>
          </w:p>
        </w:tc>
        <w:tc>
          <w:tcPr>
            <w:tcW w:w="1384" w:type="dxa"/>
            <w:tcBorders>
              <w:top w:val="single" w:sz="8" w:space="0" w:color="000000"/>
              <w:left w:val="single" w:sz="8" w:space="0" w:color="000000"/>
              <w:bottom w:val="single" w:sz="8" w:space="0" w:color="000000"/>
              <w:right w:val="single" w:sz="8" w:space="0" w:color="000000"/>
            </w:tcBorders>
            <w:shd w:val="clear" w:color="auto" w:fill="00CC00"/>
            <w:tcMar>
              <w:top w:w="15" w:type="dxa"/>
              <w:left w:w="108" w:type="dxa"/>
              <w:bottom w:w="0" w:type="dxa"/>
              <w:right w:w="108" w:type="dxa"/>
            </w:tcMar>
            <w:vAlign w:val="center"/>
            <w:hideMark/>
          </w:tcPr>
          <w:p w:rsidR="006D3F39" w:rsidRPr="00573E55" w:rsidRDefault="00993917" w:rsidP="004730B2">
            <w:pPr>
              <w:rPr>
                <w:rFonts w:ascii="Arial" w:hAnsi="Arial" w:cs="Arial"/>
                <w:b/>
                <w:sz w:val="18"/>
                <w:szCs w:val="20"/>
              </w:rPr>
            </w:pPr>
            <w:r>
              <w:rPr>
                <w:rFonts w:ascii="Arial" w:hAnsi="Arial" w:cs="Arial"/>
                <w:b/>
                <w:bCs/>
                <w:sz w:val="18"/>
                <w:szCs w:val="20"/>
              </w:rPr>
              <w:t>2</w:t>
            </w:r>
            <w:r w:rsidR="006D3F39" w:rsidRPr="00573E55">
              <w:rPr>
                <w:rFonts w:ascii="Arial" w:hAnsi="Arial" w:cs="Arial"/>
                <w:b/>
                <w:bCs/>
                <w:sz w:val="18"/>
                <w:szCs w:val="20"/>
              </w:rPr>
              <w:t>2</w:t>
            </w:r>
            <w:r>
              <w:rPr>
                <w:rFonts w:ascii="Arial" w:hAnsi="Arial" w:cs="Arial"/>
                <w:b/>
                <w:bCs/>
                <w:sz w:val="18"/>
                <w:szCs w:val="20"/>
              </w:rPr>
              <w:t>,</w:t>
            </w:r>
            <w:r w:rsidR="006D3F39" w:rsidRPr="00573E55">
              <w:rPr>
                <w:rFonts w:ascii="Arial" w:hAnsi="Arial" w:cs="Arial"/>
                <w:b/>
                <w:bCs/>
                <w:sz w:val="18"/>
                <w:szCs w:val="20"/>
              </w:rPr>
              <w:t>17,750.00</w:t>
            </w:r>
            <w:r w:rsidR="006D3F39" w:rsidRPr="00573E55">
              <w:rPr>
                <w:rFonts w:ascii="Arial" w:hAnsi="Arial" w:cs="Arial"/>
                <w:b/>
                <w:sz w:val="18"/>
                <w:szCs w:val="20"/>
              </w:rPr>
              <w:t xml:space="preserve"> </w:t>
            </w:r>
          </w:p>
        </w:tc>
        <w:tc>
          <w:tcPr>
            <w:tcW w:w="1365" w:type="dxa"/>
            <w:tcBorders>
              <w:top w:val="single" w:sz="8" w:space="0" w:color="000000"/>
              <w:left w:val="single" w:sz="8" w:space="0" w:color="000000"/>
              <w:bottom w:val="single" w:sz="8" w:space="0" w:color="000000"/>
              <w:right w:val="single" w:sz="8" w:space="0" w:color="000000"/>
            </w:tcBorders>
            <w:shd w:val="clear" w:color="auto" w:fill="00CC00"/>
          </w:tcPr>
          <w:p w:rsidR="006D3F39" w:rsidRPr="00573E55" w:rsidRDefault="00993917" w:rsidP="004730B2">
            <w:pPr>
              <w:rPr>
                <w:rFonts w:ascii="Arial" w:hAnsi="Arial" w:cs="Arial"/>
                <w:b/>
                <w:bCs/>
                <w:sz w:val="18"/>
                <w:szCs w:val="20"/>
              </w:rPr>
            </w:pPr>
            <w:r>
              <w:rPr>
                <w:rFonts w:ascii="Arial" w:hAnsi="Arial" w:cs="Arial"/>
                <w:b/>
                <w:bCs/>
                <w:sz w:val="18"/>
                <w:szCs w:val="20"/>
              </w:rPr>
              <w:t>27,03,446.00</w:t>
            </w:r>
          </w:p>
        </w:tc>
      </w:tr>
    </w:tbl>
    <w:p w:rsidR="005C2C22" w:rsidRDefault="005C2C22">
      <w:pPr>
        <w:rPr>
          <w:rFonts w:ascii="Arial" w:hAnsi="Arial" w:cs="Arial"/>
          <w:b/>
          <w:sz w:val="24"/>
          <w:szCs w:val="24"/>
          <w:u w:val="single"/>
        </w:rPr>
      </w:pPr>
    </w:p>
    <w:p w:rsidR="004730B2" w:rsidRPr="0073133D" w:rsidRDefault="005C2C22">
      <w:pPr>
        <w:rPr>
          <w:rFonts w:ascii="Arial" w:hAnsi="Arial" w:cs="Arial"/>
          <w:b/>
          <w:sz w:val="24"/>
          <w:szCs w:val="24"/>
          <w:u w:val="single"/>
        </w:rPr>
      </w:pPr>
      <w:r>
        <w:rPr>
          <w:rFonts w:ascii="Arial" w:hAnsi="Arial" w:cs="Arial"/>
          <w:b/>
          <w:sz w:val="24"/>
          <w:szCs w:val="24"/>
          <w:u w:val="single"/>
        </w:rPr>
        <w:t>L</w:t>
      </w:r>
      <w:r w:rsidR="00BF5D07" w:rsidRPr="0073133D">
        <w:rPr>
          <w:rFonts w:ascii="Arial" w:hAnsi="Arial" w:cs="Arial"/>
          <w:b/>
          <w:sz w:val="24"/>
          <w:szCs w:val="24"/>
          <w:u w:val="single"/>
        </w:rPr>
        <w:t>egend</w:t>
      </w:r>
    </w:p>
    <w:p w:rsidR="00BF5D07" w:rsidRPr="00BF5D07" w:rsidRDefault="00D84A65" w:rsidP="0073133D">
      <w:pPr>
        <w:spacing w:after="0" w:line="240" w:lineRule="auto"/>
        <w:rPr>
          <w:rFonts w:ascii="Arial" w:hAnsi="Arial" w:cs="Arial"/>
          <w:sz w:val="24"/>
          <w:szCs w:val="24"/>
        </w:rPr>
      </w:pPr>
      <w:r>
        <w:rPr>
          <w:rFonts w:ascii="Arial" w:hAnsi="Arial" w:cs="Arial"/>
          <w:b/>
          <w:sz w:val="24"/>
          <w:szCs w:val="24"/>
        </w:rPr>
        <w:t>Green :</w:t>
      </w:r>
      <w:r w:rsidR="00BF5D07">
        <w:rPr>
          <w:rFonts w:ascii="Arial" w:hAnsi="Arial" w:cs="Arial"/>
          <w:b/>
          <w:sz w:val="24"/>
          <w:szCs w:val="24"/>
        </w:rPr>
        <w:t xml:space="preserve"> </w:t>
      </w:r>
      <w:r w:rsidR="00BF5D07" w:rsidRPr="00BF5D07">
        <w:rPr>
          <w:rFonts w:ascii="Arial" w:hAnsi="Arial" w:cs="Arial"/>
          <w:sz w:val="24"/>
          <w:szCs w:val="24"/>
        </w:rPr>
        <w:t>Increase of more than 8 % from Prev Year</w:t>
      </w:r>
    </w:p>
    <w:p w:rsidR="00BF5D07" w:rsidRPr="00BF5D07" w:rsidRDefault="0073133D" w:rsidP="0073133D">
      <w:pPr>
        <w:spacing w:after="0" w:line="240" w:lineRule="auto"/>
        <w:rPr>
          <w:rFonts w:ascii="Arial" w:hAnsi="Arial" w:cs="Arial"/>
          <w:sz w:val="24"/>
          <w:szCs w:val="24"/>
        </w:rPr>
      </w:pPr>
      <w:r w:rsidRPr="00BF5D07">
        <w:rPr>
          <w:rFonts w:ascii="Arial" w:hAnsi="Arial" w:cs="Arial"/>
          <w:b/>
          <w:sz w:val="24"/>
          <w:szCs w:val="24"/>
        </w:rPr>
        <w:t>Yellow</w:t>
      </w:r>
      <w:r w:rsidRPr="00BF5D07">
        <w:rPr>
          <w:rFonts w:ascii="Arial" w:hAnsi="Arial" w:cs="Arial"/>
          <w:sz w:val="24"/>
          <w:szCs w:val="24"/>
        </w:rPr>
        <w:t>:</w:t>
      </w:r>
      <w:r w:rsidR="00BF5D07" w:rsidRPr="00BF5D07">
        <w:rPr>
          <w:rFonts w:ascii="Arial" w:hAnsi="Arial" w:cs="Arial"/>
          <w:sz w:val="24"/>
          <w:szCs w:val="24"/>
        </w:rPr>
        <w:t xml:space="preserve"> Increase of less than 8 % from Prev Year</w:t>
      </w:r>
    </w:p>
    <w:p w:rsidR="00BF5D07" w:rsidRDefault="00BF5D07" w:rsidP="0073133D">
      <w:pPr>
        <w:spacing w:after="0" w:line="240" w:lineRule="auto"/>
        <w:rPr>
          <w:rFonts w:ascii="Arial" w:hAnsi="Arial" w:cs="Arial"/>
          <w:sz w:val="24"/>
          <w:szCs w:val="24"/>
        </w:rPr>
      </w:pPr>
      <w:r w:rsidRPr="00BF5D07">
        <w:rPr>
          <w:rFonts w:ascii="Arial" w:hAnsi="Arial" w:cs="Arial"/>
          <w:b/>
          <w:sz w:val="24"/>
          <w:szCs w:val="24"/>
        </w:rPr>
        <w:t xml:space="preserve">Red </w:t>
      </w:r>
      <w:r w:rsidRPr="00BF5D07">
        <w:rPr>
          <w:rFonts w:ascii="Arial" w:hAnsi="Arial" w:cs="Arial"/>
          <w:sz w:val="24"/>
          <w:szCs w:val="24"/>
        </w:rPr>
        <w:t xml:space="preserve">    : Decrease in amount from Prev Year. </w:t>
      </w:r>
    </w:p>
    <w:p w:rsidR="002624AC" w:rsidRDefault="002624AC" w:rsidP="0073133D">
      <w:pPr>
        <w:spacing w:after="0" w:line="240" w:lineRule="auto"/>
        <w:rPr>
          <w:rFonts w:ascii="Arial" w:hAnsi="Arial" w:cs="Arial"/>
          <w:sz w:val="24"/>
          <w:szCs w:val="24"/>
        </w:rPr>
      </w:pPr>
    </w:p>
    <w:p w:rsidR="002624AC" w:rsidRPr="005C2C22" w:rsidRDefault="005C2C22" w:rsidP="005C2C22">
      <w:pPr>
        <w:spacing w:after="0" w:line="240" w:lineRule="auto"/>
        <w:jc w:val="center"/>
        <w:rPr>
          <w:rFonts w:ascii="Arial" w:hAnsi="Arial" w:cs="Arial"/>
          <w:b/>
          <w:sz w:val="24"/>
          <w:szCs w:val="24"/>
          <w:u w:val="single"/>
        </w:rPr>
      </w:pPr>
      <w:r w:rsidRPr="005C2C22">
        <w:rPr>
          <w:rFonts w:ascii="Arial" w:hAnsi="Arial" w:cs="Arial"/>
          <w:b/>
          <w:sz w:val="24"/>
          <w:szCs w:val="24"/>
          <w:u w:val="single"/>
        </w:rPr>
        <w:t>Sector-wise Allocation of Union Budget</w:t>
      </w:r>
    </w:p>
    <w:p w:rsidR="005C2C22" w:rsidRPr="005C2C22" w:rsidRDefault="005C2C22" w:rsidP="005C2C22">
      <w:pPr>
        <w:spacing w:after="0" w:line="240" w:lineRule="auto"/>
        <w:jc w:val="center"/>
        <w:rPr>
          <w:rFonts w:ascii="Arial" w:hAnsi="Arial" w:cs="Arial"/>
          <w:bCs/>
          <w:sz w:val="24"/>
          <w:szCs w:val="24"/>
        </w:rPr>
      </w:pPr>
    </w:p>
    <w:p w:rsidR="002624AC" w:rsidRDefault="005C2C22" w:rsidP="002624AC">
      <w:pPr>
        <w:rPr>
          <w:rFonts w:ascii="Arial" w:hAnsi="Arial" w:cs="Arial"/>
          <w:b/>
          <w:sz w:val="24"/>
          <w:u w:val="single"/>
        </w:rPr>
      </w:pPr>
      <w:bookmarkStart w:id="0" w:name="_GoBack"/>
      <w:r w:rsidRPr="006D3F39">
        <w:rPr>
          <w:rFonts w:ascii="Arial" w:hAnsi="Arial" w:cs="Arial"/>
          <w:b/>
          <w:noProof/>
          <w:sz w:val="24"/>
          <w:szCs w:val="24"/>
          <w:lang w:eastAsia="en-IN" w:bidi="hi-IN"/>
        </w:rPr>
        <w:drawing>
          <wp:inline distT="0" distB="0" distL="0" distR="0" wp14:anchorId="1AB43C8D" wp14:editId="0F83B0A9">
            <wp:extent cx="5731510" cy="351663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rsidR="005C2C22" w:rsidRDefault="005C2C22" w:rsidP="002624AC">
      <w:pPr>
        <w:rPr>
          <w:rFonts w:ascii="Arial" w:hAnsi="Arial" w:cs="Arial"/>
          <w:bCs/>
          <w:sz w:val="24"/>
        </w:rPr>
      </w:pPr>
    </w:p>
    <w:p w:rsidR="005C2C22" w:rsidRDefault="005C2C22" w:rsidP="002624AC">
      <w:pPr>
        <w:rPr>
          <w:rFonts w:ascii="Arial" w:hAnsi="Arial" w:cs="Arial"/>
          <w:bCs/>
          <w:sz w:val="24"/>
        </w:rPr>
      </w:pPr>
    </w:p>
    <w:p w:rsidR="002624AC" w:rsidRDefault="002624AC" w:rsidP="002624AC">
      <w:pPr>
        <w:rPr>
          <w:rFonts w:ascii="Arial" w:hAnsi="Arial" w:cs="Arial"/>
          <w:sz w:val="24"/>
        </w:rPr>
      </w:pPr>
      <w:r>
        <w:rPr>
          <w:rFonts w:ascii="Arial" w:hAnsi="Arial" w:cs="Arial"/>
          <w:bCs/>
          <w:sz w:val="24"/>
        </w:rPr>
        <w:t>2.</w:t>
      </w:r>
      <w:r>
        <w:rPr>
          <w:rFonts w:ascii="Arial" w:hAnsi="Arial" w:cs="Arial"/>
          <w:bCs/>
          <w:sz w:val="24"/>
        </w:rPr>
        <w:tab/>
      </w:r>
      <w:r w:rsidRPr="002624AC">
        <w:rPr>
          <w:rFonts w:ascii="Arial" w:hAnsi="Arial" w:cs="Arial"/>
          <w:b/>
          <w:sz w:val="24"/>
          <w:u w:val="single"/>
        </w:rPr>
        <w:t>Important Documents Related to Union  Budget</w:t>
      </w:r>
      <w:r w:rsidRPr="000617C8">
        <w:rPr>
          <w:rFonts w:ascii="Arial" w:hAnsi="Arial" w:cs="Arial"/>
          <w:b/>
          <w:sz w:val="24"/>
        </w:rPr>
        <w:t xml:space="preserve">. </w:t>
      </w:r>
      <w:r w:rsidRPr="00A16874">
        <w:rPr>
          <w:rFonts w:ascii="Arial" w:hAnsi="Arial" w:cs="Arial"/>
          <w:sz w:val="24"/>
        </w:rPr>
        <w:tab/>
      </w:r>
    </w:p>
    <w:p w:rsidR="002624AC" w:rsidRPr="002624AC" w:rsidRDefault="002624AC" w:rsidP="002624AC">
      <w:pPr>
        <w:ind w:firstLine="720"/>
        <w:rPr>
          <w:rFonts w:ascii="Arial" w:hAnsi="Arial" w:cs="Arial"/>
          <w:sz w:val="24"/>
        </w:rPr>
      </w:pPr>
      <w:r>
        <w:rPr>
          <w:rFonts w:ascii="Arial" w:hAnsi="Arial" w:cs="Arial"/>
          <w:sz w:val="24"/>
        </w:rPr>
        <w:t>(a)</w:t>
      </w:r>
      <w:r w:rsidRPr="00A16874">
        <w:rPr>
          <w:rFonts w:ascii="Arial" w:hAnsi="Arial" w:cs="Arial"/>
          <w:sz w:val="24"/>
        </w:rPr>
        <w:tab/>
      </w:r>
      <w:r w:rsidRPr="002624AC">
        <w:rPr>
          <w:rFonts w:ascii="Arial" w:hAnsi="Arial" w:cs="Arial"/>
          <w:b/>
          <w:sz w:val="24"/>
          <w:u w:val="single"/>
        </w:rPr>
        <w:t>Key Budget Documents</w:t>
      </w:r>
      <w:r>
        <w:rPr>
          <w:rFonts w:ascii="Arial" w:hAnsi="Arial" w:cs="Arial"/>
          <w:b/>
          <w:sz w:val="24"/>
        </w:rPr>
        <w:t>.</w:t>
      </w:r>
    </w:p>
    <w:p w:rsidR="002624AC" w:rsidRPr="00A16874" w:rsidRDefault="009930B1" w:rsidP="002624AC">
      <w:pPr>
        <w:ind w:left="720"/>
        <w:rPr>
          <w:rFonts w:ascii="Arial" w:hAnsi="Arial" w:cs="Arial"/>
          <w:sz w:val="24"/>
        </w:rPr>
      </w:pPr>
      <w:hyperlink r:id="rId7" w:history="1">
        <w:r w:rsidR="002624AC" w:rsidRPr="00A16874">
          <w:rPr>
            <w:rStyle w:val="Hyperlink"/>
            <w:rFonts w:ascii="Arial" w:hAnsi="Arial" w:cs="Arial"/>
            <w:sz w:val="24"/>
          </w:rPr>
          <w:t>https://www.indiabudget.gov.in/ub2018-19/keybud/keybud2018.pdf</w:t>
        </w:r>
      </w:hyperlink>
    </w:p>
    <w:p w:rsidR="002624AC" w:rsidRPr="002624AC" w:rsidRDefault="002624AC" w:rsidP="002624AC">
      <w:pPr>
        <w:ind w:firstLine="720"/>
        <w:rPr>
          <w:rFonts w:ascii="Arial" w:hAnsi="Arial" w:cs="Arial"/>
          <w:b/>
          <w:sz w:val="24"/>
        </w:rPr>
      </w:pPr>
      <w:r w:rsidRPr="002624AC">
        <w:rPr>
          <w:rFonts w:ascii="Arial" w:hAnsi="Arial" w:cs="Arial"/>
          <w:bCs/>
          <w:sz w:val="24"/>
        </w:rPr>
        <w:t>(b)</w:t>
      </w:r>
      <w:r>
        <w:rPr>
          <w:rFonts w:ascii="Arial" w:hAnsi="Arial" w:cs="Arial"/>
          <w:b/>
          <w:sz w:val="24"/>
        </w:rPr>
        <w:tab/>
      </w:r>
      <w:r w:rsidRPr="002624AC">
        <w:rPr>
          <w:rFonts w:ascii="Arial" w:hAnsi="Arial" w:cs="Arial"/>
          <w:b/>
          <w:sz w:val="24"/>
          <w:u w:val="single"/>
        </w:rPr>
        <w:t>Budget 2018-19 at a Glance</w:t>
      </w:r>
      <w:r>
        <w:rPr>
          <w:rFonts w:ascii="Arial" w:hAnsi="Arial" w:cs="Arial"/>
          <w:b/>
          <w:sz w:val="24"/>
        </w:rPr>
        <w:t>.</w:t>
      </w:r>
    </w:p>
    <w:p w:rsidR="002624AC" w:rsidRPr="00A16874" w:rsidRDefault="009930B1" w:rsidP="002624AC">
      <w:pPr>
        <w:ind w:firstLine="720"/>
        <w:rPr>
          <w:rFonts w:ascii="Arial" w:hAnsi="Arial" w:cs="Arial"/>
          <w:sz w:val="24"/>
        </w:rPr>
      </w:pPr>
      <w:hyperlink r:id="rId8" w:history="1">
        <w:r w:rsidR="002624AC" w:rsidRPr="00A16874">
          <w:rPr>
            <w:rStyle w:val="Hyperlink"/>
            <w:rFonts w:ascii="Arial" w:hAnsi="Arial" w:cs="Arial"/>
            <w:sz w:val="24"/>
          </w:rPr>
          <w:t>https://www.indiabudget.gov.in/ub2018-19/bag/bag1.pdf</w:t>
        </w:r>
      </w:hyperlink>
    </w:p>
    <w:p w:rsidR="002624AC" w:rsidRPr="002624AC" w:rsidRDefault="002624AC" w:rsidP="002624AC">
      <w:pPr>
        <w:ind w:firstLine="720"/>
        <w:rPr>
          <w:rFonts w:ascii="Arial" w:hAnsi="Arial" w:cs="Arial"/>
          <w:b/>
          <w:sz w:val="24"/>
          <w:u w:val="single"/>
        </w:rPr>
      </w:pPr>
      <w:r w:rsidRPr="002624AC">
        <w:rPr>
          <w:rFonts w:ascii="Arial" w:hAnsi="Arial" w:cs="Arial"/>
          <w:bCs/>
          <w:sz w:val="24"/>
        </w:rPr>
        <w:t>(c)</w:t>
      </w:r>
      <w:r>
        <w:rPr>
          <w:rFonts w:ascii="Arial" w:hAnsi="Arial" w:cs="Arial"/>
          <w:b/>
          <w:sz w:val="24"/>
        </w:rPr>
        <w:tab/>
      </w:r>
      <w:r w:rsidRPr="002624AC">
        <w:rPr>
          <w:rFonts w:ascii="Arial" w:hAnsi="Arial" w:cs="Arial"/>
          <w:b/>
          <w:sz w:val="24"/>
          <w:u w:val="single"/>
        </w:rPr>
        <w:t>Expenditure of Government of India</w:t>
      </w:r>
    </w:p>
    <w:p w:rsidR="002624AC" w:rsidRDefault="009930B1" w:rsidP="002624AC">
      <w:pPr>
        <w:ind w:firstLine="720"/>
      </w:pPr>
      <w:hyperlink r:id="rId9" w:history="1">
        <w:r w:rsidR="002624AC" w:rsidRPr="00CE1A9C">
          <w:rPr>
            <w:rStyle w:val="Hyperlink"/>
            <w:rFonts w:ascii="Arial" w:hAnsi="Arial" w:cs="Arial"/>
            <w:sz w:val="24"/>
          </w:rPr>
          <w:t>https://www.indiabudget.gov.in/ub2018-19/bag/bag6.pdf</w:t>
        </w:r>
      </w:hyperlink>
    </w:p>
    <w:p w:rsidR="002624AC" w:rsidRPr="00BF5D07" w:rsidRDefault="002624AC" w:rsidP="0073133D">
      <w:pPr>
        <w:spacing w:after="0" w:line="240" w:lineRule="auto"/>
        <w:rPr>
          <w:rFonts w:ascii="Arial" w:hAnsi="Arial" w:cs="Arial"/>
          <w:sz w:val="24"/>
          <w:szCs w:val="24"/>
        </w:rPr>
      </w:pPr>
    </w:p>
    <w:p w:rsidR="00A16874" w:rsidRPr="00A16874" w:rsidRDefault="00A16874">
      <w:pPr>
        <w:rPr>
          <w:rFonts w:ascii="Arial" w:hAnsi="Arial" w:cs="Arial"/>
          <w:sz w:val="24"/>
        </w:rPr>
      </w:pPr>
    </w:p>
    <w:sectPr w:rsidR="00A16874" w:rsidRPr="00A16874" w:rsidSect="005C2C22">
      <w:headerReference w:type="default" r:id="rId10"/>
      <w:pgSz w:w="11906" w:h="16838"/>
      <w:pgMar w:top="993" w:right="1440" w:bottom="1135"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0B1" w:rsidRDefault="009930B1" w:rsidP="00325380">
      <w:pPr>
        <w:spacing w:after="0" w:line="240" w:lineRule="auto"/>
      </w:pPr>
      <w:r>
        <w:separator/>
      </w:r>
    </w:p>
  </w:endnote>
  <w:endnote w:type="continuationSeparator" w:id="0">
    <w:p w:rsidR="009930B1" w:rsidRDefault="009930B1" w:rsidP="0032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0B1" w:rsidRDefault="009930B1" w:rsidP="00325380">
      <w:pPr>
        <w:spacing w:after="0" w:line="240" w:lineRule="auto"/>
      </w:pPr>
      <w:r>
        <w:separator/>
      </w:r>
    </w:p>
  </w:footnote>
  <w:footnote w:type="continuationSeparator" w:id="0">
    <w:p w:rsidR="009930B1" w:rsidRDefault="009930B1" w:rsidP="00325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0731891"/>
      <w:docPartObj>
        <w:docPartGallery w:val="Page Numbers (Top of Page)"/>
        <w:docPartUnique/>
      </w:docPartObj>
    </w:sdtPr>
    <w:sdtEndPr>
      <w:rPr>
        <w:noProof/>
      </w:rPr>
    </w:sdtEndPr>
    <w:sdtContent>
      <w:p w:rsidR="00325380" w:rsidRDefault="00325380">
        <w:pPr>
          <w:pStyle w:val="Header"/>
          <w:jc w:val="center"/>
        </w:pPr>
        <w:r>
          <w:fldChar w:fldCharType="begin"/>
        </w:r>
        <w:r>
          <w:instrText xml:space="preserve"> PAGE   \* MERGEFORMAT </w:instrText>
        </w:r>
        <w:r>
          <w:fldChar w:fldCharType="separate"/>
        </w:r>
        <w:r w:rsidR="005C2C22">
          <w:rPr>
            <w:noProof/>
          </w:rPr>
          <w:t>2</w:t>
        </w:r>
        <w:r>
          <w:rPr>
            <w:noProof/>
          </w:rPr>
          <w:fldChar w:fldCharType="end"/>
        </w:r>
      </w:p>
    </w:sdtContent>
  </w:sdt>
  <w:p w:rsidR="00325380" w:rsidRDefault="003253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C14D8"/>
    <w:rsid w:val="0000360A"/>
    <w:rsid w:val="000617C8"/>
    <w:rsid w:val="00153948"/>
    <w:rsid w:val="001C4BF6"/>
    <w:rsid w:val="00216532"/>
    <w:rsid w:val="002624AC"/>
    <w:rsid w:val="00325380"/>
    <w:rsid w:val="00465A34"/>
    <w:rsid w:val="004730B2"/>
    <w:rsid w:val="00573A8A"/>
    <w:rsid w:val="00573E55"/>
    <w:rsid w:val="005C2C22"/>
    <w:rsid w:val="00600024"/>
    <w:rsid w:val="00657E1F"/>
    <w:rsid w:val="006B146E"/>
    <w:rsid w:val="006D3F39"/>
    <w:rsid w:val="0073133D"/>
    <w:rsid w:val="00794145"/>
    <w:rsid w:val="0081650E"/>
    <w:rsid w:val="008450C6"/>
    <w:rsid w:val="00885D07"/>
    <w:rsid w:val="009930B1"/>
    <w:rsid w:val="00993917"/>
    <w:rsid w:val="009D6FAA"/>
    <w:rsid w:val="00A16874"/>
    <w:rsid w:val="00A26D52"/>
    <w:rsid w:val="00A76999"/>
    <w:rsid w:val="00B10E8A"/>
    <w:rsid w:val="00B25329"/>
    <w:rsid w:val="00BA3816"/>
    <w:rsid w:val="00BF5D07"/>
    <w:rsid w:val="00C909BD"/>
    <w:rsid w:val="00CC14D8"/>
    <w:rsid w:val="00D07B26"/>
    <w:rsid w:val="00D459A5"/>
    <w:rsid w:val="00D55C22"/>
    <w:rsid w:val="00D65118"/>
    <w:rsid w:val="00D84A65"/>
    <w:rsid w:val="00E02F4A"/>
    <w:rsid w:val="00E373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EB60"/>
  <w15:docId w15:val="{948F3F65-DB9E-4748-A31B-A5E4506A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4D8"/>
    <w:pPr>
      <w:ind w:left="720"/>
      <w:contextualSpacing/>
    </w:pPr>
  </w:style>
  <w:style w:type="character" w:styleId="Hyperlink">
    <w:name w:val="Hyperlink"/>
    <w:basedOn w:val="DefaultParagraphFont"/>
    <w:uiPriority w:val="99"/>
    <w:unhideWhenUsed/>
    <w:rsid w:val="00A16874"/>
    <w:rPr>
      <w:color w:val="0000FF" w:themeColor="hyperlink"/>
      <w:u w:val="single"/>
    </w:rPr>
  </w:style>
  <w:style w:type="paragraph" w:styleId="BalloonText">
    <w:name w:val="Balloon Text"/>
    <w:basedOn w:val="Normal"/>
    <w:link w:val="BalloonTextChar"/>
    <w:uiPriority w:val="99"/>
    <w:semiHidden/>
    <w:unhideWhenUsed/>
    <w:rsid w:val="00A26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D52"/>
    <w:rPr>
      <w:rFonts w:ascii="Tahoma" w:hAnsi="Tahoma" w:cs="Tahoma"/>
      <w:sz w:val="16"/>
      <w:szCs w:val="16"/>
    </w:rPr>
  </w:style>
  <w:style w:type="character" w:styleId="FollowedHyperlink">
    <w:name w:val="FollowedHyperlink"/>
    <w:basedOn w:val="DefaultParagraphFont"/>
    <w:uiPriority w:val="99"/>
    <w:semiHidden/>
    <w:unhideWhenUsed/>
    <w:rsid w:val="006B146E"/>
    <w:rPr>
      <w:color w:val="800080" w:themeColor="followedHyperlink"/>
      <w:u w:val="single"/>
    </w:rPr>
  </w:style>
  <w:style w:type="paragraph" w:styleId="Header">
    <w:name w:val="header"/>
    <w:basedOn w:val="Normal"/>
    <w:link w:val="HeaderChar"/>
    <w:uiPriority w:val="99"/>
    <w:unhideWhenUsed/>
    <w:rsid w:val="00325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80"/>
  </w:style>
  <w:style w:type="paragraph" w:styleId="Footer">
    <w:name w:val="footer"/>
    <w:basedOn w:val="Normal"/>
    <w:link w:val="FooterChar"/>
    <w:uiPriority w:val="99"/>
    <w:unhideWhenUsed/>
    <w:rsid w:val="00325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5152">
      <w:bodyDiv w:val="1"/>
      <w:marLeft w:val="0"/>
      <w:marRight w:val="0"/>
      <w:marTop w:val="0"/>
      <w:marBottom w:val="0"/>
      <w:divBdr>
        <w:top w:val="none" w:sz="0" w:space="0" w:color="auto"/>
        <w:left w:val="none" w:sz="0" w:space="0" w:color="auto"/>
        <w:bottom w:val="none" w:sz="0" w:space="0" w:color="auto"/>
        <w:right w:val="none" w:sz="0" w:space="0" w:color="auto"/>
      </w:divBdr>
    </w:div>
    <w:div w:id="1002440284">
      <w:bodyDiv w:val="1"/>
      <w:marLeft w:val="0"/>
      <w:marRight w:val="0"/>
      <w:marTop w:val="0"/>
      <w:marBottom w:val="0"/>
      <w:divBdr>
        <w:top w:val="none" w:sz="0" w:space="0" w:color="auto"/>
        <w:left w:val="none" w:sz="0" w:space="0" w:color="auto"/>
        <w:bottom w:val="none" w:sz="0" w:space="0" w:color="auto"/>
        <w:right w:val="none" w:sz="0" w:space="0" w:color="auto"/>
      </w:divBdr>
    </w:div>
    <w:div w:id="120169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abudget.gov.in/ub2018-19/bag/bag1.pdf" TargetMode="External"/><Relationship Id="rId3" Type="http://schemas.openxmlformats.org/officeDocument/2006/relationships/webSettings" Target="webSettings.xml"/><Relationship Id="rId7" Type="http://schemas.openxmlformats.org/officeDocument/2006/relationships/hyperlink" Target="https://www.indiabudget.gov.in/ub2018-19/keybud/keybud2018.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indiabudget.gov.in/ub2018-19/bag/bag6.pdf"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1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5406158469321818E-2"/>
          <c:y val="7.2753024472013109E-2"/>
          <c:w val="0.92459384153067825"/>
          <c:h val="0.73971753056186462"/>
        </c:manualLayout>
      </c:layout>
      <c:pie3DChart>
        <c:varyColors val="1"/>
        <c:ser>
          <c:idx val="0"/>
          <c:order val="0"/>
          <c:explosion val="46"/>
          <c:dPt>
            <c:idx val="0"/>
            <c:bubble3D val="0"/>
            <c:spPr>
              <a:solidFill>
                <a:srgbClr val="FFC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1-B3AA-49B6-8477-8B25B24C626E}"/>
              </c:ext>
            </c:extLst>
          </c:dPt>
          <c:dPt>
            <c:idx val="1"/>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3-B3AA-49B6-8477-8B25B24C626E}"/>
              </c:ext>
            </c:extLst>
          </c:dPt>
          <c:dPt>
            <c:idx val="2"/>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05-B3AA-49B6-8477-8B25B24C626E}"/>
              </c:ext>
            </c:extLst>
          </c:dPt>
          <c:dPt>
            <c:idx val="3"/>
            <c:bubble3D val="0"/>
            <c:spPr>
              <a:solidFill>
                <a:schemeClr val="bg2">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7-B3AA-49B6-8477-8B25B24C626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3AA-49B6-8477-8B25B24C626E}"/>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B3AA-49B6-8477-8B25B24C626E}"/>
              </c:ext>
            </c:extLst>
          </c:dPt>
          <c:dPt>
            <c:idx val="6"/>
            <c:bubble3D val="0"/>
            <c:spPr>
              <a:solidFill>
                <a:schemeClr val="accent1">
                  <a:lumMod val="5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B3AA-49B6-8477-8B25B24C626E}"/>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B3AA-49B6-8477-8B25B24C626E}"/>
              </c:ext>
            </c:extLst>
          </c:dPt>
          <c:dPt>
            <c:idx val="8"/>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11-B3AA-49B6-8477-8B25B24C626E}"/>
              </c:ext>
            </c:extLst>
          </c:dPt>
          <c:dPt>
            <c:idx val="9"/>
            <c:bubble3D val="0"/>
            <c:spPr>
              <a:solidFill>
                <a:schemeClr val="tx1">
                  <a:lumMod val="9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3-B3AA-49B6-8477-8B25B24C626E}"/>
              </c:ext>
            </c:extLst>
          </c:dPt>
          <c:dPt>
            <c:idx val="10"/>
            <c:bubble3D val="0"/>
            <c:spPr>
              <a:solidFill>
                <a:srgbClr val="C0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15-B3AA-49B6-8477-8B25B24C626E}"/>
              </c:ext>
            </c:extLst>
          </c:dPt>
          <c:dPt>
            <c:idx val="11"/>
            <c:bubble3D val="0"/>
            <c:spPr>
              <a:solidFill>
                <a:srgbClr val="7030A0"/>
              </a:solidFill>
              <a:ln w="25400">
                <a:solidFill>
                  <a:schemeClr val="lt1"/>
                </a:solidFill>
              </a:ln>
              <a:effectLst/>
              <a:sp3d contourW="25400">
                <a:contourClr>
                  <a:schemeClr val="lt1"/>
                </a:contourClr>
              </a:sp3d>
            </c:spPr>
            <c:extLst>
              <c:ext xmlns:c16="http://schemas.microsoft.com/office/drawing/2014/chart" uri="{C3380CC4-5D6E-409C-BE32-E72D297353CC}">
                <c16:uniqueId val="{00000017-B3AA-49B6-8477-8B25B24C626E}"/>
              </c:ext>
            </c:extLst>
          </c:dPt>
          <c:dLbls>
            <c:dLbl>
              <c:idx val="0"/>
              <c:layout>
                <c:manualLayout>
                  <c:x val="-7.6279124120676861E-2"/>
                  <c:y val="4.5810205792429989E-3"/>
                </c:manualLayout>
              </c:layout>
              <c:tx>
                <c:rich>
                  <a:bodyPr/>
                  <a:lstStyle/>
                  <a:p>
                    <a:r>
                      <a:rPr lang="en-US" sz="1000"/>
                      <a:t>Capital Outlay Excl </a:t>
                    </a:r>
                    <a:r>
                      <a:rPr lang="en-US" sz="1000" smtClean="0"/>
                      <a:t>Defence</a:t>
                    </a:r>
                    <a:r>
                      <a:rPr lang="en-US" sz="1000"/>
                      <a:t>
7%</a:t>
                    </a:r>
                  </a:p>
                </c:rich>
              </c:tx>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B3AA-49B6-8477-8B25B24C626E}"/>
                </c:ext>
              </c:extLst>
            </c:dLbl>
            <c:dLbl>
              <c:idx val="1"/>
              <c:layout>
                <c:manualLayout>
                  <c:x val="5.09434187764815E-4"/>
                  <c:y val="-0.10565961646397162"/>
                </c:manualLayout>
              </c:layout>
              <c:tx>
                <c:rich>
                  <a:bodyPr/>
                  <a:lstStyle/>
                  <a:p>
                    <a:r>
                      <a:rPr lang="en-US" sz="1000"/>
                      <a:t>Grants / Loans to </a:t>
                    </a:r>
                    <a:r>
                      <a:rPr lang="en-US" sz="1000" smtClean="0"/>
                      <a:t>States - 17</a:t>
                    </a:r>
                    <a:r>
                      <a:rPr lang="en-US" sz="1000"/>
                      <a:t>%</a:t>
                    </a:r>
                  </a:p>
                </c:rich>
              </c:tx>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B3AA-49B6-8477-8B25B24C626E}"/>
                </c:ext>
              </c:extLst>
            </c:dLbl>
            <c:dLbl>
              <c:idx val="2"/>
              <c:layout>
                <c:manualLayout>
                  <c:x val="-6.6138799817982583E-2"/>
                  <c:y val="-0.11849765610458865"/>
                </c:manualLayout>
              </c:layout>
              <c:tx>
                <c:rich>
                  <a:bodyPr/>
                  <a:lstStyle/>
                  <a:p>
                    <a:r>
                      <a:rPr lang="en-US" sz="1000" smtClean="0"/>
                      <a:t>Pensions</a:t>
                    </a:r>
                    <a:r>
                      <a:rPr lang="en-US" sz="1000"/>
                      <a:t>
7%</a:t>
                    </a:r>
                  </a:p>
                </c:rich>
              </c:tx>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B3AA-49B6-8477-8B25B24C626E}"/>
                </c:ext>
              </c:extLst>
            </c:dLbl>
            <c:dLbl>
              <c:idx val="3"/>
              <c:layout>
                <c:manualLayout>
                  <c:x val="3.8331229272939456E-3"/>
                  <c:y val="-5.3393418047345542E-2"/>
                </c:manualLayout>
              </c:layout>
              <c:tx>
                <c:rich>
                  <a:bodyPr/>
                  <a:lstStyle/>
                  <a:p>
                    <a:r>
                      <a:rPr lang="en-US" sz="1000"/>
                      <a:t>Police
</a:t>
                    </a:r>
                    <a:r>
                      <a:rPr lang="en-US" sz="1000" smtClean="0"/>
                      <a:t>3</a:t>
                    </a:r>
                    <a:r>
                      <a:rPr lang="en-US" sz="1000"/>
                      <a:t>%</a:t>
                    </a:r>
                  </a:p>
                </c:rich>
              </c:tx>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B3AA-49B6-8477-8B25B24C626E}"/>
                </c:ext>
              </c:extLst>
            </c:dLbl>
            <c:dLbl>
              <c:idx val="4"/>
              <c:tx>
                <c:rich>
                  <a:bodyPr/>
                  <a:lstStyle/>
                  <a:p>
                    <a:r>
                      <a:rPr lang="en-US" sz="1000"/>
                      <a:t>Education
</a:t>
                    </a:r>
                    <a:r>
                      <a:rPr lang="en-US" sz="1000" smtClean="0"/>
                      <a:t>2</a:t>
                    </a:r>
                    <a:r>
                      <a:rPr lang="en-US" sz="1000"/>
                      <a:t>%</a:t>
                    </a:r>
                  </a:p>
                </c:rich>
              </c:tx>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B3AA-49B6-8477-8B25B24C626E}"/>
                </c:ext>
              </c:extLst>
            </c:dLbl>
            <c:dLbl>
              <c:idx val="5"/>
              <c:tx>
                <c:rich>
                  <a:bodyPr/>
                  <a:lstStyle/>
                  <a:p>
                    <a:r>
                      <a:rPr lang="en-US" sz="1000"/>
                      <a:t>Health and Family Welfare
</a:t>
                    </a:r>
                    <a:r>
                      <a:rPr lang="en-US" sz="1000" smtClean="0"/>
                      <a:t>1</a:t>
                    </a:r>
                    <a:r>
                      <a:rPr lang="en-US" sz="1000"/>
                      <a:t>%</a:t>
                    </a:r>
                  </a:p>
                </c:rich>
              </c:tx>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B-B3AA-49B6-8477-8B25B24C626E}"/>
                </c:ext>
              </c:extLst>
            </c:dLbl>
            <c:dLbl>
              <c:idx val="6"/>
              <c:layout>
                <c:manualLayout>
                  <c:x val="-1.7849222979633639E-2"/>
                  <c:y val="3.8949882459927358E-2"/>
                </c:manualLayout>
              </c:layout>
              <c:tx>
                <c:rich>
                  <a:bodyPr rot="0" spcFirstLastPara="1" vertOverflow="ellipsis" vert="horz" wrap="square" lIns="38100" tIns="19050" rIns="38100" bIns="19050" anchor="ctr" anchorCtr="1">
                    <a:spAutoFit/>
                  </a:bodyPr>
                  <a:lstStyle/>
                  <a:p>
                    <a:pPr>
                      <a:defRPr lang="en-US" sz="1000" b="1" i="0" u="none" strike="noStrike" kern="1200" baseline="0">
                        <a:solidFill>
                          <a:schemeClr val="bg1"/>
                        </a:solidFill>
                        <a:latin typeface="Arial" panose="020B0604020202020204" pitchFamily="34" charset="0"/>
                        <a:ea typeface="+mn-ea"/>
                        <a:cs typeface="Arial" panose="020B0604020202020204" pitchFamily="34" charset="0"/>
                      </a:defRPr>
                    </a:pPr>
                    <a:r>
                      <a:rPr lang="en-US" sz="1000">
                        <a:solidFill>
                          <a:sysClr val="windowText" lastClr="000000"/>
                        </a:solidFill>
                      </a:rPr>
                      <a:t>Food 
7%</a:t>
                    </a:r>
                  </a:p>
                </c:rich>
              </c:tx>
              <c:spPr>
                <a:noFill/>
                <a:ln>
                  <a:noFill/>
                </a:ln>
                <a:effectLst/>
              </c:spPr>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D-B3AA-49B6-8477-8B25B24C626E}"/>
                </c:ext>
              </c:extLst>
            </c:dLbl>
            <c:dLbl>
              <c:idx val="7"/>
              <c:tx>
                <c:rich>
                  <a:bodyPr/>
                  <a:lstStyle/>
                  <a:p>
                    <a:r>
                      <a:rPr lang="en-US" sz="1000" baseline="0">
                        <a:solidFill>
                          <a:schemeClr val="tx1"/>
                        </a:solidFill>
                      </a:rPr>
                      <a:t>Misc
</a:t>
                    </a:r>
                    <a:r>
                      <a:rPr lang="en-US" sz="1000" baseline="0" smtClean="0">
                        <a:solidFill>
                          <a:schemeClr val="tx1"/>
                        </a:solidFill>
                      </a:rPr>
                      <a:t>0.4%</a:t>
                    </a:r>
                  </a:p>
                </c:rich>
              </c:tx>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F-B3AA-49B6-8477-8B25B24C626E}"/>
                </c:ext>
              </c:extLst>
            </c:dLbl>
            <c:dLbl>
              <c:idx val="8"/>
              <c:tx>
                <c:rich>
                  <a:bodyPr/>
                  <a:lstStyle/>
                  <a:p>
                    <a:r>
                      <a:rPr lang="en-US" sz="1000"/>
                      <a:t>Defence
</a:t>
                    </a:r>
                    <a:r>
                      <a:rPr lang="en-US" sz="1000" smtClean="0"/>
                      <a:t>12</a:t>
                    </a:r>
                    <a:r>
                      <a:rPr lang="en-US" sz="1000"/>
                      <a:t>%</a:t>
                    </a:r>
                  </a:p>
                </c:rich>
              </c:tx>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11-B3AA-49B6-8477-8B25B24C626E}"/>
                </c:ext>
              </c:extLst>
            </c:dLbl>
            <c:dLbl>
              <c:idx val="9"/>
              <c:tx>
                <c:rich>
                  <a:bodyPr/>
                  <a:lstStyle/>
                  <a:p>
                    <a:r>
                      <a:rPr lang="en-US" sz="1000"/>
                      <a:t>Other </a:t>
                    </a:r>
                    <a:r>
                      <a:rPr lang="en-US" sz="1000" smtClean="0"/>
                      <a:t>Subsidies</a:t>
                    </a:r>
                    <a:r>
                      <a:rPr lang="en-US" sz="1000"/>
                      <a:t>
5%</a:t>
                    </a:r>
                  </a:p>
                </c:rich>
              </c:tx>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13-B3AA-49B6-8477-8B25B24C626E}"/>
                </c:ext>
              </c:extLst>
            </c:dLbl>
            <c:dLbl>
              <c:idx val="10"/>
              <c:layout>
                <c:manualLayout>
                  <c:x val="3.0919064203647078E-2"/>
                  <c:y val="-0.12908720820341738"/>
                </c:manualLayout>
              </c:layout>
              <c:tx>
                <c:rich>
                  <a:bodyPr/>
                  <a:lstStyle/>
                  <a:p>
                    <a:r>
                      <a:rPr lang="en-US" sz="1000" smtClean="0"/>
                      <a:t>Interest Payment</a:t>
                    </a:r>
                    <a:r>
                      <a:rPr lang="en-US" sz="1000"/>
                      <a:t>
24%</a:t>
                    </a:r>
                  </a:p>
                </c:rich>
              </c:tx>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15-B3AA-49B6-8477-8B25B24C626E}"/>
                </c:ext>
              </c:extLst>
            </c:dLbl>
            <c:dLbl>
              <c:idx val="11"/>
              <c:layout>
                <c:manualLayout>
                  <c:x val="-7.3188213661578558E-2"/>
                  <c:y val="1.7751454744566658E-2"/>
                </c:manualLayout>
              </c:layout>
              <c:tx>
                <c:rich>
                  <a:bodyPr/>
                  <a:lstStyle/>
                  <a:p>
                    <a:r>
                      <a:rPr lang="en-US" sz="1000"/>
                      <a:t>Others
</a:t>
                    </a:r>
                    <a:r>
                      <a:rPr lang="en-US" sz="1000" smtClean="0"/>
                      <a:t>15</a:t>
                    </a:r>
                    <a:r>
                      <a:rPr lang="en-US" sz="1000"/>
                      <a:t>%</a:t>
                    </a:r>
                  </a:p>
                </c:rich>
              </c:tx>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17-B3AA-49B6-8477-8B25B24C626E}"/>
                </c:ext>
              </c:extLst>
            </c:dLbl>
            <c:spPr>
              <a:noFill/>
              <a:ln>
                <a:noFill/>
              </a:ln>
              <a:effectLst/>
            </c:spPr>
            <c:txPr>
              <a:bodyPr rot="0" spcFirstLastPara="1" vertOverflow="ellipsis" vert="horz" wrap="square" lIns="38100" tIns="19050" rIns="38100" bIns="19050" anchor="ctr" anchorCtr="1">
                <a:spAutoFit/>
              </a:bodyPr>
              <a:lstStyle/>
              <a:p>
                <a:pPr>
                  <a:defRPr lang="en-US"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bestFit"/>
            <c:showLegendKey val="0"/>
            <c:showVal val="1"/>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Sheet1!$C$5:$C$16</c:f>
              <c:strCache>
                <c:ptCount val="12"/>
                <c:pt idx="0">
                  <c:v>Capital Outlay Excluding Defence</c:v>
                </c:pt>
                <c:pt idx="1">
                  <c:v>Grants and Loans to States</c:v>
                </c:pt>
                <c:pt idx="2">
                  <c:v>Pensions</c:v>
                </c:pt>
                <c:pt idx="3">
                  <c:v>Police</c:v>
                </c:pt>
                <c:pt idx="4">
                  <c:v>Education</c:v>
                </c:pt>
                <c:pt idx="5">
                  <c:v>Health and Family Welfare</c:v>
                </c:pt>
                <c:pt idx="6">
                  <c:v>Food Subsidy</c:v>
                </c:pt>
                <c:pt idx="7">
                  <c:v>Grants and Loans to UT Govt</c:v>
                </c:pt>
                <c:pt idx="8">
                  <c:v>Defence</c:v>
                </c:pt>
                <c:pt idx="9">
                  <c:v>Other Subsidies</c:v>
                </c:pt>
                <c:pt idx="10">
                  <c:v>Interest Payment</c:v>
                </c:pt>
                <c:pt idx="11">
                  <c:v>Others</c:v>
                </c:pt>
              </c:strCache>
            </c:strRef>
          </c:cat>
          <c:val>
            <c:numRef>
              <c:f>Sheet1!$D$5:$D$16</c:f>
              <c:numCache>
                <c:formatCode>#,##0.00</c:formatCode>
                <c:ptCount val="12"/>
                <c:pt idx="0">
                  <c:v>184681</c:v>
                </c:pt>
                <c:pt idx="1">
                  <c:v>420133</c:v>
                </c:pt>
                <c:pt idx="2">
                  <c:v>168466</c:v>
                </c:pt>
                <c:pt idx="3">
                  <c:v>74866</c:v>
                </c:pt>
                <c:pt idx="4">
                  <c:v>40612</c:v>
                </c:pt>
                <c:pt idx="5">
                  <c:v>19163</c:v>
                </c:pt>
                <c:pt idx="6">
                  <c:v>169323</c:v>
                </c:pt>
                <c:pt idx="7">
                  <c:v>6500</c:v>
                </c:pt>
                <c:pt idx="8">
                  <c:v>282733</c:v>
                </c:pt>
                <c:pt idx="9">
                  <c:v>123502</c:v>
                </c:pt>
                <c:pt idx="10">
                  <c:v>575795</c:v>
                </c:pt>
                <c:pt idx="11">
                  <c:v>376439</c:v>
                </c:pt>
              </c:numCache>
            </c:numRef>
          </c:val>
          <c:extLst>
            <c:ext xmlns:c16="http://schemas.microsoft.com/office/drawing/2014/chart" uri="{C3380CC4-5D6E-409C-BE32-E72D297353CC}">
              <c16:uniqueId val="{00000018-B3AA-49B6-8477-8B25B24C626E}"/>
            </c:ext>
          </c:extLst>
        </c:ser>
        <c:dLbls>
          <c:showLegendKey val="0"/>
          <c:showVal val="1"/>
          <c:showCatName val="0"/>
          <c:showSerName val="0"/>
          <c:showPercent val="0"/>
          <c:showBubbleSize val="0"/>
          <c:showLeaderLines val="1"/>
        </c:dLbls>
      </c:pie3DChart>
      <c:spPr>
        <a:noFill/>
        <a:ln>
          <a:noFill/>
        </a:ln>
        <a:effectLst/>
      </c:spPr>
    </c:plotArea>
    <c:plotVisOnly val="1"/>
    <c:dispBlanksAs val="zero"/>
    <c:showDLblsOverMax val="0"/>
  </c:chart>
  <c:spPr>
    <a:solidFill>
      <a:schemeClr val="bg2">
        <a:lumMod val="40000"/>
        <a:lumOff val="60000"/>
      </a:schemeClr>
    </a:solidFill>
    <a:ln>
      <a:noFill/>
    </a:ln>
    <a:effectLst>
      <a:softEdge rad="63500"/>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jd_acqn1</cp:lastModifiedBy>
  <cp:revision>16</cp:revision>
  <cp:lastPrinted>2018-05-30T04:59:00Z</cp:lastPrinted>
  <dcterms:created xsi:type="dcterms:W3CDTF">2018-05-28T08:00:00Z</dcterms:created>
  <dcterms:modified xsi:type="dcterms:W3CDTF">2018-05-30T09:19:00Z</dcterms:modified>
</cp:coreProperties>
</file>