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vanish w:val="0"/>
              </w:rPr>
            </w:pPr>
            <w:r>
              <w:rPr>
                <w:b/>
                <w:i w:val="0"/>
                <w:sz w:val="36"/>
              </w:rPr>
              <w:t xml:space="preserve">Amresh Gulati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Bageshwar, Uttarakhand , Noida , Uttar Pradesh , India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amreshgulati@javadoq.com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Carrier Objective</w:t>
            </w:r>
          </w:p>
        </w:tc>
      </w:tr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Looking for an opportunity to utilise my acquired skills and training to help the company and my future peers grow. I want my efforts to make a considerable difference to the company and help in their consequent success.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000"/>
        <w:gridCol w:w="3514"/>
      </w:tblGrid>
      <w:tr>
        <w:trPr>
          <w:jc w:val="left"/>
          <w:divId w:val="4"/>
        </w:trPr>
        <w:tc>
          <w:tcPr>
            <w:tcW w:type="auto" w:w="5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Key Skills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MARKETING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SALES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DIGITAL MARKETING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5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Professional Experience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Mymind Infotech pvt Ltd. , | Jun, 2018 – Present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Marketing Executive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i am working as a marketing executive and digital marketing executive 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kotak mahindra bank, | Jan, 2017 – 2018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Assistant Acquisition Manager - SA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Revenue Generation, Customer Acquisition, Customer Retention, Cost Efficiency Through Process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6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Education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Amity noida</w:t>
            </w:r>
            <w:r>
              <w:rPr/>
              <w:t xml:space="preserve"> | 2018 | 73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M.Tech 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VITS</w:t>
            </w:r>
            <w:r>
              <w:rPr/>
              <w:t xml:space="preserve"> | 2016 | 78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BBA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7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Personal Details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DOB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1992-02-05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Address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Bageshwar, Uttarakhand , Noida , Uttar Pradesh , India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Gender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Male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Mobile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8802680333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Email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amreshgulati@javadoq.com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Marital Status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Single </w:t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pPr>
      <w:keepNext/>
      <w:shd w:val="clear" w:color="auto" w:fill="auto"/>
      <w:spacing w:before="240" w:after="60"/>
      <w:jc w:val="center"/>
      <w:outlineLvl w:val="1"/>
    </w:pPr>
    <w:rPr>
      <w:rFonts w:ascii="Arial" w:hAnsi="Arial" w:cs="Arial"/>
      <w:b/>
      <w:bCs/>
      <w:i w:val="0"/>
      <w:iCs/>
      <w:sz w:val="36"/>
      <w:szCs w:val="28"/>
    </w:rPr>
  </w:style>
  <w:style w:type="paragraph" w:styleId="Normal(Web)">
    <w:name w:val="Normal (Web)"/>
    <w:basedOn w:val="Normal"/>
    <w:rPr>
      <w:sz w:val="24"/>
    </w:rPr>
  </w:style>
  <w:style w:type="paragraph" w:styleId="Heading4">
    <w:name w:val="Heading 4"/>
    <w:basedOn w:val="Normal"/>
    <w:pPr>
      <w:keepNext/>
      <w:shd w:val="clear" w:color="auto" w:fill="auto"/>
      <w:spacing w:before="240" w:after="60"/>
      <w:outlineLvl w:val="3"/>
    </w:pPr>
    <w:rPr>
      <w:b/>
      <w:bCs/>
      <w:i w:val="0"/>
      <w:sz w:val="24"/>
      <w:szCs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2020-10-06T17:26:44Z</dcterms:created>
  <dcterms:modified xsi:type="dcterms:W3CDTF">2020-10-06T17:26:44Z</dcterms:modified>
</cp:coreProperties>
</file>