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Why My Agent's Hindsight Memory Isn't a Chat Log</w:t>
      </w:r>
    </w:p>
    <w:p>
      <w:pPr>
        <w:spacing w:after="320"/>
      </w:pPr>
      <w:r>
        <w:rPr>
          <w:rFonts w:ascii="Georgia" w:cs="Georgia" w:eastAsia="Georgia" w:hAnsi="Georgia"/>
          <w:i/>
          <w:iCs/>
          <w:color w:val="4B5563"/>
          <w:sz w:val="28"/>
          <w:szCs w:val="28"/>
        </w:rPr>
        <w:t xml:space="preserve">What TOM retains, what it recalls, and how one stored correction turns into a different file plan</w:t>
      </w:r>
    </w:p>
    <w:p>
      <w:pPr>
        <w:spacing w:after="200" w:line="328"/>
      </w:pPr>
      <w:r>
        <w:t xml:space="preserve">My agent filed my electricity bill and my AWS invoice in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Documents/</w:t>
      </w:r>
      <w:r>
        <w:t xml:space="preserve">, next to a resume and a text file of project notes. No amount of chat history was going to fix that, because the mistake wasn't a lack of context. It was a default that didn't match how I work.</w:t>
      </w:r>
    </w:p>
    <w:p>
      <w:pPr>
        <w:spacing w:after="200" w:line="328"/>
      </w:pPr>
      <w:r>
        <w:t xml:space="preserve">That is the difference I care about between a transcript and memory. A transcript records what was said. Memory has to be retrievable later, for a specific task, in a form the agent can act on. I built that layer in TOM, a local Python desktop agent, on top of </w:t>
      </w:r>
      <w:hyperlink w:history="1" r:id="rIdl_hs_gh">
        <w:r>
          <w:rPr>
            <w:rStyle w:val="Hyperlink"/>
          </w:rPr>
          <w:t xml:space="preserve">Hindsight agent memory</w:t>
        </w:r>
      </w:hyperlink>
      <w:r>
        <w:t xml:space="preserve">.</w:t>
      </w:r>
    </w:p>
    <w:p>
      <w:pPr>
        <w:pStyle w:val="Heading2"/>
        <w:keepNext/>
      </w:pPr>
      <w:r>
        <w:t xml:space="preserve">Where Hindsight sits</w:t>
      </w:r>
    </w:p>
    <w:p>
      <w:pPr>
        <w:spacing w:after="200" w:line="328"/>
      </w:pPr>
      <w:r>
        <w:t xml:space="preserve">TOM has a Tkinter desktop app, a CLI and voice input, and all of them hand task requests to one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TomAgent</w:t>
      </w:r>
      <w:r>
        <w:t xml:space="preserve">. Hindsight is reached through a single wrapper,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tools/hindsight_memory.py</w:t>
      </w:r>
      <w:r>
        <w:t xml:space="preserve">. It builds a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hindsight_client.Hindsight</w:t>
      </w:r>
      <w:r>
        <w:t xml:space="preserve"> client lazily, so the agent still starts if the package or the key is missing.</w:t>
      </w:r>
    </w:p>
    <w:p>
      <w:pPr>
        <w:spacing w:after="200" w:line="328"/>
      </w:pPr>
      <w:r>
        <w:t xml:space="preserve">You can point it at Hindsight Cloud with an API key, or at a self-hosted server with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HINDSIGHT_BASE_URL</w:t>
      </w:r>
      <w:r>
        <w:t xml:space="preserve">. The bank ID is stable per install: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HINDSIGHT_BANK_ID</w:t>
      </w:r>
      <w:r>
        <w:t xml:space="preserve"> if set, otherwise a random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tom-...</w:t>
      </w:r>
      <w:r>
        <w:t xml:space="preserve"> ID saved under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tom_brain/hindsight/</w:t>
      </w:r>
      <w:r>
        <w:t xml:space="preserve">. On first use the wrapper creates the bank with a short mission that tells Hindsight what to learn about this user and to prefer the most recent instruction when two conflict. That last clause matters. If I say PDFs go to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Invoices</w:t>
      </w:r>
      <w:r>
        <w:t xml:space="preserve"> today and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Bills</w:t>
      </w:r>
      <w:r>
        <w:t xml:space="preserve"> next month, I want the newer one to win.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334000" cy="2036503"/>
            <wp:effectExtent t="0" r="0" b="0" l="0"/>
            <wp:docPr id="201" name="figure201" descr=".env.example Hindsight settings, all commented out, no credentia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fig_a9a0cddbb7a0.png" descr=".env.example Hindsight settings, all commented out, no credentials"/>
                    <pic:cNvPicPr>
                      <a:picLocks noChangeAspect="1" noChangeArrowheads="1"/>
                    </pic:cNvPicPr>
                  </pic:nvPicPr>
                  <pic:blipFill>
                    <a:blip r:embed="rIdi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6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Figure 1: The Hindsight settings in .env.example. Every value is commented out by default.</w:t>
      </w:r>
    </w:p>
    <w:p>
      <w:pPr>
        <w:spacing w:after="200" w:line="328"/>
      </w:pPr>
      <w:r>
        <w:t xml:space="preserve">The </w:t>
      </w:r>
      <w:hyperlink w:history="1" r:id="rIdl_hs_docs">
        <w:r>
          <w:rPr>
            <w:rStyle w:val="Hyperlink"/>
          </w:rPr>
          <w:t xml:space="preserve">Hindsight documentation</w:t>
        </w:r>
      </w:hyperlink>
      <w:r>
        <w:t xml:space="preserve"> covers the client calls; the wrapper adds a 12 second timeout, two attempts, and a local journal.</w:t>
      </w:r>
    </w:p>
    <w:p>
      <w:pPr>
        <w:pStyle w:val="Heading2"/>
        <w:keepNext/>
      </w:pPr>
      <w:r>
        <w:t xml:space="preserve">What I retain</w:t>
      </w:r>
    </w:p>
    <w:p>
      <w:pPr>
        <w:spacing w:after="200" w:line="328"/>
      </w:pPr>
      <w:r>
        <w:t xml:space="preserve">I retain two kinds of records, and they are tagged differently so recall can filter them.</w:t>
      </w:r>
    </w:p>
    <w:p>
      <w:pPr>
        <w:spacing w:after="200" w:line="328"/>
      </w:pPr>
      <w:r>
        <w:rPr>
          <w:b/>
          <w:bCs/>
        </w:rPr>
        <w:t xml:space="preserve">Preferences and corrections.</w:t>
      </w:r>
      <w:r>
        <w:t xml:space="preserve"> When I say "No, PDFs always go in Invoices, not Documents,"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_retain_preference()</w:t>
      </w:r>
      <w:r>
        <w:t xml:space="preserve"> stores the correction together with the request it corrects and TOM's previous reply. It tags the record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preference</w:t>
      </w:r>
      <w:r>
        <w:t xml:space="preserve">, a category such as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file_organization</w:t>
      </w:r>
      <w:r>
        <w:t xml:space="preserve">, and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correction</w:t>
      </w:r>
      <w:r>
        <w:t xml:space="preserve"> when it is one. My exact words go into metadata.</w:t>
      </w:r>
    </w:p>
    <w:p>
      <w:pPr>
        <w:keepLines/>
        <w:pBdr>
          <w:left w:val="single" w:color="1F3A5F" w:sz="18" w:space="8"/>
        </w:pBdr>
        <w:shd w:fill="F4F5F7" w:val="clear"/>
        <w:spacing w:after="0" w:before="80" w:line="260"/>
        <w:ind w:left="200" w:right="200"/>
      </w:pPr>
      <w:r>
        <w:rPr>
          <w:rFonts w:ascii="Consolas" w:cs="Consolas" w:eastAsia="Consolas" w:hAnsi="Consolas"/>
          <w:color w:val="1B1F24"/>
          <w:sz w:val="19"/>
          <w:szCs w:val="19"/>
        </w:rPr>
        <w:t xml:space="preserve"># simplified from agent.py</w:t>
      </w:r>
    </w:p>
    <w:p>
      <w:pPr>
        <w:keepLines/>
        <w:pBdr>
          <w:left w:val="single" w:color="1F3A5F" w:sz="18" w:space="8"/>
        </w:pBdr>
        <w:shd w:fill="F4F5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F24"/>
          <w:sz w:val="19"/>
          <w:szCs w:val="19"/>
        </w:rPr>
        <w:t xml:space="preserve">tags = [TAG_PREFERENCE, category] + ([TAG_CORRECTION] if correction else [])</w:t>
      </w:r>
    </w:p>
    <w:p>
      <w:pPr>
        <w:keepLines/>
        <w:pBdr>
          <w:left w:val="single" w:color="1F3A5F" w:sz="18" w:space="8"/>
        </w:pBdr>
        <w:shd w:fill="F4F5F7" w:val="clear"/>
        <w:spacing w:after="0" w:before="0" w:line="260"/>
        <w:ind w:left="200" w:right="200"/>
      </w:pPr>
      <w:r>
        <w:rPr>
          <w:rFonts w:ascii="Consolas" w:cs="Consolas" w:eastAsia="Consolas" w:hAnsi="Consolas"/>
          <w:color w:val="1B1F24"/>
          <w:sz w:val="19"/>
          <w:szCs w:val="19"/>
        </w:rPr>
        <w:t xml:space="preserve">self.memory.retain(content, tags=tags, index_now=True,</w:t>
      </w:r>
    </w:p>
    <w:p>
      <w:pPr>
        <w:keepLines/>
        <w:pBdr>
          <w:left w:val="single" w:color="1F3A5F" w:sz="18" w:space="8"/>
        </w:pBdr>
        <w:shd w:fill="F4F5F7" w:val="clear"/>
        <w:spacing w:after="200" w:before="0" w:line="260"/>
        <w:ind w:left="200" w:right="200"/>
      </w:pPr>
      <w:r>
        <w:rPr>
          <w:rFonts w:ascii="Consolas" w:cs="Consolas" w:eastAsia="Consolas" w:hAnsi="Consolas"/>
          <w:color w:val="1B1F24"/>
          <w:sz w:val="19"/>
          <w:szCs w:val="19"/>
        </w:rPr>
        <w:t xml:space="preserve">                   metadata={"user_words": command[:400], "category": category})</w:t>
      </w:r>
    </w:p>
    <w:p>
      <w:pPr>
        <w:spacing w:after="200" w:line="328"/>
      </w:pPr>
      <w:r>
        <w:rPr>
          <w:rFonts w:ascii="Consolas" w:cs="Consolas" w:eastAsia="Consolas" w:hAnsi="Consolas"/>
          <w:color w:val="8A2B2B"/>
          <w:sz w:val="20"/>
          <w:szCs w:val="20"/>
        </w:rPr>
        <w:t xml:space="preserve">index_now=True</w:t>
      </w:r>
      <w:r>
        <w:t xml:space="preserve"> asks Hindsight to finish extracting facts before the call returns, so a correction is recallable on the very next request.</w:t>
      </w:r>
    </w:p>
    <w:p>
      <w:pPr>
        <w:spacing w:after="200" w:line="328"/>
      </w:pPr>
      <w:r>
        <w:rPr>
          <w:b/>
          <w:bCs/>
        </w:rPr>
        <w:t xml:space="preserve">Task outcomes.</w:t>
      </w:r>
      <w:r>
        <w:t xml:space="preserve"> After a task,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_retain_outcome()</w:t>
      </w:r>
      <w:r>
        <w:t xml:space="preserve"> stores what I asked, how TOM handled it, the status, and any rules it applied, tagged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task</w:t>
      </w:r>
      <w:r>
        <w:t xml:space="preserve">. Those are cheap to write and give the bank a history of what worked.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334000" cy="3336687"/>
            <wp:effectExtent t="0" r="0" b="0" l="0"/>
            <wp:docPr id="202" name="figure202" descr="Retain path: correction to tags to Hindsight bank with local journal and pending queue; recall path: recall to FolderRule to plan to approv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fig_42a6fe08e1d0.png" descr="Retain path: correction to tags to Hindsight bank with local journal and pending queue; recall path: recall to FolderRule to plan to approval"/>
                    <pic:cNvPicPr>
                      <a:picLocks noChangeAspect="1" noChangeArrowheads="1"/>
                    </pic:cNvPicPr>
                  </pic:nvPicPr>
                  <pic:blipFill>
                    <a:blip r:embed="rIdi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Figure 2: The memory lifecycle: retain with tags, recall later, and turn the result into a rule.</w:t>
      </w:r>
    </w:p>
    <w:p>
      <w:pPr>
        <w:pStyle w:val="Heading2"/>
        <w:keepNext/>
      </w:pPr>
      <w:r>
        <w:t xml:space="preserve">What I recall</w:t>
      </w:r>
    </w:p>
    <w:p>
      <w:pPr>
        <w:spacing w:after="200" w:line="328"/>
      </w:pPr>
      <w:r>
        <w:t xml:space="preserve">There are two recall paths. For ordinary requests,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execute_task()</w:t>
      </w:r>
      <w:r>
        <w:t xml:space="preserve"> starts a general recall as a background task while the NLP parser runs, so it adds no serial step. Handlers that draft emails or documents fold the hits into their prompts through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_build_memory_context()</w:t>
      </w:r>
      <w:r>
        <w:t xml:space="preserve">. Voice mode does the same with a smaller limit.</w:t>
      </w:r>
    </w:p>
    <w:p>
      <w:pPr>
        <w:spacing w:after="200" w:line="328"/>
      </w:pPr>
      <w:r>
        <w:t xml:space="preserve">File organization gets its own path,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remembered_folder_rules()</w:t>
      </w:r>
      <w:r>
        <w:t xml:space="preserve">. It asks a file-specific question, filters to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preference</w:t>
      </w:r>
      <w:r>
        <w:t xml:space="preserve"> and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correction</w:t>
      </w:r>
      <w:r>
        <w:t xml:space="preserve"> tags, and returns up to 12 hits. If Hindsight returns facts but the text parser finds no rule, it falls back to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reflect()</w:t>
      </w:r>
      <w:r>
        <w:t xml:space="preserve"> with a JSON schema and asks for structured rules.</w:t>
      </w:r>
    </w:p>
    <w:p>
      <w:pPr>
        <w:spacing w:after="200" w:line="328"/>
      </w:pPr>
      <w:r>
        <w:rPr>
          <w:rFonts w:ascii="Consolas" w:cs="Consolas" w:eastAsia="Consolas" w:hAnsi="Consolas"/>
          <w:color w:val="8A2B2B"/>
          <w:sz w:val="20"/>
          <w:szCs w:val="20"/>
        </w:rPr>
        <w:t xml:space="preserve">reflect()</w:t>
      </w:r>
      <w:r>
        <w:t xml:space="preserve"> also powers a plain question: "what have you learned about me?" returns a grouped summary of what is in the bank.</w:t>
      </w:r>
    </w:p>
    <w:p>
      <w:pPr>
        <w:pStyle w:val="Heading2"/>
        <w:keepNext/>
      </w:pPr>
      <w:r>
        <w:t xml:space="preserve">Making memory inspectable</w:t>
      </w:r>
    </w:p>
    <w:p>
      <w:pPr>
        <w:spacing w:after="200" w:line="328"/>
      </w:pPr>
      <w:r>
        <w:t xml:space="preserve">Retaining facts you can't look at is uncomfortable. TOM has a Memory view with a Recall box and a "What have you learned?" button. Recall shows the stored facts behind a behavior, and "Recently stored" lists the latest items from the local journal.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334000" cy="3305577"/>
            <wp:effectExtent t="0" r="0" b="0" l="0"/>
            <wp:docPr id="203" name="figure203" descr="TOM Memory view: recall results for PDFs on the left, recently stored tasks and rules on the righ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fig_7cd209ed7eb4.png" descr="TOM Memory view: recall results for PDFs on the left, recently stored tasks and rules on the right"/>
                    <pic:cNvPicPr>
                      <a:picLocks noChangeAspect="1" noChangeArrowheads="1"/>
                    </pic:cNvPicPr>
                  </pic:nvPicPr>
                  <pic:blipFill>
                    <a:blip r:embed="rIdi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5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Figure 3: The Memory view after searching "PDFs": the stored corrections on the left, recent items on the right. Captured with an in-memory test client standing in for Hindsight.</w:t>
      </w:r>
    </w:p>
    <w:p>
      <w:pPr>
        <w:spacing w:after="200" w:line="328"/>
      </w:pPr>
      <w:r>
        <w:t xml:space="preserve">Retained content is capped at 4,000 characters, and context and metadata values at 200 each, so a runaway reply can't bloat the bank.</w:t>
      </w:r>
    </w:p>
    <w:p>
      <w:pPr>
        <w:pStyle w:val="Heading2"/>
        <w:keepNext/>
      </w:pPr>
      <w:r>
        <w:t xml:space="preserve">Before and after</w:t>
      </w:r>
    </w:p>
    <w:p>
      <w:pPr>
        <w:spacing w:after="200" w:line="328"/>
      </w:pPr>
      <w:r>
        <w:t xml:space="preserve">Same folder, same agent, one correction in between.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334000" cy="3157136"/>
            <wp:effectExtent t="0" r="0" b="0" l="0"/>
            <wp:docPr id="204" name="figure204" descr="Terminal: the sandbox before organizing, and the default result with PDFs in Docum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fig_bd80280c2ac0.png" descr="Terminal: the sandbox before organizing, and the default result with PDFs in Documents"/>
                    <pic:cNvPicPr>
                      <a:picLocks noChangeAspect="1" noChangeArrowheads="1"/>
                    </pic:cNvPicPr>
                  </pic:nvPicPr>
                  <pic:blipFill>
                    <a:blip r:embed="rIdi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7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Figure 4: First request, nothing stored. Both PDFs land in Documents/.</w:t>
      </w:r>
    </w:p>
    <w:p>
      <w:pPr>
        <w:spacing w:after="200" w:line="328"/>
      </w:pPr>
      <w:r>
        <w:t xml:space="preserve">After the correction, I added new files and reworded the request. TOM recalled the rule, showed it in a "Remembering" card, and asked for approval before moving anything.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5334000" cy="3305577"/>
            <wp:effectExtent t="0" r="0" b="0" l="0"/>
            <wp:docPr id="205" name="figure205" descr="TOM chat with a Remembering card showing the PDF to Invoices rule and the completed resul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fig_8d6a729a829d.png" descr="TOM chat with a Remembering card showing the PDF to Invoices rule and the completed result"/>
                    <pic:cNvPicPr>
                      <a:picLocks noChangeAspect="1" noChangeArrowheads="1"/>
                    </pic:cNvPicPr>
                  </pic:nvPicPr>
                  <pic:blipFill>
                    <a:blip r:embed="rIdi2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5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 w:before="60"/>
        <w:jc w:val="center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Figure 5: A later request in different words. The card lists the rule TOM used. Captured against a sandbox folder with an in-memory test client standing in for Hindsight.</w:t>
      </w:r>
    </w:p>
    <w:p>
      <w:pPr>
        <w:spacing w:after="200" w:line="328"/>
      </w:pPr>
      <w:r>
        <w:t xml:space="preserve">The plan is built by ordinary Python. Hindsight decides what I prefer; the code decides where each file goes.</w:t>
      </w:r>
    </w:p>
    <w:p>
      <w:pPr>
        <w:pStyle w:val="Heading2"/>
        <w:keepNext/>
      </w:pPr>
      <w:r>
        <w:t xml:space="preserve">What I would tell you before you copy this</w:t>
      </w:r>
    </w:p>
    <w:p>
      <w:pPr>
        <w:pStyle w:val="ListParagraph"/>
        <w:numPr>
          <w:ilvl w:val="0"/>
          <w:numId w:val="2"/>
        </w:numPr>
        <w:spacing w:after="140" w:line="320"/>
      </w:pPr>
      <w:r>
        <w:rPr>
          <w:b/>
          <w:bCs/>
        </w:rPr>
        <w:t xml:space="preserve">Store tagged facts, not transcripts.</w:t>
      </w:r>
      <w:r>
        <w:t xml:space="preserve"> A small, stable tag set (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preference</w:t>
      </w:r>
      <w:r>
        <w:t xml:space="preserve">,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correction</w:t>
      </w:r>
      <w:r>
        <w:t xml:space="preserve">,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task</w:t>
      </w:r>
      <w:r>
        <w:t xml:space="preserve">) is what makes filtered recall possible.</w:t>
      </w:r>
    </w:p>
    <w:p>
      <w:pPr>
        <w:pStyle w:val="ListParagraph"/>
        <w:numPr>
          <w:ilvl w:val="0"/>
          <w:numId w:val="2"/>
        </w:numPr>
        <w:spacing w:after="140" w:line="320"/>
      </w:pPr>
      <w:r>
        <w:rPr>
          <w:b/>
          <w:bCs/>
        </w:rPr>
        <w:t xml:space="preserve">Write the correction with its context.</w:t>
      </w:r>
      <w:r>
        <w:t xml:space="preserve"> "Not Documents" means nothing without the reply it corrects.</w:t>
      </w:r>
    </w:p>
    <w:p>
      <w:pPr>
        <w:pStyle w:val="ListParagraph"/>
        <w:numPr>
          <w:ilvl w:val="0"/>
          <w:numId w:val="2"/>
        </w:numPr>
        <w:spacing w:after="140" w:line="320"/>
      </w:pPr>
      <w:r>
        <w:rPr>
          <w:b/>
          <w:bCs/>
        </w:rPr>
        <w:t xml:space="preserve">Turn recalled text into a constrained object.</w:t>
      </w:r>
      <w:r>
        <w:t xml:space="preserve"> Mine becomes a </w:t>
      </w:r>
      <w:r>
        <w:rPr>
          <w:rFonts w:ascii="Consolas" w:cs="Consolas" w:eastAsia="Consolas" w:hAnsi="Consolas"/>
          <w:color w:val="8A2B2B"/>
          <w:sz w:val="20"/>
          <w:szCs w:val="20"/>
        </w:rPr>
        <w:t xml:space="preserve">FolderRule</w:t>
      </w:r>
      <w:r>
        <w:t xml:space="preserve"> before it can touch a file.</w:t>
      </w:r>
    </w:p>
    <w:p>
      <w:pPr>
        <w:pStyle w:val="ListParagraph"/>
        <w:numPr>
          <w:ilvl w:val="0"/>
          <w:numId w:val="2"/>
        </w:numPr>
        <w:spacing w:after="140" w:line="320"/>
      </w:pPr>
      <w:r>
        <w:rPr>
          <w:b/>
          <w:bCs/>
        </w:rPr>
        <w:t xml:space="preserve">Don't treat the local journal as proof of storage.</w:t>
      </w:r>
      <w:r>
        <w:t xml:space="preserve"> It mirrors what I retained. It does not confirm Hindsight accepted it.</w:t>
      </w:r>
    </w:p>
    <w:p>
      <w:pPr>
        <w:pStyle w:val="ListParagraph"/>
        <w:numPr>
          <w:ilvl w:val="0"/>
          <w:numId w:val="2"/>
        </w:numPr>
        <w:spacing w:after="140" w:line="320"/>
      </w:pPr>
      <w:r>
        <w:rPr>
          <w:b/>
          <w:bCs/>
        </w:rPr>
        <w:t xml:space="preserve">Know the limits.</w:t>
      </w:r>
      <w:r>
        <w:t xml:space="preserve"> Only handlers that call recall benefit from memory, and rules match by extension, so a PDF that isn't an invoice still follows the PDF rule.</w:t>
      </w:r>
    </w:p>
    <w:p>
      <w:pPr>
        <w:spacing w:after="200" w:line="328"/>
      </w:pPr>
      <w:r>
        <w:t xml:space="preserve">I don't fine-tune anything. The model is unchanged; the behavior changes because the right fact comes back at the right time. If you want the background, Vectorize has a good explanation of </w:t>
      </w:r>
      <w:hyperlink w:history="1" r:id="rIdl_hs_mem">
        <w:r>
          <w:rPr>
            <w:rStyle w:val="Hyperlink"/>
          </w:rPr>
          <w:t xml:space="preserve">what agent memory is</w:t>
        </w:r>
      </w:hyperlink>
      <w:r>
        <w:t xml:space="preserve">, and the code is in the </w:t>
      </w:r>
      <w:hyperlink w:history="1" r:id="rIdl_repo">
        <w:r>
          <w:rPr>
            <w:rStyle w:val="Hyperlink"/>
          </w:rPr>
          <w:t xml:space="preserve">TOM repository</w:t>
        </w:r>
      </w:hyperlink>
      <w:r>
        <w:t xml:space="preserve">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A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B1F24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80"/>
    </w:pPr>
    <w:rPr>
      <w:rFonts w:ascii="Georgia" w:cs="Georgia" w:eastAsia="Georgia" w:hAnsi="Georgia"/>
      <w:b/>
      <w:bCs/>
      <w:color w:val="1F3A5F"/>
      <w:sz w:val="52"/>
      <w:szCs w:val="52"/>
    </w:rPr>
  </w:style>
  <w:style w:type="paragraph" w:styleId="Heading2">
    <w:name w:val="Heading 2"/>
    <w:basedOn w:val="Normal"/>
    <w:next w:val="Normal"/>
    <w:qFormat/>
    <w:pPr>
      <w:spacing w:after="140" w:before="400"/>
      <w:outlineLvl w:val="1"/>
    </w:pPr>
    <w:rPr>
      <w:rFonts w:ascii="Georgia" w:cs="Georgia" w:eastAsia="Georgia" w:hAnsi="Georgia"/>
      <w:b/>
      <w:bCs/>
      <w:color w:val="1F3A5F"/>
      <w:sz w:val="31"/>
      <w:szCs w:val="31"/>
    </w:rPr>
  </w:style>
  <w:style w:type="character" w:styleId="Hyperlink">
    <w:name w:val="Hyperlink"/>
    <w:uiPriority w:val="99"/>
    <w:unhideWhenUsed/>
    <w:rPr>
      <w:color w:val="1F5FA8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l_hs_gh" Type="http://schemas.openxmlformats.org/officeDocument/2006/relationships/hyperlink" Target="https://github.com/vectorize-io/hindsight" TargetMode="External"/><Relationship Id="rIdl_hs_docs" Type="http://schemas.openxmlformats.org/officeDocument/2006/relationships/hyperlink" Target="https://hindsight.vectorize.io/" TargetMode="External"/><Relationship Id="rIdl_hs_mem" Type="http://schemas.openxmlformats.org/officeDocument/2006/relationships/hyperlink" Target="https://vectorize.io/what-is-agent-memory" TargetMode="External"/><Relationship Id="rIdl_repo" Type="http://schemas.openxmlformats.org/officeDocument/2006/relationships/hyperlink" Target="https://github.com/Rajeshponnapure/TOM" TargetMode="External"/><Relationship Id="rIdi200" Type="http://schemas.openxmlformats.org/officeDocument/2006/relationships/image" Target="media/fig_a9a0cddbb7a0.png"/><Relationship Id="rIdi201" Type="http://schemas.openxmlformats.org/officeDocument/2006/relationships/image" Target="media/fig_42a6fe08e1d0.png"/><Relationship Id="rIdi202" Type="http://schemas.openxmlformats.org/officeDocument/2006/relationships/image" Target="media/fig_7cd209ed7eb4.png"/><Relationship Id="rIdi203" Type="http://schemas.openxmlformats.org/officeDocument/2006/relationships/image" Target="media/fig_bd80280c2ac0.png"/><Relationship Id="rIdi204" Type="http://schemas.openxmlformats.org/officeDocument/2006/relationships/image" Target="media/fig_8d6a729a829d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Why My Agent's Hindsight Memory Isn't a Chat Log</dc:title>
  <dc:creator>TOM</dc:creator>
  <cp:lastModifiedBy>Un-named</cp:lastModifiedBy>
  <cp:revision>1</cp:revision>
  <dcterms:created xsi:type="dcterms:W3CDTF">2026-09-28T09:22:57.264Z</dcterms:created>
  <dcterms:modified xsi:type="dcterms:W3CDTF">2026-09-28T09:22:57.276Z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