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000000" w:space="1" w:sz="4" w:val="single"/>
        </w:pBdr>
        <w:ind w:left="567" w:right="0" w:firstLine="0"/>
        <w:contextualSpacing w:val="0"/>
        <w:rPr>
          <w:rFonts w:ascii="Tahoma" w:cs="Tahoma" w:eastAsia="Tahoma" w:hAnsi="Tahoma"/>
          <w:b w:val="1"/>
          <w:color w:val="118c92"/>
        </w:rPr>
      </w:pPr>
      <w:r w:rsidDel="00000000" w:rsidR="00000000" w:rsidRPr="00000000">
        <w:rPr>
          <w:rFonts w:ascii="Tahoma" w:cs="Tahoma" w:eastAsia="Tahoma" w:hAnsi="Tahoma"/>
          <w:b w:val="1"/>
          <w:color w:val="118c92"/>
          <w:rtl w:val="0"/>
        </w:rPr>
        <w:t xml:space="preserve">[Sección 13] RENTA VARIABLE</w:t>
      </w:r>
    </w:p>
    <w:p w:rsidR="00000000" w:rsidDel="00000000" w:rsidP="00000000" w:rsidRDefault="00000000" w:rsidRPr="00000000" w14:paraId="00000001">
      <w:pPr>
        <w:ind w:right="0"/>
        <w:contextualSpacing w:val="0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8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Procedimientos de BIA utilizados: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usp_gestio_pro_11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usp_gestio_pro_13 (Procedimiento principal)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usp_gestio_pro_22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Tablas de la base de datos Reports_IICs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CuentasContablesDerivados: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contiene las cuentas de derivados.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RentaVariable_PrecioAjustado: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guarda las modificaciones realizadas en la Preview.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RentaVariable_Equivalencias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ind w:left="1133.858267716535" w:firstLine="0"/>
        <w:contextualSpacing w:val="0"/>
        <w:rPr/>
      </w:pPr>
      <w:r w:rsidDel="00000000" w:rsidR="00000000" w:rsidRPr="00000000">
        <w:rPr>
          <w:rFonts w:ascii="Tahoma" w:cs="Tahoma" w:eastAsia="Tahoma" w:hAnsi="Tahoma"/>
          <w:b w:val="1"/>
          <w:color w:val="118c92"/>
          <w:rtl w:val="0"/>
        </w:rPr>
        <w:t xml:space="preserve">Cómo generamos la sección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Filtramos PRO13: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Recuperamos los datos del PRO13 que cumplan todo lo siguiente: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TipMovO != 805  OR (TipMovO = 805 AND TipMovF = 700 AND EfectivoFEUR &gt; 200)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*** 200 es un parámetro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568" w:hanging="360"/>
        <w:contextualSpacing w:val="1"/>
        <w:rPr/>
      </w:pPr>
      <w:r w:rsidDel="00000000" w:rsidR="00000000" w:rsidRPr="00000000">
        <w:rPr>
          <w:rtl w:val="0"/>
        </w:rPr>
        <w:t xml:space="preserve">TipMovO != 816 OR (TipMovO = 816 AND TipMovF = 700)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568" w:hanging="360"/>
        <w:contextualSpacing w:val="1"/>
        <w:rPr/>
      </w:pPr>
      <w:r w:rsidDel="00000000" w:rsidR="00000000" w:rsidRPr="00000000">
        <w:rPr>
          <w:rtl w:val="0"/>
        </w:rPr>
        <w:t xml:space="preserve">TipMovO != 817 OR (TipMovO = 817 AND TipMovF = 700)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Tratar808 (CONTRASPLIT Y CAMBIO DE ISIN)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listaEquiv = Cogemos las filas de la tabla RentaVariable_Equivalencias que su columna OldIsin coincida con alguno de los ISINS del PRO13 filtrado.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Detectamos los movimientos viejos y los nuevos dentro del PRO13 filtrado ****: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old: serán los que cumplan lo siguiente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isins del PRO13 filtrado que los podamos encontrar en la columna OldIsin  de la tabla RentaVariable_Equivalencias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TipMovO =000 OR TipMovO ="600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TipMovF =808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Grupo=2 OR Grupo=3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new: serán los que cumplan lo siguiente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3288" w:hanging="360"/>
        <w:contextualSpacing w:val="1"/>
        <w:rPr/>
      </w:pPr>
      <w:r w:rsidDel="00000000" w:rsidR="00000000" w:rsidRPr="00000000">
        <w:rPr>
          <w:rtl w:val="0"/>
        </w:rPr>
        <w:t xml:space="preserve">isins del PRO13 filtrado que los podamos encontrar en la columna NewIsin  de la tabla RentaVariable_Equivalencias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TipMovO = 818 OR TipMovO = 816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encontramos en la tabla de equivalencias una línea con el ISIN nuevo y el antiguo: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Creamos una réplica vacía de los registros que nos devuelve el PRO13.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Rellenamos la información combinando los datos del ISIN nuevo y antiguo que nos venía en la llamada al PRO13.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Añadimos a los resultados del PRO13 el registro que acabamos de crear.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8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Eliminamos de los resultados del PRO13 que detectamos como New y Old ****.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128" w:hanging="360"/>
        <w:contextualSpacing w:val="1"/>
        <w:rPr/>
      </w:pPr>
      <w:r w:rsidDel="00000000" w:rsidR="00000000" w:rsidRPr="00000000">
        <w:rPr>
          <w:rtl w:val="0"/>
        </w:rPr>
        <w:t xml:space="preserve">Tratar601 (TRASPASOS)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848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los traspasos lo único que hacemos es un cambio de grupo: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568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los resultados del PRO13 que tengan: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3288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TipMovO = 601 AND Grupo = 4 les ponemos Grupo=1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3288" w:hanging="360"/>
        <w:contextualSpacing w:val="1"/>
        <w:rPr/>
      </w:pPr>
      <w:r w:rsidDel="00000000" w:rsidR="00000000" w:rsidRPr="00000000">
        <w:rPr>
          <w:rtl w:val="0"/>
        </w:rPr>
        <w:t xml:space="preserve">TipMovO = 601 AND Grupo = 3 les ponemos Grupo=2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128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Adaptamos los resultados con los cambios realizados en la Preview: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848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Sólo tendremos en cuenta el último cambio (con una fecha menor o igual a la fecha de informe actual)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128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Agrupamos.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0"/>
      <w:pgMar w:bottom="1418" w:top="1276" w:left="851" w:right="98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403" w:before="0" w:line="240" w:lineRule="auto"/>
      <w:ind w:left="0" w:right="0" w:firstLine="0"/>
      <w:contextualSpacing w:val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403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505"/>
      </w:tabs>
      <w:spacing w:after="0" w:before="426" w:line="240" w:lineRule="auto"/>
      <w:ind w:left="0" w:right="0" w:firstLine="0"/>
      <w:contextualSpacing w:val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465856" cy="41094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5856" cy="4109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977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101600</wp:posOffset>
              </wp:positionV>
              <wp:extent cx="6400800" cy="254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11879D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101600</wp:posOffset>
              </wp:positionV>
              <wp:extent cx="6400800" cy="254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28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84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68" w:hanging="360"/>
      </w:pPr>
      <w:rPr>
        <w:rFonts w:ascii="Arial" w:cs="Arial" w:eastAsia="Arial" w:hAnsi="Arial"/>
      </w:rPr>
    </w:lvl>
    <w:lvl w:ilvl="3">
      <w:start w:val="1"/>
      <w:numFmt w:val="bullet"/>
      <w:lvlText w:val="➢"/>
      <w:lvlJc w:val="left"/>
      <w:pPr>
        <w:ind w:left="328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0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2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4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6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88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128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84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68" w:hanging="360"/>
      </w:pPr>
      <w:rPr>
        <w:rFonts w:ascii="Arial" w:cs="Arial" w:eastAsia="Arial" w:hAnsi="Arial"/>
      </w:rPr>
    </w:lvl>
    <w:lvl w:ilvl="3">
      <w:start w:val="1"/>
      <w:numFmt w:val="bullet"/>
      <w:lvlText w:val="➢"/>
      <w:lvlJc w:val="left"/>
      <w:pPr>
        <w:ind w:left="328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0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2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4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6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88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