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Building Society</w:t>
      </w:r>
    </w:p>
    <w:p>
      <w:pPr>
        <w:pStyle w:val="Heading1"/>
      </w:pPr>
      <w:r>
        <w:t>Mortgage Lending Criteria — Version 2.1</w:t>
      </w:r>
    </w:p>
    <w:p>
      <w:r>
        <w:t>Effective Date: 1 January 2026</w:t>
      </w:r>
    </w:p>
    <w:p>
      <w:r>
        <w:t>Classification: Internal — Confidential</w:t>
      </w:r>
    </w:p>
    <w:p>
      <w:r>
        <w:t>This document sets out the lending criteria for all residential and buy-to-let mortgage products offered by Meridian Building Society. All applications must satisfy the criteria below unless a specific exception is approved by the Senior Underwriting Panel.</w:t>
      </w:r>
    </w:p>
    <w:p/>
    <w:p>
      <w:pPr>
        <w:pStyle w:val="Heading1"/>
      </w:pPr>
      <w:r>
        <w:t>1. Loan-to-Value (LTV) Requirements</w:t>
      </w:r>
    </w:p>
    <w:p>
      <w:r>
        <w:t>The maximum loan-to-value ratio for standard residential mortgages is 95%. For buy-to-let mortgages, the maximum LTV is 75%. Applications where the LTV exceeds 90% require private mortgage insurance (PMI) arranged through an approved provider.</w:t>
      </w:r>
    </w:p>
    <w:p>
      <w:r>
        <w:t>New build properties are subject to a reduced maximum LTV of 85%. For houses in multiple occupation (HMOs), the maximum LTV is 70%.</w:t>
      </w:r>
    </w:p>
    <w:p>
      <w:r>
        <w:t>The maximum loan amount for any single application is £2,000,000. Loans above £1,000,000 are classified as high-value and require Senior Underwriter approval.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 Type</w:t>
            </w:r>
          </w:p>
        </w:tc>
        <w:tc>
          <w:tcPr>
            <w:tcW w:type="dxa" w:w="2880"/>
          </w:tcPr>
          <w:p>
            <w:r>
              <w:t>Max LTV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Standard Residential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PMI required above 90%*</w:t>
            </w:r>
          </w:p>
        </w:tc>
      </w:tr>
      <w:tr>
        <w:tc>
          <w:tcPr>
            <w:tcW w:type="dxa" w:w="2880"/>
          </w:tcPr>
          <w:p>
            <w:r>
              <w:t>Buy-to-Let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Minimum rental coverage 125%</w:t>
            </w:r>
          </w:p>
        </w:tc>
      </w:tr>
      <w:tr>
        <w:tc>
          <w:tcPr>
            <w:tcW w:type="dxa" w:w="2880"/>
          </w:tcPr>
          <w:p>
            <w:r>
              <w:t>New Build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Developer must be on approved list</w:t>
            </w:r>
          </w:p>
        </w:tc>
      </w:tr>
      <w:tr>
        <w:tc>
          <w:tcPr>
            <w:tcW w:type="dxa" w:w="2880"/>
          </w:tcPr>
          <w:p>
            <w:r>
              <w:t>HMO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Maximum 6 units</w:t>
            </w:r>
          </w:p>
        </w:tc>
      </w:tr>
      <w:tr>
        <w:tc>
          <w:tcPr>
            <w:tcW w:type="dxa" w:w="2880"/>
          </w:tcPr>
          <w:p>
            <w:r>
              <w:t>Interest Only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Repayment vehicle required</w:t>
            </w:r>
          </w:p>
        </w:tc>
      </w:tr>
    </w:tbl>
    <w:p/>
    <w:p>
      <w:pPr>
        <w:pStyle w:val="IntenseQuote"/>
      </w:pPr>
      <w:r>
        <w:t>* PMI premium is added to the monthly payment and is non-refundable for the first 24 months.</w:t>
      </w:r>
    </w:p>
    <w:p>
      <w:pPr>
        <w:pStyle w:val="Heading1"/>
      </w:pPr>
      <w:r>
        <w:t>2. Income Requirements</w:t>
      </w:r>
    </w:p>
    <w:p>
      <w:r>
        <w:t>The minimum gross annual income for a single applicant is £25,000. For joint applications, the combined minimum gross annual income is £30,000.</w:t>
      </w:r>
    </w:p>
    <w:p>
      <w:r>
        <w:t>The maximum income multiple is 4.5x gross annual income for single applicants. For joint applicants, the maximum income multiple is 3.75x combined gross annual income. First-time buyers with a deposit of 15% or more may be offered an enhanced income multiple of up to 4.75x, subject to affordability assessment.</w:t>
      </w:r>
    </w:p>
    <w:p>
      <w:r>
        <w:t>Acceptable income types include: basic salary, guaranteed overtime, regular commission (minimum 12 months history), and pension income. Discretionary bonuses may be considered at 50% of the two-year average. Rental income from existing buy-to-let properties is assessed at 75% of the gross rental figure.</w:t>
      </w:r>
    </w:p>
    <w:p>
      <w:pPr>
        <w:pStyle w:val="Heading1"/>
      </w:pPr>
      <w:r>
        <w:t>3. Employment Criteria</w:t>
      </w:r>
    </w:p>
    <w:p>
      <w:r>
        <w:t>Applicants in permanent employment must have a minimum of 6 months continuous service with their current employer. Applicants still within a probationary period are not accepted.</w:t>
      </w:r>
    </w:p>
    <w:p>
      <w:r>
        <w:t>Self-employed applicants, including sole traders and limited company directors, must provide a minimum of 2 years of trading history evidenced by SA302 tax calculations or certified accounts. Income is assessed as the lower of the two-year average or the most recent year.</w:t>
      </w:r>
    </w:p>
    <w:p>
      <w:r>
        <w:t>Contract workers must demonstrate a minimum of 12 months continuous contracting history in the same sector. Day-rate contractors are assessed on an annualised basis: day rate × 5 × 46 weeks. Zero-hours contract workers are not accepted.</w:t>
      </w:r>
    </w:p>
    <w:p>
      <w:r>
        <w:t>Retired applicants receiving a guaranteed pension income are accepted provided the pension income meets the minimum income threshold and the mortgage term does not extend beyond the applicant's 80th birthday.</w:t>
      </w:r>
    </w:p>
    <w:p>
      <w:pPr>
        <w:pStyle w:val="Heading1"/>
      </w:pPr>
      <w:r>
        <w:t>4. Credit History Criteria</w:t>
      </w:r>
    </w:p>
    <w:p>
      <w:r>
        <w:t>The minimum acceptable credit score is 620 (Experian). Applicants with a credit score below 620 will be declined.</w:t>
      </w:r>
    </w:p>
    <w:p>
      <w:r>
        <w:t>No County Court Judgements (CCJs) are accepted within the last 6 years, regardless of whether they have been satisfied. No bankruptcy, Individual Voluntary Arrangements (IVAs), or Debt Relief Orders within the last 6 years.</w:t>
      </w:r>
    </w:p>
    <w:p>
      <w:r>
        <w:t>A maximum of 1 missed mortgage or secured loan payment is permitted in the last 12 months. A maximum of 2 missed unsecured credit payments are permitted in the last 12 months. Applicants with 3 or more missed payments of any type in the last 12 months will be declined.</w:t>
      </w:r>
    </w:p>
    <w:p>
      <w:r>
        <w:t>Total unsecured debt must not exceed 15% of gross annual income at the time of application.</w:t>
      </w:r>
    </w:p>
    <w:p>
      <w:pPr>
        <w:pStyle w:val="Heading1"/>
      </w:pPr>
      <w:r>
        <w:t>5. Property Requirements</w:t>
      </w:r>
    </w:p>
    <w:p>
      <w:r>
        <w:t>The minimum property value is £75,000. Properties valued below this threshold are outside lending criteria.</w:t>
      </w:r>
    </w:p>
    <w:p>
      <w:r>
        <w:t>Properties of non-standard construction (e.g. steel frame, concrete panel, timber frame without brick skin) are considered on a case-by-case basis and must be referred to the specialist underwriting team.</w:t>
      </w:r>
    </w:p>
    <w:p>
      <w:r>
        <w:t>Leasehold properties must have a minimum unexpired lease term of 70 years at the time of application, or 40 years beyond the end of the mortgage term, whichever is greater.</w:t>
      </w:r>
    </w:p>
    <w:p>
      <w:r>
        <w:t>The minimum acceptable EPC rating is E for standard residential properties. Properties with an EPC rating of F or G are not accepted unless the applicant commits to remediation works within 12 months and an appropriate retention is applied to the advance.</w:t>
      </w:r>
    </w:p>
    <w:p>
      <w:r>
        <w:t>Flats above commercial premises are accepted where the commercial element does not exceed 40% of the total floor area. Properties above fast food outlets, nightclubs, or petrol stations are not accepted.</w:t>
      </w:r>
    </w:p>
    <w:p>
      <w:pPr>
        <w:pStyle w:val="Heading1"/>
      </w:pPr>
      <w:r>
        <w:t>6. Affordability Assessment</w:t>
      </w:r>
    </w:p>
    <w:p>
      <w:r>
        <w:t>All applications are subject to an affordability stress test at the higher of: (a) the lender's standard variable rate (SVR) plus 3 percentage points, or (b) a floor rate of 7%. The applicant must demonstrate sufficient disposable income to meet the stressed payment.</w:t>
      </w:r>
    </w:p>
    <w:p>
      <w:r>
        <w:t>The maximum debt-to-income (DTI) ratio is 45%. This includes all committed monthly expenditure: existing mortgage payments, personal loans, credit card minimum payments, hire purchase agreements, child maintenance, and student loan repayments.</w:t>
      </w:r>
    </w:p>
    <w:p>
      <w:r>
        <w:t>Childcare costs must be verified and included in the affordability calculation. The Office for National Statistics (ONS) expenditure data is used as a benchmark for essential living costs.</w:t>
      </w:r>
    </w:p>
    <w:p>
      <w:pPr>
        <w:pStyle w:val="Heading1"/>
      </w:pPr>
      <w:r>
        <w:t>7. Applicant Eligibility</w:t>
      </w:r>
    </w:p>
    <w:p>
      <w:r>
        <w:t>The minimum age at the time of application is 18. The maximum age at the end of the mortgage term is 70 for standard products and 80 for retirement interest-only products.</w:t>
      </w:r>
    </w:p>
    <w:p>
      <w:r>
        <w:t>Applicants must be UK residents or hold Indefinite Leave to Remain (settled status). EEA nationals with pre-settled status are accepted for terms up to 5 years or until settled status is confirmed. Applicants on a Tier 2 (Skilled Worker) visa are considered where the visa has at least 3 years remaining.</w:t>
      </w:r>
    </w:p>
    <w:p>
      <w:r>
        <w:t>A maximum of 2 applicants are permitted per application. All applicants must be named on the property title.</w:t>
      </w:r>
    </w:p>
    <w:p>
      <w:pPr>
        <w:pStyle w:val="Heading1"/>
      </w:pPr>
      <w:r>
        <w:t>8. Loan Structure and Terms</w:t>
      </w:r>
    </w:p>
    <w:p>
      <w:r>
        <w:t>The minimum mortgage term is 5 years. The maximum mortgage term is 35 years. Interest-only mortgages are available up to a maximum LTV of 50%, with an approved repayment vehicle required (e.g. ISA, pension, investment portfolio, or sale of another property).</w:t>
      </w:r>
    </w:p>
    <w:p>
      <w:r>
        <w:t>Part-and-part mortgages (a combination of repayment and interest-only) are permitted. The interest-only element must not exceed 50% of the total loan amount.</w:t>
      </w:r>
    </w:p>
    <w:p>
      <w:r>
        <w:t>Early repayment charges (ERCs) apply during the initial product period. ERC rates: Year 1 — 5%, Year 2 — 4%, Year 3 — 3%, Year 4 — 2%, Year 5 — 1%. Overpayments of up to 10% of the outstanding balance per annum are permitted without charge.</w:t>
      </w:r>
    </w:p>
    <w:p>
      <w:r>
        <w:t>Capital raising is permitted up to a maximum of £500,000 per application, subject to a maximum LTV of 80% and a satisfactory explanation of purpose. Capital raising for business purposes is not permitted on residential mortgages.</w:t>
      </w:r>
    </w:p>
    <w:p>
      <w:pPr>
        <w:pStyle w:val="Heading1"/>
      </w:pPr>
      <w:r>
        <w:t>Appendix A: Definitions</w:t>
      </w:r>
    </w:p>
    <w:p>
      <w:r>
        <w:t>LTV — Loan-to-Value ratio: the loan amount expressed as a percentage of the property value.</w:t>
      </w:r>
    </w:p>
    <w:p>
      <w:r>
        <w:t>PMI — Private Mortgage Insurance: insurance that protects the lender against loss in the event of borrower default on high-LTV loans.</w:t>
      </w:r>
    </w:p>
    <w:p>
      <w:r>
        <w:t>HMO — House in Multiple Occupation: a property rented to 3 or more tenants forming 2 or more households.</w:t>
      </w:r>
    </w:p>
    <w:p>
      <w:r>
        <w:t>DTI — Debt-to-Income ratio: total monthly debt payments expressed as a percentage of gross monthly income.</w:t>
      </w:r>
    </w:p>
    <w:p>
      <w:r>
        <w:t>SVR — Standard Variable Rate: the lender's default interest rate applied after any initial product period ends.</w:t>
      </w:r>
    </w:p>
    <w:p>
      <w:r>
        <w:t>EPC — Energy Performance Certificate: a rating of the energy efficiency of a property from A (most efficient) to G (least efficient).</w:t>
      </w:r>
    </w:p>
    <w:p>
      <w:r>
        <w:t>SA302 — HMRC tax calculation: an official document showing an individual's taxable income for a given tax year.</w:t>
      </w:r>
    </w:p>
    <w:p>
      <w:r>
        <w:t>ERC — Early Repayment Charge: a fee charged when a borrower repays all or part of the mortgage during the initial product period.</w:t>
      </w:r>
    </w:p>
    <w:p>
      <w:r>
        <w:t>IVA — Individual Voluntary Arrangement: a formal agreement with creditors to repay debts over a fixed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