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19319" w14:textId="77777777" w:rsidR="00BB074C" w:rsidRDefault="00000000">
      <w:pPr>
        <w:keepNext/>
        <w:spacing w:before="720" w:after="200"/>
        <w:jc w:val="center"/>
        <w:rPr>
          <w:rFonts w:hint="eastAsia"/>
        </w:rPr>
      </w:pPr>
      <w:r>
        <w:rPr>
          <w:b/>
          <w:color w:val="192B32"/>
          <w:sz w:val="30"/>
        </w:rPr>
        <w:t>Faculty of Engineering and Technology</w:t>
        <w:br/>
        <w:t>Department of CSE – AI, ML and DS</w:t>
        <w:br/>
        <w:br/>
        <w:t>PROJECT REPORT</w:t>
      </w:r>
    </w:p>
    <w:p w14:paraId="01250698" w14:textId="77777777" w:rsidR="00BB074C" w:rsidRDefault="00000000">
      <w:pPr>
        <w:pStyle w:val="Title"/>
        <w:keepNext/>
        <w:spacing w:before="100" w:after="160"/>
        <w:jc w:val="center"/>
      </w:pPr>
      <w:r>
        <w:t>The Butterfly Effect</w:t>
      </w:r>
    </w:p>
    <w:p w14:paraId="047AA6E6" w14:textId="77777777" w:rsidR="00BB074C" w:rsidRDefault="00000000">
      <w:pPr>
        <w:keepNext/>
        <w:jc w:val="center"/>
        <w:rPr>
          <w:rFonts w:hint="eastAsia"/>
        </w:rPr>
      </w:pPr>
      <w:r>
        <w:rPr>
          <w:color w:val="4B6769"/>
          <w:sz w:val="24"/>
        </w:rPr>
        <w:t>AI-Assisted Web Application Project</w:t>
        <w:br/>
        <w:t>Semester 3 – CSE (AI/ML)</w:t>
      </w:r>
    </w:p>
    <w:tbl>
      <w:tblPr>
        <w:tblW w:w="0" w:type="auto"/>
        <w:jc w:val="center"/>
        <w:tblLayout w:type="fixed"/>
        <w:tblLook w:val="04A0" w:firstRow="1" w:lastRow="0" w:firstColumn="1" w:lastColumn="0" w:noHBand="0" w:noVBand="1"/>
      </w:tblPr>
      <w:tblGrid>
        <w:gridCol w:w="2880"/>
        <w:gridCol w:w="6048"/>
      </w:tblGrid>
      <w:tr w:rsidR="00BB074C" w14:paraId="3ADB5297" w14:textId="77777777" w:rsidTr="002E5E76">
        <w:trPr>
          <w:jc w:val="center"/>
        </w:trPr>
        <w:tc>
          <w:tcPr>
            <w:tcW w:w="2880" w:type="dxa"/>
            <w:vAlign w:val="center"/>
          </w:tcPr>
          <w:p w14:paraId="68E288C0" w14:textId="77777777" w:rsidR="00BB074C" w:rsidRDefault="00000000">
            <w:pPr>
              <w:spacing w:after="60"/>
              <w:rPr>
                <w:rFonts w:hint="eastAsia"/>
              </w:rPr>
            </w:pPr>
            <w:r>
              <w:rPr>
                <w:b/>
                <w:sz w:val="18"/>
              </w:rPr>
              <w:t>Student name</w:t>
            </w:r>
          </w:p>
        </w:tc>
        <w:tc>
          <w:tcPr>
            <w:tcW w:w="6048" w:type="dxa"/>
            <w:vAlign w:val="center"/>
          </w:tcPr>
          <w:p>
            <w:r>
              <w:t>Raj A. Khakhkhar</w:t>
            </w:r>
          </w:p>
        </w:tc>
      </w:tr>
      <w:tr w:rsidR="00BB074C" w14:paraId="7114907B" w14:textId="77777777" w:rsidTr="002E5E76">
        <w:trPr>
          <w:jc w:val="center"/>
        </w:trPr>
        <w:tc>
          <w:tcPr>
            <w:tcW w:w="2880" w:type="dxa"/>
            <w:vAlign w:val="center"/>
          </w:tcPr>
          <w:p w14:paraId="0AFC5123" w14:textId="77777777" w:rsidR="00BB074C" w:rsidRDefault="00000000">
            <w:pPr>
              <w:spacing w:after="60"/>
              <w:rPr>
                <w:rFonts w:hint="eastAsia"/>
              </w:rPr>
            </w:pPr>
            <w:r>
              <w:rPr>
                <w:b/>
                <w:sz w:val="18"/>
              </w:rPr>
              <w:t>GR number / Roll number</w:t>
            </w:r>
          </w:p>
        </w:tc>
        <w:tc>
          <w:tcPr>
            <w:tcW w:w="6048" w:type="dxa"/>
            <w:vAlign w:val="center"/>
          </w:tcPr>
          <w:p>
            <w:r>
              <w:t>92610122002</w:t>
            </w:r>
          </w:p>
        </w:tc>
      </w:tr>
      <w:tr w:rsidR="00BB074C" w14:paraId="20AB6802" w14:textId="77777777" w:rsidTr="002E5E76">
        <w:trPr>
          <w:jc w:val="center"/>
        </w:trPr>
        <w:tc>
          <w:tcPr>
            <w:tcW w:w="2880" w:type="dxa"/>
            <w:vAlign w:val="center"/>
          </w:tcPr>
          <w:p w14:paraId="3CF7A4BD" w14:textId="77777777" w:rsidR="00BB074C" w:rsidRDefault="00000000">
            <w:pPr>
              <w:spacing w:after="60"/>
              <w:rPr>
                <w:rFonts w:hint="eastAsia"/>
              </w:rPr>
            </w:pPr>
            <w:r>
              <w:rPr>
                <w:b/>
                <w:sz w:val="18"/>
              </w:rPr>
              <w:t>Division</w:t>
            </w:r>
          </w:p>
        </w:tc>
        <w:tc>
          <w:tcPr>
            <w:tcW w:w="6048" w:type="dxa"/>
            <w:vAlign w:val="center"/>
          </w:tcPr>
          <w:p>
            <w:r>
              <w:t>3EI1</w:t>
            </w:r>
          </w:p>
        </w:tc>
      </w:tr>
      <w:tr w:rsidR="00BB074C" w14:paraId="7A08D98B" w14:textId="77777777" w:rsidTr="002E5E76">
        <w:trPr>
          <w:jc w:val="center"/>
        </w:trPr>
        <w:tc>
          <w:tcPr>
            <w:tcW w:w="2880" w:type="dxa"/>
            <w:vAlign w:val="center"/>
          </w:tcPr>
          <w:p w14:paraId="6AC1CB0C" w14:textId="77777777" w:rsidR="00BB074C" w:rsidRDefault="00000000">
            <w:pPr>
              <w:spacing w:after="60"/>
              <w:rPr>
                <w:rFonts w:hint="eastAsia"/>
              </w:rPr>
            </w:pPr>
            <w:r>
              <w:rPr>
                <w:b/>
                <w:sz w:val="18"/>
              </w:rPr>
              <w:t>College / institute</w:t>
            </w:r>
          </w:p>
        </w:tc>
        <w:tc>
          <w:tcPr>
            <w:tcW w:w="6048" w:type="dxa"/>
            <w:vAlign w:val="center"/>
          </w:tcPr>
          <w:p>
            <w:r>
              <w:t>Marwadi University</w:t>
            </w:r>
          </w:p>
        </w:tc>
      </w:tr>
      <w:tr w:rsidR="002E5E76" w14:paraId="08542B56" w14:textId="77777777" w:rsidTr="002E5E76">
        <w:trPr>
          <w:jc w:val="center"/>
        </w:trPr>
        <w:tc>
          <w:tcPr>
            <w:tcW w:w="2880" w:type="dxa"/>
            <w:vAlign w:val="center"/>
          </w:tcPr>
          <w:p w14:paraId="408EAC52" w14:textId="77777777" w:rsidR="002E5E76" w:rsidRDefault="002E5E76" w:rsidP="002E5E76">
            <w:pPr>
              <w:spacing w:after="60"/>
              <w:rPr>
                <w:rFonts w:hint="eastAsia"/>
              </w:rPr>
            </w:pPr>
            <w:r>
              <w:rPr>
                <w:b/>
                <w:sz w:val="18"/>
              </w:rPr>
              <w:t>University</w:t>
            </w:r>
          </w:p>
        </w:tc>
        <w:tc>
          <w:tcPr>
            <w:tcW w:w="6048" w:type="dxa"/>
            <w:vAlign w:val="center"/>
          </w:tcPr>
          <w:p>
            <w:r>
              <w:t>Marwadi University</w:t>
            </w:r>
          </w:p>
        </w:tc>
      </w:tr>
      <w:tr w:rsidR="002E5E76" w14:paraId="23F5582F" w14:textId="77777777" w:rsidTr="002E5E76">
        <w:trPr>
          <w:jc w:val="center"/>
        </w:trPr>
        <w:tc>
          <w:tcPr>
            <w:tcW w:w="2880" w:type="dxa"/>
            <w:vAlign w:val="center"/>
          </w:tcPr>
          <w:p w14:paraId="200F2EFA" w14:textId="77777777" w:rsidR="002E5E76" w:rsidRDefault="002E5E76" w:rsidP="002E5E76">
            <w:pPr>
              <w:spacing w:after="60"/>
              <w:rPr>
                <w:rFonts w:hint="eastAsia"/>
              </w:rPr>
            </w:pPr>
            <w:r>
              <w:rPr>
                <w:b/>
                <w:sz w:val="18"/>
              </w:rPr>
              <w:t>Faculty / guide</w:t>
            </w:r>
          </w:p>
        </w:tc>
        <w:tc>
          <w:tcPr>
            <w:tcW w:w="6048" w:type="dxa"/>
            <w:vAlign w:val="center"/>
          </w:tcPr>
          <w:p>
            <w:r>
              <w:t>Chandreshkumar Vyas</w:t>
            </w:r>
          </w:p>
        </w:tc>
      </w:tr>
      <w:tr w:rsidR="002E5E76" w14:paraId="7FB986EA" w14:textId="77777777" w:rsidTr="002E5E76">
        <w:trPr>
          <w:jc w:val="center"/>
        </w:trPr>
        <w:tc>
          <w:tcPr>
            <w:tcW w:w="2880" w:type="dxa"/>
            <w:vAlign w:val="center"/>
          </w:tcPr>
          <w:p w14:paraId="1644D5F3" w14:textId="77777777" w:rsidR="002E5E76" w:rsidRDefault="002E5E76" w:rsidP="002E5E76">
            <w:pPr>
              <w:spacing w:after="60"/>
              <w:rPr>
                <w:rFonts w:hint="eastAsia"/>
              </w:rPr>
            </w:pPr>
            <w:r>
              <w:rPr>
                <w:b/>
                <w:sz w:val="18"/>
              </w:rPr>
              <w:t>Academic year / semester</w:t>
            </w:r>
          </w:p>
        </w:tc>
        <w:tc>
          <w:tcPr>
            <w:tcW w:w="6048" w:type="dxa"/>
            <w:vAlign w:val="center"/>
          </w:tcPr>
          <w:p>
            <w:r>
              <w:t>2026 / Semester 3 – CSE (AI/ML)</w:t>
            </w:r>
          </w:p>
        </w:tc>
      </w:tr>
    </w:tbl>
    <w:p w14:paraId="70618970" w14:textId="77777777" w:rsidR="00BB074C" w:rsidRDefault="00BB074C">
      <w:pPr>
        <w:rPr>
          <w:rFonts w:hint="eastAsia"/>
        </w:rPr>
      </w:pPr>
    </w:p>
    <w:p w14:paraId="138BF189" w14:textId="77777777" w:rsidR="00BB074C" w:rsidRDefault="00000000">
      <w:pPr>
        <w:rPr>
          <w:rFonts w:hint="eastAsia"/>
        </w:rPr>
      </w:pPr>
      <w:r>
        <w:br w:type="page"/>
      </w:r>
    </w:p>
    <w:p w14:paraId="6B84C86F" w14:textId="77777777" w:rsidR="00BB074C" w:rsidRDefault="00000000">
      <w:pPr>
        <w:pStyle w:val="Heading1"/>
      </w:pPr>
      <w:r>
        <w:lastRenderedPageBreak/>
        <w:t>Contents</w:t>
      </w:r>
    </w:p>
    <w:p>
      <w:pPr>
        <w:tabs>
          <w:tab w:pos="8856" w:val="right" w:leader="dot"/>
          <w:tab w:pos="8856" w:val="right" w:leader="dot"/>
        </w:tabs>
      </w:pPr>
      <w:r>
        <w:t>1. Introduction</w:t>
        <w:tab/>
        <w:t>3</w:t>
      </w:r>
    </w:p>
    <w:p>
      <w:pPr>
        <w:tabs>
          <w:tab w:pos="8856" w:val="right" w:leader="dot"/>
          <w:tab w:pos="8856" w:val="right" w:leader="dot"/>
        </w:tabs>
      </w:pPr>
      <w:r>
        <w:t>2. Target User</w:t>
        <w:tab/>
        <w:t>3</w:t>
      </w:r>
    </w:p>
    <w:p>
      <w:pPr>
        <w:tabs>
          <w:tab w:pos="8856" w:val="right" w:leader="dot"/>
          <w:tab w:pos="8856" w:val="right" w:leader="dot"/>
        </w:tabs>
      </w:pPr>
      <w:r>
        <w:t>3. Tools Used</w:t>
        <w:tab/>
        <w:t>3</w:t>
      </w:r>
    </w:p>
    <w:p>
      <w:pPr>
        <w:tabs>
          <w:tab w:pos="8856" w:val="right" w:leader="dot"/>
          <w:tab w:pos="8856" w:val="right" w:leader="dot"/>
        </w:tabs>
      </w:pPr>
      <w:r>
        <w:t>4. Prompt Engineering Process</w:t>
        <w:tab/>
        <w:t>3</w:t>
      </w:r>
    </w:p>
    <w:p>
      <w:pPr>
        <w:tabs>
          <w:tab w:pos="8856" w:val="right" w:leader="dot"/>
          <w:tab w:pos="8856" w:val="right" w:leader="dot"/>
        </w:tabs>
      </w:pPr>
      <w:r>
        <w:t>5. Application Design and Development</w:t>
        <w:tab/>
        <w:t>4</w:t>
      </w:r>
    </w:p>
    <w:p>
      <w:pPr>
        <w:tabs>
          <w:tab w:pos="8856" w:val="right" w:leader="dot"/>
          <w:tab w:pos="8856" w:val="right" w:leader="dot"/>
        </w:tabs>
      </w:pPr>
      <w:r>
        <w:t>6. Final Application</w:t>
        <w:tab/>
        <w:t>7</w:t>
      </w:r>
    </w:p>
    <w:p>
      <w:pPr>
        <w:tabs>
          <w:tab w:pos="8856" w:val="right" w:leader="dot"/>
          <w:tab w:pos="8856" w:val="right" w:leader="dot"/>
        </w:tabs>
      </w:pPr>
      <w:r>
        <w:t>7. Conclusion</w:t>
        <w:tab/>
        <w:t>7</w:t>
      </w:r>
    </w:p>
    <w:p w14:paraId="6BF874E9" w14:textId="77777777" w:rsidR="00BB074C" w:rsidRDefault="00000000">
      <w:pPr>
        <w:rPr>
          <w:rFonts w:hint="eastAsia"/>
        </w:rPr>
      </w:pPr>
      <w:r>
        <w:br w:type="page"/>
      </w:r>
    </w:p>
    <w:p>
      <w:pPr>
        <w:pStyle w:val="Heading1"/>
        <w:keepNext/>
      </w:pPr>
      <w:r>
        <w:t>1. Introduction</w:t>
      </w:r>
    </w:p>
    <w:p>
      <w:pPr>
        <w:widowControl/>
      </w:pPr>
      <w:r>
        <w:t>Planning an event involves connected decisions. Increasing the guest count changes catering expenditure; expenditure affects the remaining budget; and reducing preparation time raises modeled pressure and schedule risk. Considering each choice separately can hide these links.</w:t>
      </w:r>
    </w:p>
    <w:p>
      <w:pPr>
        <w:widowControl/>
      </w:pPr>
      <w:r>
        <w:t>The Butterfly Effect is a browser-based event-planning scenario demonstrator. It lets users change six planning inputs and immediately see calculated spending, budget balance, preparation pressure, schedule risk, and readiness. The dependency map highlights pathways from changed inputs to modeled outcomes, and a fixed baseline remains available for comparison.</w:t>
      </w:r>
    </w:p>
    <w:p>
      <w:pPr>
        <w:widowControl/>
      </w:pPr>
      <w:r>
        <w:t>The application uses deterministic TypeScript rules. Its objective is to give learners an interactive way to explore how event-planning inputs affect related outcomes. AI tools supported repair, refinement, and documentation of the existing application; the application itself does not call an AI service at runtime. The model illustrates simplified relationships and does not forecast real events or establish scientific causality.</w:t>
      </w:r>
    </w:p>
    <w:p>
      <w:pPr>
        <w:pStyle w:val="Heading1"/>
        <w:keepNext/>
      </w:pPr>
      <w:r>
        <w:t>2. Target User</w:t>
      </w:r>
    </w:p>
    <w:p>
      <w:pPr>
        <w:widowControl/>
      </w:pPr>
      <w:r>
        <w:t>The intended users are university students, instructors, and demonstration audiences who want to explore how a small set of event-planning assumptions changes a simplified model. The interface is designed for scenario exploration and discussion, not professional event budgeting. No user study or survey was conducted, so the project makes no claims about measured learning outcomes or user satisfaction.</w:t>
      </w:r>
    </w:p>
    <w:p>
      <w:pPr>
        <w:pStyle w:val="Heading1"/>
        <w:keepNext/>
      </w:pPr>
      <w:r>
        <w:t>3. Tools Used</w:t>
      </w:r>
    </w:p>
    <w:tbl>
      <w:tblPr>
        <w:tblStyle w:val="TableGrid"/>
        <w:tblW w:type="auto" w:w="0"/>
        <w:tblLook w:firstColumn="1" w:firstRow="1" w:lastColumn="0" w:lastRow="0" w:noHBand="0" w:noVBand="1" w:val="04A0"/>
      </w:tblPr>
      <w:tblGrid>
        <w:gridCol w:w="4968"/>
        <w:gridCol w:w="4968"/>
      </w:tblGrid>
      <w:tr>
        <w:tc>
          <w:tcPr>
            <w:tcW w:type="dxa" w:w="4968"/>
            <w:shd w:fill="DCEBE7"/>
          </w:tcPr>
          <w:p>
            <w:r>
              <w:rPr>
                <w:b/>
                <w:sz w:val="16"/>
              </w:rPr>
              <w:t>Tool / technology</w:t>
            </w:r>
          </w:p>
        </w:tc>
        <w:tc>
          <w:tcPr>
            <w:tcW w:type="dxa" w:w="4968"/>
            <w:shd w:fill="DCEBE7"/>
          </w:tcPr>
          <w:p>
            <w:r>
              <w:rPr>
                <w:b/>
                <w:sz w:val="16"/>
              </w:rPr>
              <w:t>Purpose in the project</w:t>
            </w:r>
          </w:p>
        </w:tc>
      </w:tr>
      <w:tr>
        <w:tc>
          <w:tcPr>
            <w:tcW w:type="dxa" w:w="4968"/>
          </w:tcPr>
          <w:p>
            <w:pPr>
              <w:spacing w:after="20"/>
            </w:pPr>
            <w:r>
              <w:rPr>
                <w:sz w:val="16"/>
              </w:rPr>
              <w:t>React and React DOM 19.x</w:t>
            </w:r>
          </w:p>
        </w:tc>
        <w:tc>
          <w:tcPr>
            <w:tcW w:type="dxa" w:w="4968"/>
          </w:tcPr>
          <w:p>
            <w:pPr>
              <w:spacing w:after="20"/>
            </w:pPr>
            <w:r>
              <w:rPr>
                <w:sz w:val="16"/>
              </w:rPr>
              <w:t>Render the interface and manage scenario state.</w:t>
            </w:r>
          </w:p>
        </w:tc>
      </w:tr>
      <w:tr>
        <w:tc>
          <w:tcPr>
            <w:tcW w:type="dxa" w:w="4968"/>
          </w:tcPr>
          <w:p>
            <w:pPr>
              <w:spacing w:after="20"/>
            </w:pPr>
            <w:r>
              <w:rPr>
                <w:sz w:val="16"/>
              </w:rPr>
              <w:t>TypeScript 7.0.x and TSX</w:t>
            </w:r>
          </w:p>
        </w:tc>
        <w:tc>
          <w:tcPr>
            <w:tcW w:type="dxa" w:w="4968"/>
          </w:tcPr>
          <w:p>
            <w:pPr>
              <w:spacing w:after="20"/>
            </w:pPr>
            <w:r>
              <w:rPr>
                <w:sz w:val="16"/>
              </w:rPr>
              <w:t>Implement typed scenario values, calculations, and UI components.</w:t>
            </w:r>
          </w:p>
        </w:tc>
      </w:tr>
      <w:tr>
        <w:tc>
          <w:tcPr>
            <w:tcW w:type="dxa" w:w="4968"/>
          </w:tcPr>
          <w:p>
            <w:pPr>
              <w:spacing w:after="20"/>
            </w:pPr>
            <w:r>
              <w:rPr>
                <w:sz w:val="16"/>
              </w:rPr>
              <w:t>Vite 8.3.x</w:t>
            </w:r>
          </w:p>
        </w:tc>
        <w:tc>
          <w:tcPr>
            <w:tcW w:type="dxa" w:w="4968"/>
          </w:tcPr>
          <w:p>
            <w:pPr>
              <w:spacing w:after="20"/>
            </w:pPr>
            <w:r>
              <w:rPr>
                <w:sz w:val="16"/>
              </w:rPr>
              <w:t>Run the development server and build the static production bundle.</w:t>
            </w:r>
          </w:p>
        </w:tc>
      </w:tr>
      <w:tr>
        <w:tc>
          <w:tcPr>
            <w:tcW w:type="dxa" w:w="4968"/>
          </w:tcPr>
          <w:p>
            <w:pPr>
              <w:spacing w:after="20"/>
            </w:pPr>
            <w:r>
              <w:rPr>
                <w:sz w:val="16"/>
              </w:rPr>
              <w:t>CSS</w:t>
            </w:r>
          </w:p>
        </w:tc>
        <w:tc>
          <w:tcPr>
            <w:tcW w:type="dxa" w:w="4968"/>
          </w:tcPr>
          <w:p>
            <w:pPr>
              <w:spacing w:after="20"/>
            </w:pPr>
            <w:r>
              <w:rPr>
                <w:sz w:val="16"/>
              </w:rPr>
              <w:t>Style the responsive dark interface, controls, and focus indicators.</w:t>
            </w:r>
          </w:p>
        </w:tc>
      </w:tr>
      <w:tr>
        <w:tc>
          <w:tcPr>
            <w:tcW w:type="dxa" w:w="4968"/>
          </w:tcPr>
          <w:p>
            <w:pPr>
              <w:spacing w:after="20"/>
            </w:pPr>
            <w:r>
              <w:rPr>
                <w:sz w:val="16"/>
              </w:rPr>
              <w:t>SVG</w:t>
            </w:r>
          </w:p>
        </w:tc>
        <w:tc>
          <w:tcPr>
            <w:tcW w:type="dxa" w:w="4968"/>
          </w:tcPr>
          <w:p>
            <w:pPr>
              <w:spacing w:after="20"/>
            </w:pPr>
            <w:r>
              <w:rPr>
                <w:sz w:val="16"/>
              </w:rPr>
              <w:t>Draw the cause-and-effect ripple map.</w:t>
            </w:r>
          </w:p>
        </w:tc>
      </w:tr>
      <w:tr>
        <w:tc>
          <w:tcPr>
            <w:tcW w:type="dxa" w:w="4968"/>
          </w:tcPr>
          <w:p>
            <w:pPr>
              <w:spacing w:after="20"/>
            </w:pPr>
            <w:r>
              <w:rPr>
                <w:sz w:val="16"/>
              </w:rPr>
              <w:t>Node.js built-in node:test</w:t>
            </w:r>
          </w:p>
        </w:tc>
        <w:tc>
          <w:tcPr>
            <w:tcW w:type="dxa" w:w="4968"/>
          </w:tcPr>
          <w:p>
            <w:pPr>
              <w:spacing w:after="20"/>
            </w:pPr>
            <w:r>
              <w:rPr>
                <w:sz w:val="16"/>
              </w:rPr>
              <w:t>Run six simulation tests without an added test framework.</w:t>
            </w:r>
          </w:p>
        </w:tc>
      </w:tr>
      <w:tr>
        <w:tc>
          <w:tcPr>
            <w:tcW w:type="dxa" w:w="4968"/>
          </w:tcPr>
          <w:p>
            <w:pPr>
              <w:spacing w:after="20"/>
            </w:pPr>
            <w:r>
              <w:rPr>
                <w:sz w:val="16"/>
              </w:rPr>
              <w:t>Oxlint 1.89.x</w:t>
            </w:r>
          </w:p>
        </w:tc>
        <w:tc>
          <w:tcPr>
            <w:tcW w:type="dxa" w:w="4968"/>
          </w:tcPr>
          <w:p>
            <w:pPr>
              <w:spacing w:after="20"/>
            </w:pPr>
            <w:r>
              <w:rPr>
                <w:sz w:val="16"/>
              </w:rPr>
              <w:t>Check source code for lint issues.</w:t>
            </w:r>
          </w:p>
        </w:tc>
      </w:tr>
      <w:tr>
        <w:tc>
          <w:tcPr>
            <w:tcW w:type="dxa" w:w="4968"/>
          </w:tcPr>
          <w:p>
            <w:pPr>
              <w:spacing w:after="20"/>
            </w:pPr>
            <w:r>
              <w:rPr>
                <w:sz w:val="16"/>
              </w:rPr>
              <w:t>OpenCode (earlier project phase)</w:t>
            </w:r>
          </w:p>
        </w:tc>
        <w:tc>
          <w:tcPr>
            <w:tcW w:type="dxa" w:w="4968"/>
          </w:tcPr>
          <w:p>
            <w:pPr>
              <w:spacing w:after="20"/>
            </w:pPr>
            <w:r>
              <w:rPr>
                <w:sz w:val="16"/>
              </w:rPr>
              <w:t>Reported in the project handover as a prior AI-assisted development tool; its original prompt history is unavailable.</w:t>
            </w:r>
          </w:p>
        </w:tc>
      </w:tr>
      <w:tr>
        <w:tc>
          <w:tcPr>
            <w:tcW w:type="dxa" w:w="4968"/>
          </w:tcPr>
          <w:p>
            <w:pPr>
              <w:spacing w:after="20"/>
            </w:pPr>
            <w:r>
              <w:rPr>
                <w:sz w:val="16"/>
              </w:rPr>
              <w:t>Codex desktop assistant</w:t>
            </w:r>
          </w:p>
        </w:tc>
        <w:tc>
          <w:tcPr>
            <w:tcW w:type="dxa" w:w="4968"/>
          </w:tcPr>
          <w:p>
            <w:pPr>
              <w:spacing w:after="20"/>
            </w:pPr>
            <w:r>
              <w:rPr>
                <w:sz w:val="16"/>
              </w:rPr>
              <w:t>Used in the available prompts for repair, final development and verification, and report preparation.</w:t>
            </w:r>
          </w:p>
        </w:tc>
      </w:tr>
    </w:tbl>
    <w:p/>
    <w:p>
      <w:pPr>
        <w:widowControl/>
      </w:pPr>
      <w:r>
        <w:t>Technology versions follow the project manifest and lockfile. The project runs on Windows through PowerShell with Node.js/npm and can be opened in Visual Studio Code; the available records do not establish which editor was used during earlier coding. The application has no backend, paid API, or runtime AI dependency.</w:t>
      </w:r>
    </w:p>
    <w:p>
      <w:pPr>
        <w:pStyle w:val="Heading1"/>
        <w:keepNext/>
      </w:pPr>
      <w:r>
        <w:t>4. Prompt Engineering Process</w:t>
      </w:r>
    </w:p>
    <w:p>
      <w:pPr>
        <w:widowControl/>
      </w:pPr>
      <w:r>
        <w:t>The process was organized as six stages: define the problem, specify requirements, guide interface design, direct code work, verify behavior, and refine demonstrated issues. Three actual Codex user prompts are reproduced in the separate prompt book. The initial OpenCode prompt history could not be recovered. No image files showing actual prompt conversations were supplied, so application screenshots are not used as substitutes.</w:t>
      </w:r>
    </w:p>
    <w:p>
      <w:pPr>
        <w:pStyle w:val="Heading2"/>
        <w:keepNext/>
      </w:pPr>
      <w:r>
        <w:t>4.1 Idea and problem analysis</w:t>
      </w:r>
    </w:p>
    <w:p>
      <w:pPr>
        <w:widowControl/>
      </w:pPr>
      <w:r>
        <w:t>Purpose: Define the event-planning problem and why linked outcomes are hard to understand from isolated figures.</w:t>
      </w:r>
    </w:p>
    <w:p>
      <w:pPr>
        <w:widowControl/>
      </w:pPr>
      <w:r>
        <w:t>Available evidence: Prompt 1 asks for inspection of the existing project and diagnosis of actual issues. The earlier OpenCode prompt is unavailable.</w:t>
      </w:r>
    </w:p>
    <w:p>
      <w:pPr>
        <w:widowControl/>
      </w:pPr>
      <w:r>
        <w:rPr>
          <w:b/>
          <w:color w:val="A64620"/>
        </w:rPr>
        <w:t>[STUDENT ACTION REQUIRED: Insert an authentic screenshot of the relevant prompt conversation for this stage if required. Do not use an application screenshot here.]</w:t>
      </w:r>
    </w:p>
    <w:p>
      <w:pPr>
        <w:pStyle w:val="Heading2"/>
        <w:keepNext/>
      </w:pPr>
      <w:r>
        <w:t>4.2 Requirements and features</w:t>
      </w:r>
    </w:p>
    <w:p>
      <w:pPr>
        <w:widowControl/>
      </w:pPr>
      <w:r>
        <w:t>Purpose: Specify inputs, outputs, presets, baseline comparison, reset, and evidence standards before implementation.</w:t>
      </w:r>
    </w:p>
    <w:p>
      <w:pPr>
        <w:widowControl/>
      </w:pPr>
      <w:r>
        <w:t>Available evidence: The available prompts enumerate controls, simulation outcomes, graph, baseline comparison, presets, reset, and evidence rules.</w:t>
      </w:r>
    </w:p>
    <w:p>
      <w:pPr>
        <w:widowControl/>
      </w:pPr>
      <w:r>
        <w:rPr>
          <w:b/>
          <w:color w:val="A64620"/>
        </w:rPr>
        <w:t>[STUDENT ACTION REQUIRED: Insert an authentic screenshot of the relevant prompt conversation for this stage if required. Do not use an application screenshot here.]</w:t>
      </w:r>
    </w:p>
    <w:p>
      <w:pPr>
        <w:pStyle w:val="Heading2"/>
        <w:keepNext/>
      </w:pPr>
      <w:r>
        <w:t>4.3 UI and layout design</w:t>
      </w:r>
    </w:p>
    <w:p>
      <w:pPr>
        <w:widowControl/>
      </w:pPr>
      <w:r>
        <w:t>Purpose: Describe visual hierarchy and interaction style while retaining clarity and usability.</w:t>
      </w:r>
    </w:p>
    <w:p>
      <w:pPr>
        <w:widowControl/>
      </w:pPr>
      <w:r>
        <w:t>Available evidence: Prompt 2 requests a polished responsive dark interface, clear separation of inputs/results/relationships, and restrained transitions. A separate historical UI prompt was not supplied.</w:t>
      </w:r>
    </w:p>
    <w:p>
      <w:pPr>
        <w:widowControl/>
      </w:pPr>
      <w:r>
        <w:rPr>
          <w:b/>
          <w:color w:val="A64620"/>
        </w:rPr>
        <w:t>[STUDENT ACTION REQUIRED: Insert an authentic screenshot of the relevant prompt conversation for this stage if required. Do not use an application screenshot here.]</w:t>
      </w:r>
    </w:p>
    <w:p>
      <w:pPr>
        <w:pStyle w:val="Heading2"/>
        <w:keepNext/>
      </w:pPr>
      <w:r>
        <w:t>4.4 Code generation and implementation</w:t>
      </w:r>
    </w:p>
    <w:p>
      <w:pPr>
        <w:widowControl/>
      </w:pPr>
      <w:r>
        <w:t>Purpose: Direct changes to the existing codebase while preserving useful work and architecture.</w:t>
      </w:r>
    </w:p>
    <w:p>
      <w:pPr>
        <w:widowControl/>
      </w:pPr>
      <w:r>
        <w:t>Available evidence: Prompts 1 and 2 request targeted changes to the existing React/TypeScript application rather than a replacement.</w:t>
      </w:r>
    </w:p>
    <w:p>
      <w:pPr>
        <w:widowControl/>
      </w:pPr>
      <w:r>
        <w:rPr>
          <w:b/>
          <w:color w:val="A64620"/>
        </w:rPr>
        <w:t>[STUDENT ACTION REQUIRED: Insert an authentic screenshot of the relevant prompt conversation for this stage if required. Do not use an application screenshot here.]</w:t>
      </w:r>
    </w:p>
    <w:p>
      <w:pPr>
        <w:pStyle w:val="Heading2"/>
        <w:keepNext/>
      </w:pPr>
      <w:r>
        <w:t>4.5 Testing and verification</w:t>
      </w:r>
    </w:p>
    <w:p>
      <w:pPr>
        <w:widowControl/>
      </w:pPr>
      <w:r>
        <w:t>Purpose: Check calculations and real interactions; distinguish completed checks from gaps.</w:t>
      </w:r>
    </w:p>
    <w:p>
      <w:pPr>
        <w:widowControl/>
      </w:pPr>
      <w:r>
        <w:t>Available evidence: Prompts 1 and 2 request build, lint, tests, and browser checks. The project handover lists six simulation tests but says the final test, build, and lint commands could not start because the command launcher reported no free space on C:. Their pass status is therefore unverified. Recorded browser observations are summarized in Section 5.</w:t>
      </w:r>
    </w:p>
    <w:p>
      <w:pPr>
        <w:widowControl/>
      </w:pPr>
      <w:r>
        <w:rPr>
          <w:b/>
          <w:color w:val="A64620"/>
        </w:rPr>
        <w:t>[STUDENT ACTION REQUIRED: Insert an authentic screenshot of the relevant prompt conversation for this stage if required. Do not use an application screenshot here.]</w:t>
      </w:r>
    </w:p>
    <w:p>
      <w:pPr>
        <w:pStyle w:val="Heading2"/>
        <w:keepNext/>
      </w:pPr>
      <w:r>
        <w:t>4.6 Debugging and improvement</w:t>
      </w:r>
    </w:p>
    <w:p>
      <w:pPr>
        <w:widowControl/>
      </w:pPr>
      <w:r>
        <w:t>Purpose: Use observed issues to refine behavior, rerun checks, and record remaining gaps.</w:t>
      </w:r>
    </w:p>
    <w:p>
      <w:pPr>
        <w:widowControl/>
      </w:pPr>
      <w:r>
        <w:t>Available evidence: Recorded refinements include input validation, zero-budget handling, illustrative-model wording, local font fallbacks, and six simulation tests added to the project. The handover does not record a completed run of those tests after the final source changes. Original debugging follow-up prompts are unavailable.</w:t>
      </w:r>
    </w:p>
    <w:p>
      <w:pPr>
        <w:widowControl/>
      </w:pPr>
      <w:r>
        <w:rPr>
          <w:b/>
          <w:color w:val="A64620"/>
        </w:rPr>
        <w:t>[STUDENT ACTION REQUIRED: Insert an authentic screenshot of the relevant prompt conversation for this stage if required. Do not use an application screenshot here.]</w:t>
      </w:r>
    </w:p>
    <w:p>
      <w:pPr>
        <w:widowControl/>
      </w:pPr>
      <w:r>
        <w:t>Prompt-image evidence status: zero genuine prompt screenshots were included in the supplied materials. The prompt book reproduces three available prompt texts, not screenshots. No OpenCode screenshots can be supplied from the available records.</w:t>
      </w:r>
    </w:p>
    <w:p>
      <w:pPr>
        <w:pStyle w:val="Heading1"/>
        <w:keepNext/>
      </w:pPr>
      <w:r>
        <w:t>5. Application Design and Development</w:t>
      </w:r>
    </w:p>
    <w:p>
      <w:pPr>
        <w:widowControl/>
      </w:pPr>
      <w:r>
        <w:t>The interface is implemented in src/App.tsx. It owns the current scenario and selected graph node, renders controls and presets, calls simulation functions, and displays current results and comparisons. The calculation layer in src/simulation.ts contains scenario types, ranges, validation, baseline values, and deterministic calculations. tests/simulation.test.mjs contains automated tests. Vite serves development and produces static files under dist.</w:t>
      </w:r>
    </w:p>
    <w:p>
      <w:pPr>
        <w:widowControl/>
      </w:pPr>
      <w:r>
        <w:t>The page presents six inputs: venue cost, guest count, catering cost per guest, travel cost, available budget, and days remaining. Catering expenditure equals guest count multiplied by cost per guest. Total expenditure adds venue, catering, and travel costs. Remaining budget is budget minus spending; deficit is positive overspend or zero. Preparation pressure uses days remaining on a bounded 0–100 scale; schedule risk is derived from pressure; readiness uses budget balance, risk, and time remaining.</w:t>
      </w:r>
    </w:p>
    <w:p>
      <w:pPr>
        <w:widowControl/>
      </w:pPr>
      <w:r>
        <w:t>Workflow: the user edits a slider or numeric value; the input is bounded to its allowed range and step; React updates scenario state; the simulation recalculates; and result cards, dependency paths, and baseline comparisons refresh. Selecting a graph node highlights its modeled downstream path. Reset copies the fixed baseline into current scenario state.</w:t>
      </w:r>
    </w:p>
    <w:p>
      <w:r>
        <w:t>The application uses a single-page dashboard rather than separate routes. Its main areas are the scenario controls and presets, summary results, dependency map, and baseline comparison. Users navigate these views within the dashboard; selecting a graph node highlights its modeled downstream path.</w:t>
      </w:r>
    </w:p>
    <w:p>
      <w:pPr>
        <w:pStyle w:val="Heading2"/>
        <w:keepNext/>
      </w:pPr>
      <w:r>
        <w:t>Page structure, navigation, and system architecture</w:t>
      </w:r>
    </w:p>
    <w:tbl>
      <w:tblPr>
        <w:tblStyle w:val="TableGrid"/>
        <w:tblW w:type="auto" w:w="0"/>
        <w:tblLook w:firstColumn="1" w:firstRow="1" w:lastColumn="0" w:lastRow="0" w:noHBand="0" w:noVBand="1" w:val="04A0"/>
      </w:tblPr>
      <w:tblGrid>
        <w:gridCol w:w="4968"/>
        <w:gridCol w:w="4968"/>
      </w:tblGrid>
      <w:tr>
        <w:tc>
          <w:tcPr>
            <w:tcW w:type="dxa" w:w="4968"/>
            <w:shd w:fill="DCEBE7"/>
          </w:tcPr>
          <w:p>
            <w:r>
              <w:rPr>
                <w:b/>
                <w:sz w:val="16"/>
              </w:rPr>
              <w:t>Page area / layer</w:t>
            </w:r>
          </w:p>
        </w:tc>
        <w:tc>
          <w:tcPr>
            <w:tcW w:type="dxa" w:w="4968"/>
            <w:shd w:fill="DCEBE7"/>
          </w:tcPr>
          <w:p>
            <w:r>
              <w:rPr>
                <w:b/>
                <w:sz w:val="16"/>
              </w:rPr>
              <w:t>Role</w:t>
            </w:r>
          </w:p>
        </w:tc>
      </w:tr>
      <w:tr>
        <w:tc>
          <w:tcPr>
            <w:tcW w:type="dxa" w:w="4968"/>
          </w:tcPr>
          <w:p>
            <w:pPr>
              <w:spacing w:after="20"/>
            </w:pPr>
            <w:r>
              <w:rPr>
                <w:sz w:val="16"/>
              </w:rPr>
              <w:t>Scenario controls and presets</w:t>
            </w:r>
          </w:p>
        </w:tc>
        <w:tc>
          <w:tcPr>
            <w:tcW w:type="dxa" w:w="4968"/>
          </w:tcPr>
          <w:p>
            <w:pPr>
              <w:spacing w:after="20"/>
            </w:pPr>
            <w:r>
              <w:rPr>
                <w:sz w:val="16"/>
              </w:rPr>
              <w:t>Edit six inputs; apply four experiments or reset.</w:t>
            </w:r>
          </w:p>
        </w:tc>
      </w:tr>
      <w:tr>
        <w:tc>
          <w:tcPr>
            <w:tcW w:type="dxa" w:w="4968"/>
          </w:tcPr>
          <w:p>
            <w:pPr>
              <w:spacing w:after="20"/>
            </w:pPr>
            <w:r>
              <w:rPr>
                <w:sz w:val="16"/>
              </w:rPr>
              <w:t>Dashboard results</w:t>
            </w:r>
          </w:p>
        </w:tc>
        <w:tc>
          <w:tcPr>
            <w:tcW w:type="dxa" w:w="4968"/>
          </w:tcPr>
          <w:p>
            <w:pPr>
              <w:spacing w:after="20"/>
            </w:pPr>
            <w:r>
              <w:rPr>
                <w:sz w:val="16"/>
              </w:rPr>
              <w:t>Show spending, budget balance/deficit, pressure, risk, and readiness.</w:t>
            </w:r>
          </w:p>
        </w:tc>
      </w:tr>
      <w:tr>
        <w:tc>
          <w:tcPr>
            <w:tcW w:type="dxa" w:w="4968"/>
          </w:tcPr>
          <w:p>
            <w:pPr>
              <w:spacing w:after="20"/>
            </w:pPr>
            <w:r>
              <w:rPr>
                <w:sz w:val="16"/>
              </w:rPr>
              <w:t>Ripple map</w:t>
            </w:r>
          </w:p>
        </w:tc>
        <w:tc>
          <w:tcPr>
            <w:tcW w:type="dxa" w:w="4968"/>
          </w:tcPr>
          <w:p>
            <w:pPr>
              <w:spacing w:after="20"/>
            </w:pPr>
            <w:r>
              <w:rPr>
                <w:sz w:val="16"/>
              </w:rPr>
              <w:t>Show encoded input-to-outcome dependencies and highlighted paths.</w:t>
            </w:r>
          </w:p>
        </w:tc>
      </w:tr>
      <w:tr>
        <w:tc>
          <w:tcPr>
            <w:tcW w:type="dxa" w:w="4968"/>
          </w:tcPr>
          <w:p>
            <w:pPr>
              <w:spacing w:after="20"/>
            </w:pPr>
            <w:r>
              <w:rPr>
                <w:sz w:val="16"/>
              </w:rPr>
              <w:t>Baseline comparison</w:t>
            </w:r>
          </w:p>
        </w:tc>
        <w:tc>
          <w:tcPr>
            <w:tcW w:type="dxa" w:w="4968"/>
          </w:tcPr>
          <w:p>
            <w:pPr>
              <w:spacing w:after="20"/>
            </w:pPr>
            <w:r>
              <w:rPr>
                <w:sz w:val="16"/>
              </w:rPr>
              <w:t>Compare current inputs and outcomes with the fixed default.</w:t>
            </w:r>
          </w:p>
        </w:tc>
      </w:tr>
      <w:tr>
        <w:tc>
          <w:tcPr>
            <w:tcW w:type="dxa" w:w="4968"/>
          </w:tcPr>
          <w:p>
            <w:pPr>
              <w:spacing w:after="20"/>
            </w:pPr>
            <w:r>
              <w:rPr>
                <w:sz w:val="16"/>
              </w:rPr>
              <w:t>React UI (src/App.tsx) → simulation (src/simulation.ts) → results / graph / comparison</w:t>
            </w:r>
          </w:p>
        </w:tc>
        <w:tc>
          <w:tcPr>
            <w:tcW w:type="dxa" w:w="4968"/>
          </w:tcPr>
          <w:p>
            <w:pPr>
              <w:spacing w:after="20"/>
            </w:pPr>
            <w:r>
              <w:rPr>
                <w:sz w:val="16"/>
              </w:rPr>
              <w:t>Main data flow; Node tests cover the simulation module.</w:t>
            </w:r>
          </w:p>
        </w:tc>
      </w:tr>
    </w:tbl>
    <w:p/>
    <w:p>
      <w:pPr>
        <w:keepNext/>
        <w:widowControl/>
      </w:pPr>
      <w:r>
        <w:t>Figure 1. Application dashboard showing the scenario controls and calculated results.</w:t>
      </w:r>
    </w:p>
    <w:p>
      <w:pPr>
        <w:keepLines/>
        <w:jc w:val="center"/>
      </w:pPr>
      <w:p w14:paraId="71537FC2" w14:textId="7513B55C" w:rsidR="00934338" w:rsidRPr="00934338" w:rsidRDefault="00E73048" w:rsidP="00934338">
        <w:r>
          <w:rPr>
            <w:noProof/>
          </w:rPr>
          <w:drawing>
            <wp:inline distT="0" distB="0" distL="0" distR="0" wp14:anchorId="14EDC81E" wp14:editId="61B197A6">
              <wp:extent cx="6305550" cy="3546475"/>
              <wp:effectExtent l="0" t="0" r="0" b="0"/>
              <wp:docPr id="859731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5550" cy="3546475"/>
                      </a:xfrm>
                      <a:prstGeom prst="rect">
                        <a:avLst/>
                      </a:prstGeom>
                      <a:noFill/>
                      <a:ln>
                        <a:noFill/>
                      </a:ln>
                    </pic:spPr>
                  </pic:pic>
                </a:graphicData>
              </a:graphic>
            </wp:inline>
          </w:drawing>
        </w:r>
      </w:p>
    </w:p>
    <w:p>
      <w:pPr>
        <w:keepNext/>
        <w:widowControl/>
      </w:pPr>
      <w:r>
        <w:t>Figure 2. Ripple map showing modeled links between scenario inputs and outcomes.</w:t>
      </w:r>
    </w:p>
    <w:p>
      <w:pPr>
        <w:keepLines/>
        <w:jc w:val="center"/>
      </w:pPr>
      <w:p w14:paraId="2060C44A" w14:textId="151E522D" w:rsidR="00934338" w:rsidRPr="002E5E76" w:rsidRDefault="00934338" w:rsidP="002E5E76">
        <w:r>
          <w:rPr>
            <w:noProof/>
          </w:rPr>
          <w:drawing>
            <wp:inline distT="0" distB="0" distL="0" distR="0" wp14:anchorId="29D48D55" wp14:editId="7F450002">
              <wp:extent cx="6302375" cy="3559175"/>
              <wp:effectExtent l="0" t="0" r="3175" b="3175"/>
              <wp:docPr id="520127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2375" cy="3559175"/>
                      </a:xfrm>
                      <a:prstGeom prst="rect">
                        <a:avLst/>
                      </a:prstGeom>
                      <a:noFill/>
                      <a:ln>
                        <a:noFill/>
                      </a:ln>
                    </pic:spPr>
                  </pic:pic>
                </a:graphicData>
              </a:graphic>
            </wp:inline>
          </w:drawing>
        </w:r>
      </w:p>
    </w:p>
    <w:p>
      <w:pPr>
        <w:keepNext/>
        <w:widowControl/>
      </w:pPr>
      <w:r>
        <w:t>Figure 3. Baseline comparison showing current values against the fixed starting scenario.</w:t>
      </w:r>
    </w:p>
    <w:p>
      <w:pPr>
        <w:keepLines/>
        <w:jc w:val="center"/>
      </w:pPr>
      <w:p w14:paraId="30096F7D" w14:textId="6D734711" w:rsidR="00E73048" w:rsidRPr="00E73048" w:rsidRDefault="00E73048" w:rsidP="00E73048">
        <w:r>
          <w:rPr>
            <w:noProof/>
          </w:rPr>
          <w:drawing>
            <wp:inline distT="0" distB="0" distL="0" distR="0" wp14:anchorId="41612E8D" wp14:editId="6492C3ED">
              <wp:extent cx="6305550" cy="3077210"/>
              <wp:effectExtent l="0" t="0" r="0" b="8890"/>
              <wp:docPr id="14168974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5550" cy="3077210"/>
                      </a:xfrm>
                      <a:prstGeom prst="rect">
                        <a:avLst/>
                      </a:prstGeom>
                      <a:noFill/>
                      <a:ln>
                        <a:noFill/>
                      </a:ln>
                    </pic:spPr>
                  </pic:pic>
                </a:graphicData>
              </a:graphic>
            </wp:inline>
          </w:drawing>
        </w:r>
      </w:p>
    </w:p>
    <w:p>
      <w:pPr>
        <w:pStyle w:val="Heading2"/>
        <w:keepNext/>
      </w:pPr>
      <w:r>
        <w:t>Testing record</w:t>
      </w:r>
    </w:p>
    <w:tbl>
      <w:tblPr>
        <w:tblStyle w:val="TableGrid"/>
        <w:tblW w:type="auto" w:w="0"/>
        <w:tblLook w:firstColumn="1" w:firstRow="1" w:lastColumn="0" w:lastRow="0" w:noHBand="0" w:noVBand="1" w:val="04A0"/>
      </w:tblPr>
      <w:tblGrid>
        <w:gridCol w:w="4968"/>
        <w:gridCol w:w="4968"/>
      </w:tblGrid>
      <w:tr>
        <w:tc>
          <w:tcPr>
            <w:tcW w:type="dxa" w:w="4968"/>
            <w:shd w:fill="DCEBE7"/>
          </w:tcPr>
          <w:p>
            <w:r>
              <w:rPr>
                <w:b/>
                <w:sz w:val="16"/>
              </w:rPr>
              <w:t>Verification</w:t>
            </w:r>
          </w:p>
        </w:tc>
        <w:tc>
          <w:tcPr>
            <w:tcW w:type="dxa" w:w="4968"/>
            <w:shd w:fill="DCEBE7"/>
          </w:tcPr>
          <w:p>
            <w:r>
              <w:rPr>
                <w:b/>
                <w:sz w:val="16"/>
              </w:rPr>
              <w:t>Observed evidence / status</w:t>
            </w:r>
          </w:p>
        </w:tc>
      </w:tr>
      <w:tr>
        <w:tc>
          <w:tcPr>
            <w:tcW w:type="dxa" w:w="4968"/>
          </w:tcPr>
          <w:p>
            <w:pPr>
              <w:spacing w:after="20"/>
            </w:pPr>
            <w:r>
              <w:rPr>
                <w:sz w:val="16"/>
              </w:rPr>
              <w:t>Simulation tests</w:t>
            </w:r>
          </w:p>
        </w:tc>
        <w:tc>
          <w:tcPr>
            <w:tcW w:type="dxa" w:w="4968"/>
          </w:tcPr>
          <w:p>
            <w:r>
              <w:t>Six Node-native simulation tests are present in tests/simulation.test.mjs. The final handover says the command launcher could not start because C: had no free space; test execution and pass status are unverified.</w:t>
            </w:r>
          </w:p>
        </w:tc>
      </w:tr>
      <w:tr>
        <w:tc>
          <w:tcPr>
            <w:tcW w:type="dxa" w:w="4968"/>
          </w:tcPr>
          <w:p>
            <w:pPr>
              <w:spacing w:after="20"/>
            </w:pPr>
            <w:r>
              <w:rPr>
                <w:sz w:val="16"/>
              </w:rPr>
              <w:t>Build and lint</w:t>
            </w:r>
          </w:p>
        </w:tc>
        <w:tc>
          <w:tcPr>
            <w:tcW w:type="dxa" w:w="4968"/>
          </w:tcPr>
          <w:p>
            <w:r>
              <w:t>The final handover records that the build and Oxlint commands could not start because the command launcher reported no free space on C:. No pass or failure result was observed.</w:t>
            </w:r>
          </w:p>
        </w:tc>
      </w:tr>
      <w:tr>
        <w:tc>
          <w:tcPr>
            <w:tcW w:type="dxa" w:w="4968"/>
          </w:tcPr>
          <w:p>
            <w:pPr>
              <w:spacing w:after="20"/>
            </w:pPr>
            <w:r>
              <w:rPr>
                <w:sz w:val="16"/>
              </w:rPr>
              <w:t>Browser interactions</w:t>
            </w:r>
          </w:p>
        </w:tc>
        <w:tc>
          <w:tcPr>
            <w:tcW w:type="dxa" w:w="4968"/>
          </w:tcPr>
          <w:p>
            <w:r>
              <w:t>Recorded observations include baseline spend ₹355,000 and remaining budget ₹145,000; doubling guests produced ₹475,000 spend; an expensive venue produced a ₹5,000 deficit; 15 days remaining showed 83% pressure and 62% risk; reset restored the baseline; and the maximum budget showed ₹4,645,000 remaining. These are handover records, not checks rerun during this document audit.</w:t>
            </w:r>
          </w:p>
        </w:tc>
      </w:tr>
      <w:tr>
        <w:tc>
          <w:tcPr>
            <w:tcW w:type="dxa" w:w="4968"/>
          </w:tcPr>
          <w:p>
            <w:pPr>
              <w:spacing w:after="20"/>
            </w:pPr>
            <w:r>
              <w:rPr>
                <w:sz w:val="16"/>
              </w:rPr>
              <w:t>Not verified</w:t>
            </w:r>
          </w:p>
        </w:tc>
        <w:tc>
          <w:tcPr>
            <w:tcW w:type="dxa" w:w="4968"/>
          </w:tcPr>
          <w:p>
            <w:r>
              <w:t>Browser-console inspection, complete keyboard selection of graph nodes, and a production preview after the final source changes were not verified.</w:t>
            </w:r>
          </w:p>
        </w:tc>
      </w:tr>
      <w:tr>
        <w:tc>
          <w:tcPr>
            <w:tcW w:type="dxa" w:w="4968"/>
          </w:tcPr>
          <w:p>
            <w:pPr>
              <w:spacing w:after="20"/>
            </w:pPr>
            <w:r>
              <w:rPr>
                <w:sz w:val="16"/>
              </w:rPr>
              <w:t>User research / deployment</w:t>
            </w:r>
          </w:p>
        </w:tc>
        <w:tc>
          <w:tcPr>
            <w:tcW w:type="dxa" w:w="4968"/>
          </w:tcPr>
          <w:p>
            <w:pPr>
              <w:spacing w:after="20"/>
            </w:pPr>
            <w:r>
              <w:rPr>
                <w:sz w:val="16"/>
              </w:rPr>
              <w:t>No user study, accessibility certification, performance benchmark, or public deployment was performed.</w:t>
            </w:r>
          </w:p>
        </w:tc>
      </w:tr>
    </w:tbl>
    <w:p/>
    <w:p>
      <w:pPr>
        <w:pStyle w:val="Heading1"/>
        <w:keepNext/>
      </w:pPr>
      <w:r>
        <w:t>6. Final Application</w:t>
      </w:r>
    </w:p>
    <w:p>
      <w:pPr>
        <w:widowControl/>
      </w:pPr>
      <w:r>
        <w:t>The finished local application provides six editable scenario controls; deterministic cost, budget, pressure, risk, and readiness results; an interactive SVG dependency map; current-versus-baseline comparison; four presets; and reset to the default scenario. It is a frontend-only Vite application and needs no server-side service or API key.</w:t>
      </w:r>
    </w:p>
    <w:p>
      <w:pPr>
        <w:widowControl/>
      </w:pPr>
      <w:r>
        <w:t>Deployment has not been completed, so no public application URL is available. The local development address is http://127.0.0.1:5173/ while the development server is running.</w:t>
      </w:r>
    </w:p>
    <w:p>
      <w:pPr>
        <w:widowControl/>
      </w:pPr>
      <w:r>
        <w:t>To run locally in PowerShell: cd D:\butterfly-effect, then npm run dev. To prepare a production build: npm run build. Add a public link only after deployment and browser verification of that URL and key interactions.</w:t>
      </w:r>
    </w:p>
    <w:p>
      <w:pPr>
        <w:pStyle w:val="Heading1"/>
        <w:keepNext/>
      </w:pPr>
      <w:r>
        <w:t>7. Conclusion</w:t>
      </w:r>
    </w:p>
    <w:p>
      <w:pPr>
        <w:widowControl/>
      </w:pPr>
      <w:r>
        <w:t>The Butterfly Effect demonstrates how changing event-planning assumptions can affect related outcomes in a transparent deterministic model. It combines a React interface, TypeScript calculations, an SVG dependency map, a fixed baseline, presets, and reset. AI-assisted work supported repair, implementation refinement, and documentation. The available records include six simulation tests added to the project and specific browser observations; the final handover does not confirm successful build, lint, or test execution after the final source changes.</w:t>
      </w:r>
    </w:p>
    <w:p>
      <w:pPr>
        <w:widowControl/>
      </w:pPr>
      <w:r>
        <w:t>Limitations include simplified illustrative rules, no user research, unverified build/lint/test execution after the final source changes, incomplete browser-console and graph-keyboard evidence, unavailable original OpenCode prompts and prompt screenshots, and no public deployment. Future work could complete the outstanding checks, document authentic prompt evidence, deploy and verify a public build if required, and expand the model only where reliable event-planning data supports it.</w:t>
      </w:r>
    </w:p>
    <w:p>
      <w:pPr>
        <w:pStyle w:val="Heading2"/>
        <w:keepNext/>
      </w:pPr>
      <w:r>
        <w:t>References</w:t>
      </w:r>
    </w:p>
    <w:p>
      <w:pPr>
        <w:widowControl/>
      </w:pPr>
      <w:r>
        <w:t>Project source files: src/App.tsx, src/simulation.ts, src/index.css, tests/simulation.test.mjs, package.json, and package-lock.json. Checked during preparation of this report.</w:t>
      </w:r>
    </w:p>
    <w:p>
      <w:pPr>
        <w:widowControl/>
      </w:pPr>
      <w:r>
        <w:t>The Butterfly Effect project handover: PROJECT_HANDOVER.md. Used to establish scope and prior verification records, checked against source files and recorded outputs.</w:t>
      </w:r>
    </w:p>
    <w:p>
      <w:pPr>
        <w:widowControl/>
      </w:pPr>
      <w:r>
        <w:t>University report-format instructions supplied by the student specify the seven main sections, cover wording, and evidence rules followed in this report. The low-resolution cover image does not establish additional page measurements or detailed graphic rules.</w:t>
      </w:r>
    </w:p>
    <w:p>
      <w:pPr>
        <w:pStyle w:val="Heading2"/>
        <w:keepNext/>
      </w:pPr>
      <w:r>
        <w:t>Local project access</w:t>
      </w:r>
    </w:p>
    <w:p>
      <w:pPr>
        <w:widowControl/>
      </w:pPr>
      <w:r>
        <w:t>From PowerShell, run cd D:\butterfly-effect followed by npm run dev. The application is available at http://127.0.0.1:5173/ while the development server is running.</w:t>
      </w:r>
    </w:p>
    <w:sectPr w:rsidR="00BB074C" w:rsidSect="00034616">
      <w:footerReference w:type="default" r:id="rId11"/>
      <w:pgSz w:w="12240" w:h="15840"/>
      <w:pgMar w:top="1037"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641BE" w14:textId="77777777" w:rsidR="00A97F53" w:rsidRDefault="00A97F53">
      <w:pPr>
        <w:spacing w:after="0" w:line="240" w:lineRule="auto"/>
        <w:rPr>
          <w:rFonts w:hint="eastAsia"/>
        </w:rPr>
      </w:pPr>
      <w:r>
        <w:separator/>
      </w:r>
    </w:p>
  </w:endnote>
  <w:endnote w:type="continuationSeparator" w:id="0">
    <w:p w14:paraId="09720471" w14:textId="77777777" w:rsidR="00A97F53" w:rsidRDefault="00A97F5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67A4D" w14:textId="77777777" w:rsidR="00BB074C" w:rsidRDefault="00000000">
    <w:pPr>
      <w:pStyle w:val="Footer"/>
      <w:jc w:val="center"/>
      <w:rPr>
        <w:rFonts w:hint="eastAsia"/>
      </w:rPr>
    </w:pPr>
    <w:r>
      <w:rPr>
        <w:color w:val="5A696E"/>
        <w:sz w:val="16"/>
      </w:rPr>
      <w:t xml:space="preserve">THE BUTTERFLY EFFECT  |  IPE PROJECT  |  Page </w:t>
    </w:r>
    <w:r>
      <w:fldChar w:fldCharType="begin"/>
    </w:r>
    <w:r>
      <w:instrText>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9D5B1" w14:textId="77777777" w:rsidR="00A97F53" w:rsidRDefault="00A97F53">
      <w:pPr>
        <w:spacing w:after="0" w:line="240" w:lineRule="auto"/>
        <w:rPr>
          <w:rFonts w:hint="eastAsia"/>
        </w:rPr>
      </w:pPr>
      <w:r>
        <w:separator/>
      </w:r>
    </w:p>
  </w:footnote>
  <w:footnote w:type="continuationSeparator" w:id="0">
    <w:p w14:paraId="60053F0E" w14:textId="77777777" w:rsidR="00A97F53" w:rsidRDefault="00A97F5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BE41680"/>
    <w:lvl w:ilvl="0">
      <w:start w:val="1"/>
      <w:numFmt w:val="bullet"/>
      <w:pStyle w:val="ListBullet"/>
      <w:lvlText w:val=""/>
      <w:lvlJc w:val="left"/>
      <w:pPr>
        <w:tabs>
          <w:tab w:val="num" w:pos="360"/>
        </w:tabs>
        <w:ind w:left="360" w:hanging="360"/>
      </w:pPr>
      <w:rPr>
        <w:rFonts w:ascii="Symbol" w:hAnsi="Symbol" w:hint="default"/>
      </w:rPr>
    </w:lvl>
  </w:abstractNum>
  <w:num w:numId="1" w16cid:durableId="1826165086">
    <w:abstractNumId w:val="8"/>
  </w:num>
  <w:num w:numId="2" w16cid:durableId="393091182">
    <w:abstractNumId w:val="6"/>
  </w:num>
  <w:num w:numId="3" w16cid:durableId="385372166">
    <w:abstractNumId w:val="5"/>
  </w:num>
  <w:num w:numId="4" w16cid:durableId="1771050674">
    <w:abstractNumId w:val="4"/>
  </w:num>
  <w:num w:numId="5" w16cid:durableId="433668713">
    <w:abstractNumId w:val="7"/>
  </w:num>
  <w:num w:numId="6" w16cid:durableId="1871184220">
    <w:abstractNumId w:val="3"/>
  </w:num>
  <w:num w:numId="7" w16cid:durableId="1427769028">
    <w:abstractNumId w:val="2"/>
  </w:num>
  <w:num w:numId="8" w16cid:durableId="1327587263">
    <w:abstractNumId w:val="1"/>
  </w:num>
  <w:num w:numId="9" w16cid:durableId="1629433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F8F"/>
    <w:rsid w:val="0029639D"/>
    <w:rsid w:val="002E5E76"/>
    <w:rsid w:val="00326F90"/>
    <w:rsid w:val="00701AE9"/>
    <w:rsid w:val="00934338"/>
    <w:rsid w:val="00A97F53"/>
    <w:rsid w:val="00AA1D8D"/>
    <w:rsid w:val="00B47730"/>
    <w:rsid w:val="00BB074C"/>
    <w:rsid w:val="00CB0664"/>
    <w:rsid w:val="00DA6A2E"/>
    <w:rsid w:val="00E730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8EFE07"/>
  <w14:defaultImageDpi w14:val="300"/>
  <w15:docId w15:val="{B7E82541-05FB-455C-90AE-7E2D3EC3B14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A333B"/>
      <w:sz w:val="20"/>
    </w:rPr>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2695E"/>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266E66"/>
      <w:sz w:val="24"/>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Aptos Display" w:hAnsi="Aptos Display"/>
      <w:b/>
      <w:bCs/>
      <w:color w:val="266E6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20" w:after="100" w:line="240" w:lineRule="auto"/>
      <w:contextualSpacing/>
    </w:pPr>
    <w:rPr>
      <w:rFonts w:asciiTheme="majorHAnsi" w:eastAsiaTheme="majorEastAsia" w:hAnsiTheme="majorHAnsi" w:cstheme="majorBidi"/>
      <w:b/>
      <w:color w:val="15242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10</Pages>
  <Words>2127</Words>
  <Characters>12129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The Butterfly Effect IPE Project Report</vt:lpstr>
    </vt:vector>
  </TitlesOfParts>
  <Manager/>
  <Company/>
  <LinksUpToDate>false</LinksUpToDate>
  <CharactersWithSpaces>14228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Butterfly Effect IPE Project Report</dc:title>
  <dc:subject>University IPE project documentation</dc:subject>
  <dc:creator>python-docx</dc:creator>
  <cp:keywords/>
  <dc:description>generated by python-docx</dc:description>
  <cp:lastModifiedBy>Raj Khakhkhar</cp:lastModifiedBy>
  <cp:revision>2</cp:revision>
  <dcterms:created xsi:type="dcterms:W3CDTF">2013-12-23T23:15:00Z</dcterms:created>
  <dcterms:modified xsi:type="dcterms:W3CDTF">2026-10-29T12:24:00Z</dcterms:modified>
  <cp:category/>
</cp:coreProperties>
</file>