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pBdr>
          <w:left w:val="single" w:color="1F6FEB" w:sz="2" w:space="12"/>
          <w:right w:val="single" w:color="1F6FEB" w:sz="2" w:space="12"/>
        </w:pBdr>
        <w:shd w:fill="1F6FEB" w:val="clear"/>
        <w:jc w:val="center"/>
      </w:pPr>
      <w:r>
        <w:rPr>
          <w:rFonts w:ascii="Calibri" w:cs="Calibri" w:eastAsia="Calibri" w:hAnsi="Calibri"/>
          <w:b/>
          <w:bCs/>
          <w:color w:val="FFFFFF"/>
          <w:spacing w:val="40"/>
          <w:sz w:val="20"/>
          <w:szCs w:val="20"/>
        </w:rPr>
        <w:t xml:space="preserve">POWER BI CAPSTONE PROJECT</w:t>
      </w:r>
    </w:p>
    <w:p>
      <w:pPr>
        <w:spacing w:before="300"/>
        <w:jc w:val="center"/>
      </w:pPr>
      <w:r>
        <w:rPr>
          <w:rFonts w:ascii="Cambria" w:cs="Cambria" w:eastAsia="Cambria" w:hAnsi="Cambria"/>
          <w:b/>
          <w:bCs/>
          <w:color w:val="16335B"/>
          <w:sz w:val="68"/>
          <w:szCs w:val="68"/>
        </w:rPr>
        <w:t xml:space="preserve">ShopNest Store</w:t>
      </w:r>
    </w:p>
    <w:p>
      <w:pPr>
        <w:jc w:val="center"/>
      </w:pPr>
      <w:r>
        <w:rPr>
          <w:rFonts w:ascii="Cambria" w:cs="Cambria" w:eastAsia="Cambria" w:hAnsi="Cambria"/>
          <w:b/>
          <w:bCs/>
          <w:color w:val="1F6FEB"/>
          <w:sz w:val="40"/>
          <w:szCs w:val="40"/>
        </w:rPr>
        <w:t xml:space="preserve">Power BI Capstone Dashboard Report</w:t>
      </w:r>
    </w:p>
    <w:p>
      <w:pPr>
        <w:spacing w:before="220"/>
        <w:jc w:val="center"/>
      </w:pPr>
      <w:r>
        <w:rPr>
          <w:rFonts w:ascii="Calibri" w:cs="Calibri" w:eastAsia="Calibri" w:hAnsi="Calibri"/>
          <w:i/>
          <w:iCs/>
          <w:color w:val="5B6B7F"/>
          <w:sz w:val="24"/>
          <w:szCs w:val="24"/>
        </w:rPr>
        <w:t xml:space="preserve">Sales, Revenue, Delivery, Product, and Customer Insights</w:t>
      </w:r>
    </w:p>
    <w:p>
      <w:pPr>
        <w:pBdr>
          <w:bottom w:val="single" w:color="C9D6E5" w:sz="6" w:space="10"/>
        </w:pBdr>
        <w:spacing w:before="460"/>
        <w:jc w:val="center"/>
      </w:pPr>
      <w:r>
        <w:rPr>
          <w:sz w:val="2"/>
          <w:szCs w:val="2"/>
        </w:rPr>
        <w:t xml:space="preserve"/>
      </w:r>
    </w:p>
    <w:p>
      <w:pPr>
        <w:spacing w:after="80" w:before="380"/>
        <w:jc w:val="center"/>
      </w:pPr>
      <w:r>
        <w:rPr>
          <w:rFonts w:ascii="Calibri" w:cs="Calibri" w:eastAsia="Calibri" w:hAnsi="Calibri"/>
          <w:color w:val="5B6B7F"/>
          <w:sz w:val="22"/>
          <w:szCs w:val="22"/>
        </w:rPr>
        <w:t xml:space="preserve">Prepared by  </w:t>
      </w:r>
      <w:r>
        <w:rPr>
          <w:rFonts w:ascii="Calibri" w:cs="Calibri" w:eastAsia="Calibri" w:hAnsi="Calibri"/>
          <w:b/>
          <w:bCs/>
          <w:color w:val="16335B"/>
          <w:sz w:val="22"/>
          <w:szCs w:val="22"/>
        </w:rPr>
        <w:t xml:space="preserve">Rajkumar</w:t>
      </w:r>
    </w:p>
    <w:p>
      <w:pPr>
        <w:jc w:val="center"/>
      </w:pPr>
      <w:r>
        <w:rPr>
          <w:rFonts w:ascii="Calibri" w:cs="Calibri" w:eastAsia="Calibri" w:hAnsi="Calibri"/>
          <w:color w:val="5B6B7F"/>
          <w:sz w:val="22"/>
          <w:szCs w:val="22"/>
        </w:rPr>
        <w:t xml:space="preserve">Tool Used  </w:t>
      </w:r>
      <w:r>
        <w:rPr>
          <w:rFonts w:ascii="Calibri" w:cs="Calibri" w:eastAsia="Calibri" w:hAnsi="Calibri"/>
          <w:b/>
          <w:bCs/>
          <w:color w:val="16335B"/>
          <w:sz w:val="22"/>
          <w:szCs w:val="22"/>
        </w:rPr>
        <w:t xml:space="preserve">Microsoft Power BI Desktop</w:t>
      </w:r>
    </w:p>
    <w:p>
      <w:r>
        <w:br w:type="page"/>
      </w:r>
    </w:p>
    <w:p>
      <w:pPr>
        <w:spacing w:after="200"/>
      </w:pPr>
      <w:r>
        <w:rPr>
          <w:rFonts w:ascii="Cambria" w:cs="Cambria" w:eastAsia="Cambria" w:hAnsi="Cambria"/>
          <w:b/>
          <w:bCs/>
          <w:color w:val="16335B"/>
          <w:sz w:val="34"/>
          <w:szCs w:val="34"/>
        </w:rPr>
        <w:t xml:space="preserve">Contents</w:t>
      </w:r>
    </w:p>
    <w:p>
      <w:pPr>
        <w:pBdr>
          <w:bottom w:val="dotted" w:color="C9D6E5" w:sz="4" w:space="4"/>
        </w:pBdr>
        <w:spacing w:after="120" w:line="276"/>
      </w:pPr>
      <w:r>
        <w:rPr>
          <w:rFonts w:ascii="Calibri" w:cs="Calibri" w:eastAsia="Calibri" w:hAnsi="Calibri"/>
          <w:color w:val="1E293B"/>
          <w:sz w:val="23"/>
          <w:szCs w:val="23"/>
        </w:rPr>
        <w:t xml:space="preserve">1.  Project Overview</w:t>
      </w:r>
    </w:p>
    <w:p>
      <w:pPr>
        <w:pBdr>
          <w:bottom w:val="dotted" w:color="C9D6E5" w:sz="4" w:space="4"/>
        </w:pBdr>
        <w:spacing w:after="120" w:line="276"/>
      </w:pPr>
      <w:r>
        <w:rPr>
          <w:rFonts w:ascii="Calibri" w:cs="Calibri" w:eastAsia="Calibri" w:hAnsi="Calibri"/>
          <w:color w:val="1E293B"/>
          <w:sz w:val="23"/>
          <w:szCs w:val="23"/>
        </w:rPr>
        <w:t xml:space="preserve">2.  ShopNest Store Dashboard Overview</w:t>
      </w:r>
    </w:p>
    <w:p>
      <w:pPr>
        <w:pBdr>
          <w:bottom w:val="dotted" w:color="C9D6E5" w:sz="4" w:space="4"/>
        </w:pBdr>
        <w:spacing w:after="120" w:line="276"/>
      </w:pPr>
      <w:r>
        <w:rPr>
          <w:rFonts w:ascii="Calibri" w:cs="Calibri" w:eastAsia="Calibri" w:hAnsi="Calibri"/>
          <w:color w:val="1E293B"/>
          <w:sz w:val="23"/>
          <w:szCs w:val="23"/>
        </w:rPr>
        <w:t xml:space="preserve">3.  Order Status Analysis</w:t>
      </w:r>
    </w:p>
    <w:p>
      <w:pPr>
        <w:pBdr>
          <w:bottom w:val="dotted" w:color="C9D6E5" w:sz="4" w:space="4"/>
        </w:pBdr>
        <w:spacing w:after="120" w:line="276"/>
      </w:pPr>
      <w:r>
        <w:rPr>
          <w:rFonts w:ascii="Calibri" w:cs="Calibri" w:eastAsia="Calibri" w:hAnsi="Calibri"/>
          <w:color w:val="1E293B"/>
          <w:sz w:val="23"/>
          <w:szCs w:val="23"/>
        </w:rPr>
        <w:t xml:space="preserve">4.  Delivery Performance Analysis</w:t>
      </w:r>
    </w:p>
    <w:p>
      <w:pPr>
        <w:pBdr>
          <w:bottom w:val="dotted" w:color="C9D6E5" w:sz="4" w:space="4"/>
        </w:pBdr>
        <w:spacing w:after="120" w:line="276"/>
      </w:pPr>
      <w:r>
        <w:rPr>
          <w:rFonts w:ascii="Calibri" w:cs="Calibri" w:eastAsia="Calibri" w:hAnsi="Calibri"/>
          <w:color w:val="1E293B"/>
          <w:sz w:val="23"/>
          <w:szCs w:val="23"/>
        </w:rPr>
        <w:t xml:space="preserve">5.  Product Sales Analysis — Top Categories</w:t>
      </w:r>
    </w:p>
    <w:p>
      <w:pPr>
        <w:pBdr>
          <w:bottom w:val="dotted" w:color="C9D6E5" w:sz="4" w:space="4"/>
        </w:pBdr>
        <w:spacing w:after="120" w:line="276"/>
      </w:pPr>
      <w:r>
        <w:rPr>
          <w:rFonts w:ascii="Calibri" w:cs="Calibri" w:eastAsia="Calibri" w:hAnsi="Calibri"/>
          <w:color w:val="1E293B"/>
          <w:sz w:val="23"/>
          <w:szCs w:val="23"/>
        </w:rPr>
        <w:t xml:space="preserve">6.  Payment Method Analysis</w:t>
      </w:r>
    </w:p>
    <w:p>
      <w:pPr>
        <w:pBdr>
          <w:bottom w:val="dotted" w:color="C9D6E5" w:sz="4" w:space="4"/>
        </w:pBdr>
        <w:spacing w:after="120" w:line="276"/>
      </w:pPr>
      <w:r>
        <w:rPr>
          <w:rFonts w:ascii="Calibri" w:cs="Calibri" w:eastAsia="Calibri" w:hAnsi="Calibri"/>
          <w:color w:val="1E293B"/>
          <w:sz w:val="23"/>
          <w:szCs w:val="23"/>
        </w:rPr>
        <w:t xml:space="preserve">7.  Product Rating Analysis</w:t>
      </w:r>
    </w:p>
    <w:p>
      <w:pPr>
        <w:pBdr>
          <w:bottom w:val="dotted" w:color="C9D6E5" w:sz="4" w:space="4"/>
        </w:pBdr>
        <w:spacing w:after="120" w:line="276"/>
      </w:pPr>
      <w:r>
        <w:rPr>
          <w:rFonts w:ascii="Calibri" w:cs="Calibri" w:eastAsia="Calibri" w:hAnsi="Calibri"/>
          <w:color w:val="1E293B"/>
          <w:sz w:val="23"/>
          <w:szCs w:val="23"/>
        </w:rPr>
        <w:t xml:space="preserve">8.  State-Wise Sales Analysis</w:t>
      </w:r>
    </w:p>
    <w:p>
      <w:pPr>
        <w:pBdr>
          <w:bottom w:val="dotted" w:color="C9D6E5" w:sz="4" w:space="4"/>
        </w:pBdr>
        <w:spacing w:after="120" w:line="276"/>
      </w:pPr>
      <w:r>
        <w:rPr>
          <w:rFonts w:ascii="Calibri" w:cs="Calibri" w:eastAsia="Calibri" w:hAnsi="Calibri"/>
          <w:color w:val="1E293B"/>
          <w:sz w:val="23"/>
          <w:szCs w:val="23"/>
        </w:rPr>
        <w:t xml:space="preserve">9.  Seasonal Sales Pattern &amp; Revenue Trend</w:t>
      </w:r>
    </w:p>
    <w:p>
      <w:pPr>
        <w:pBdr>
          <w:bottom w:val="dotted" w:color="C9D6E5" w:sz="4" w:space="4"/>
        </w:pBdr>
        <w:spacing w:after="120" w:line="276"/>
      </w:pPr>
      <w:r>
        <w:rPr>
          <w:rFonts w:ascii="Calibri" w:cs="Calibri" w:eastAsia="Calibri" w:hAnsi="Calibri"/>
          <w:color w:val="1E293B"/>
          <w:sz w:val="23"/>
          <w:szCs w:val="23"/>
        </w:rPr>
        <w:t xml:space="preserve">10.  Conclusion &amp; Key Takeaways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6FEB"/>
          <w:sz w:val="30"/>
          <w:szCs w:val="30"/>
        </w:rPr>
        <w:t xml:space="preserve">1.  </w:t>
      </w:r>
      <w:r>
        <w:rPr>
          <w:rFonts w:ascii="Cambria" w:cs="Cambria" w:eastAsia="Cambria" w:hAnsi="Cambria"/>
          <w:b/>
          <w:bCs/>
          <w:color w:val="16335B"/>
          <w:sz w:val="30"/>
          <w:szCs w:val="30"/>
        </w:rPr>
        <w:t xml:space="preserve">Project Overview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project analyzes ShopNest Store e-commerce data using Microsoft Power BI Desktop.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dashboard delivers insights into sales, revenue, delivery performance, payment methods, product ratings, and state-wise sales.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Interactive filters such as Year and Delivery Status let users explore the data dynamically.</w:t>
      </w:r>
    </w:p>
    <w:p>
      <w:pPr>
        <w:spacing w:after="2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 eight capstone questions are answered on a single-page interactive dashboard. Each analysis is documented below through its question statement, the corresponding visualization, and a concise explanation of the key findings.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6FEB"/>
          <w:sz w:val="30"/>
          <w:szCs w:val="30"/>
        </w:rPr>
        <w:t xml:space="preserve">2.  </w:t>
      </w:r>
      <w:r>
        <w:rPr>
          <w:rFonts w:ascii="Cambria" w:cs="Cambria" w:eastAsia="Cambria" w:hAnsi="Cambria"/>
          <w:b/>
          <w:bCs/>
          <w:color w:val="16335B"/>
          <w:sz w:val="30"/>
          <w:szCs w:val="30"/>
        </w:rPr>
        <w:t xml:space="preserve">ShopNest Store Dashboard Overview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dashboard combines all major business insights on one page for quick, at-a-glance analysis.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KPI cards include Total Revenue (15.8M), Total Orders (99K), Delayed Orders (8K), and Average Order Value (159.33).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Interactive Year and Delivery Status filters allow users to slice every visual on the page.</w:t>
      </w:r>
    </w:p>
    <w:p>
      <w:pPr>
        <w:spacing w:after="100" w:before="120"/>
        <w:jc w:val="center"/>
      </w:pPr>
      <w:r>
        <w:drawing>
          <wp:inline distT="0" distB="0" distL="0" distR="0">
            <wp:extent cx="58102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B7F"/>
          <w:sz w:val="17"/>
          <w:szCs w:val="17"/>
        </w:rPr>
        <w:t xml:space="preserve">Figure 1 — Full ShopNest Store Power BI dashboard (single page).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6FEB"/>
          <w:sz w:val="30"/>
          <w:szCs w:val="30"/>
        </w:rPr>
        <w:t xml:space="preserve">3.  </w:t>
      </w:r>
      <w:r>
        <w:rPr>
          <w:rFonts w:ascii="Cambria" w:cs="Cambria" w:eastAsia="Cambria" w:hAnsi="Cambria"/>
          <w:b/>
          <w:bCs/>
          <w:color w:val="16335B"/>
          <w:sz w:val="30"/>
          <w:szCs w:val="30"/>
        </w:rPr>
        <w:t xml:space="preserve">Order Status Analysis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6FEB"/>
          <w:spacing w:val="20"/>
          <w:sz w:val="19"/>
          <w:szCs w:val="19"/>
        </w:rPr>
        <w:t xml:space="preserve">QUESTION STATEMENT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Analyze the distribution of orders based on delivery status — delivered, cancelled, shipped, unavailable, and other statuses.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6FEB"/>
          <w:spacing w:val="20"/>
          <w:sz w:val="19"/>
          <w:szCs w:val="19"/>
        </w:rPr>
        <w:t xml:space="preserve">VISUALIZATION</w:t>
      </w:r>
    </w:p>
    <w:p>
      <w:pPr>
        <w:spacing w:after="4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KPI cards summarising order outcomes: On-Time Orders, Total Orders, Delayed Orders, and Average Order Value.</w:t>
      </w:r>
    </w:p>
    <w:p>
      <w:pPr>
        <w:spacing w:after="100" w:before="120"/>
        <w:jc w:val="center"/>
      </w:pPr>
      <w:r>
        <w:drawing>
          <wp:inline distT="0" distB="0" distL="0" distR="0">
            <wp:extent cx="59055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B7F"/>
          <w:sz w:val="17"/>
          <w:szCs w:val="17"/>
        </w:rPr>
        <w:t xml:space="preserve">Figure 2 — Order KPI cards: 89K on-time out of 99K total orders, with 8K delayed.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B8860B"/>
          <w:spacing w:val="20"/>
          <w:sz w:val="19"/>
          <w:szCs w:val="19"/>
        </w:rPr>
        <w:t xml:space="preserve">EXPLANATION &amp; KEY INSIGHT</w:t>
      </w:r>
    </w:p>
    <w:p>
      <w:pPr>
        <w:spacing w:after="1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Out of 99K total orders, roughly 89K are delivered on time while about 8K are delayed and a small remainder fall into cancelled or unavailable statuses. The vast majority of orders reach customers successfully; tracking cancelled and unavailable orders highlights the operational gaps worth addressing.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6FEB"/>
          <w:sz w:val="30"/>
          <w:szCs w:val="30"/>
        </w:rPr>
        <w:t xml:space="preserve">4.  </w:t>
      </w:r>
      <w:r>
        <w:rPr>
          <w:rFonts w:ascii="Cambria" w:cs="Cambria" w:eastAsia="Cambria" w:hAnsi="Cambria"/>
          <w:b/>
          <w:bCs/>
          <w:color w:val="16335B"/>
          <w:sz w:val="30"/>
          <w:szCs w:val="30"/>
        </w:rPr>
        <w:t xml:space="preserve">Delivery Performance Analysis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6FEB"/>
          <w:spacing w:val="20"/>
          <w:sz w:val="19"/>
          <w:szCs w:val="19"/>
        </w:rPr>
        <w:t xml:space="preserve">QUESTION STATEMENT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Compare delayed orders against on-time orders across the months of the year.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6FEB"/>
          <w:spacing w:val="20"/>
          <w:sz w:val="19"/>
          <w:szCs w:val="19"/>
        </w:rPr>
        <w:t xml:space="preserve">VISUALIZATION</w:t>
      </w:r>
    </w:p>
    <w:p>
      <w:pPr>
        <w:spacing w:after="4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Clustered column chart showing Delayed Orders versus On-Time Orders by month.</w:t>
      </w:r>
    </w:p>
    <w:p>
      <w:pPr>
        <w:spacing w:after="100" w:before="120"/>
        <w:jc w:val="center"/>
      </w:pPr>
      <w:r>
        <w:drawing>
          <wp:inline distT="0" distB="0" distL="0" distR="0">
            <wp:extent cx="3619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B7F"/>
          <w:sz w:val="17"/>
          <w:szCs w:val="17"/>
        </w:rPr>
        <w:t xml:space="preserve">Figure 3 — Monthly comparison of delayed vs on-time orders.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B8860B"/>
          <w:spacing w:val="20"/>
          <w:sz w:val="19"/>
          <w:szCs w:val="19"/>
        </w:rPr>
        <w:t xml:space="preserve">EXPLANATION &amp; KEY INSIGHT</w:t>
      </w:r>
    </w:p>
    <w:p>
      <w:pPr>
        <w:spacing w:after="1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clustered columns reveal the months with the highest delayed deliveries, making it easy to evaluate delivery performance and target the problem periods for improvement.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6FEB"/>
          <w:sz w:val="30"/>
          <w:szCs w:val="30"/>
        </w:rPr>
        <w:t xml:space="preserve">5.  </w:t>
      </w:r>
      <w:r>
        <w:rPr>
          <w:rFonts w:ascii="Cambria" w:cs="Cambria" w:eastAsia="Cambria" w:hAnsi="Cambria"/>
          <w:b/>
          <w:bCs/>
          <w:color w:val="16335B"/>
          <w:sz w:val="30"/>
          <w:szCs w:val="30"/>
        </w:rPr>
        <w:t xml:space="preserve">Product Sales Analysis — Top Categories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6FEB"/>
          <w:spacing w:val="20"/>
          <w:sz w:val="19"/>
          <w:szCs w:val="19"/>
        </w:rPr>
        <w:t xml:space="preserve">QUESTION STATEMENT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Identify the top 10 product categories based on total sales.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6FEB"/>
          <w:spacing w:val="20"/>
          <w:sz w:val="19"/>
          <w:szCs w:val="19"/>
        </w:rPr>
        <w:t xml:space="preserve">VISUALIZATION</w:t>
      </w:r>
    </w:p>
    <w:p>
      <w:pPr>
        <w:spacing w:after="4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Horizontal bar chart ranking the top 10 product categories by total sales.</w:t>
      </w:r>
    </w:p>
    <w:p>
      <w:pPr>
        <w:spacing w:after="100" w:before="120"/>
        <w:jc w:val="center"/>
      </w:pPr>
      <w:r>
        <w:drawing>
          <wp:inline distT="0" distB="0" distL="0" distR="0">
            <wp:extent cx="3810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B7F"/>
          <w:sz w:val="17"/>
          <w:szCs w:val="17"/>
        </w:rPr>
        <w:t xml:space="preserve">Figure 4 — Top 10 product categories by total sales.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B8860B"/>
          <w:spacing w:val="20"/>
          <w:sz w:val="19"/>
          <w:szCs w:val="19"/>
        </w:rPr>
        <w:t xml:space="preserve">EXPLANATION &amp; KEY INSIGHT</w:t>
      </w:r>
    </w:p>
    <w:p>
      <w:pPr>
        <w:spacing w:after="1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leading categories drive the largest share of sales and should be prioritised in inventory planning and promotional campaigns to maximise revenue.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6FEB"/>
          <w:sz w:val="30"/>
          <w:szCs w:val="30"/>
        </w:rPr>
        <w:t xml:space="preserve">6.  </w:t>
      </w:r>
      <w:r>
        <w:rPr>
          <w:rFonts w:ascii="Cambria" w:cs="Cambria" w:eastAsia="Cambria" w:hAnsi="Cambria"/>
          <w:b/>
          <w:bCs/>
          <w:color w:val="16335B"/>
          <w:sz w:val="30"/>
          <w:szCs w:val="30"/>
        </w:rPr>
        <w:t xml:space="preserve">Payment Method Analysis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6FEB"/>
          <w:spacing w:val="20"/>
          <w:sz w:val="19"/>
          <w:szCs w:val="19"/>
        </w:rPr>
        <w:t xml:space="preserve">QUESTION STATEMENT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Analyze the most frequently used payment methods by customers.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6FEB"/>
          <w:spacing w:val="20"/>
          <w:sz w:val="19"/>
          <w:szCs w:val="19"/>
        </w:rPr>
        <w:t xml:space="preserve">VISUALIZATION</w:t>
      </w:r>
    </w:p>
    <w:p>
      <w:pPr>
        <w:spacing w:after="4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Donut chart showing the split across credit card, boleto, voucher, debit card, and undefined methods.</w:t>
      </w:r>
    </w:p>
    <w:p>
      <w:pPr>
        <w:spacing w:after="100" w:before="120"/>
        <w:jc w:val="center"/>
      </w:pPr>
      <w:r>
        <w:drawing>
          <wp:inline distT="0" distB="0" distL="0" distR="0">
            <wp:extent cx="40005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B7F"/>
          <w:sz w:val="17"/>
          <w:szCs w:val="17"/>
        </w:rPr>
        <w:t xml:space="preserve">Figure 5 — Payment method distribution.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B8860B"/>
          <w:spacing w:val="20"/>
          <w:sz w:val="19"/>
          <w:szCs w:val="19"/>
        </w:rPr>
        <w:t xml:space="preserve">EXPLANATION &amp; KEY INSIGHT</w:t>
      </w:r>
    </w:p>
    <w:p>
      <w:pPr>
        <w:spacing w:after="1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Credit card is by far the most preferred payment method (about 74% of transactions), followed by boleto. This insight guides checkout optimisation and payment-partner decisions.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6FEB"/>
          <w:sz w:val="30"/>
          <w:szCs w:val="30"/>
        </w:rPr>
        <w:t xml:space="preserve">7.  </w:t>
      </w:r>
      <w:r>
        <w:rPr>
          <w:rFonts w:ascii="Cambria" w:cs="Cambria" w:eastAsia="Cambria" w:hAnsi="Cambria"/>
          <w:b/>
          <w:bCs/>
          <w:color w:val="16335B"/>
          <w:sz w:val="30"/>
          <w:szCs w:val="30"/>
        </w:rPr>
        <w:t xml:space="preserve">Product Rating Analysis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6FEB"/>
          <w:spacing w:val="20"/>
          <w:sz w:val="19"/>
          <w:szCs w:val="19"/>
        </w:rPr>
        <w:t xml:space="preserve">QUESTION STATEMENT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Determine the highest-rated and lowest-rated product categories by average customer rating.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6FEB"/>
          <w:spacing w:val="20"/>
          <w:sz w:val="19"/>
          <w:szCs w:val="19"/>
        </w:rPr>
        <w:t xml:space="preserve">VISUALIZATION</w:t>
      </w:r>
    </w:p>
    <w:p>
      <w:pPr>
        <w:spacing w:after="4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Horizontal bar chart of average rating by product category (read top-to-bottom for best and worst rated categories).</w:t>
      </w:r>
    </w:p>
    <w:p>
      <w:pPr>
        <w:spacing w:after="100" w:before="120"/>
        <w:jc w:val="center"/>
      </w:pPr>
      <w:r>
        <w:drawing>
          <wp:inline distT="0" distB="0" distL="0" distR="0">
            <wp:extent cx="32385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B7F"/>
          <w:sz w:val="17"/>
          <w:szCs w:val="17"/>
        </w:rPr>
        <w:t xml:space="preserve">Figure 6 — Average rating by product category.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B8860B"/>
          <w:spacing w:val="20"/>
          <w:sz w:val="19"/>
          <w:szCs w:val="19"/>
        </w:rPr>
        <w:t xml:space="preserve">EXPLANATION &amp; KEY INSIGHT</w:t>
      </w:r>
    </w:p>
    <w:p>
      <w:pPr>
        <w:spacing w:after="1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Highly rated categories indicate stronger customer satisfaction, while the lowest-rated categories flag where product quality, delivery, or customer service may need improvement.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6FEB"/>
          <w:sz w:val="30"/>
          <w:szCs w:val="30"/>
        </w:rPr>
        <w:t xml:space="preserve">8.  </w:t>
      </w:r>
      <w:r>
        <w:rPr>
          <w:rFonts w:ascii="Cambria" w:cs="Cambria" w:eastAsia="Cambria" w:hAnsi="Cambria"/>
          <w:b/>
          <w:bCs/>
          <w:color w:val="16335B"/>
          <w:sz w:val="30"/>
          <w:szCs w:val="30"/>
        </w:rPr>
        <w:t xml:space="preserve">State-Wise Sales Analysis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6FEB"/>
          <w:spacing w:val="20"/>
          <w:sz w:val="19"/>
          <w:szCs w:val="19"/>
        </w:rPr>
        <w:t xml:space="preserve">QUESTION STATEMENT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Identify the states with the highest and lowest total sales.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6FEB"/>
          <w:spacing w:val="20"/>
          <w:sz w:val="19"/>
          <w:szCs w:val="19"/>
        </w:rPr>
        <w:t xml:space="preserve">VISUALIZATION</w:t>
      </w:r>
    </w:p>
    <w:p>
      <w:pPr>
        <w:spacing w:after="4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Horizontal bar chart ranking states by total sales.</w:t>
      </w:r>
    </w:p>
    <w:p>
      <w:pPr>
        <w:spacing w:after="100" w:before="120"/>
        <w:jc w:val="center"/>
      </w:pPr>
      <w:r>
        <w:drawing>
          <wp:inline distT="0" distB="0" distL="0" distR="0">
            <wp:extent cx="3048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B7F"/>
          <w:sz w:val="17"/>
          <w:szCs w:val="17"/>
        </w:rPr>
        <w:t xml:space="preserve">Figure 7 — States ranked by total sales.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B8860B"/>
          <w:spacing w:val="20"/>
          <w:sz w:val="19"/>
          <w:szCs w:val="19"/>
        </w:rPr>
        <w:t xml:space="preserve">EXPLANATION &amp; KEY INSIGHT</w:t>
      </w:r>
    </w:p>
    <w:p>
      <w:pPr>
        <w:spacing w:after="1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small number of states (led by SP) generate most of the sales, while the lower-performing states reveal regions where additional marketing or business development could unlock further growth.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6FEB"/>
          <w:sz w:val="30"/>
          <w:szCs w:val="30"/>
        </w:rPr>
        <w:t xml:space="preserve">9.  </w:t>
      </w:r>
      <w:r>
        <w:rPr>
          <w:rFonts w:ascii="Cambria" w:cs="Cambria" w:eastAsia="Cambria" w:hAnsi="Cambria"/>
          <w:b/>
          <w:bCs/>
          <w:color w:val="16335B"/>
          <w:sz w:val="30"/>
          <w:szCs w:val="30"/>
        </w:rPr>
        <w:t xml:space="preserve">Seasonal Sales Pattern &amp; Revenue Trend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6FEB"/>
          <w:spacing w:val="20"/>
          <w:sz w:val="19"/>
          <w:szCs w:val="19"/>
        </w:rPr>
        <w:t xml:space="preserve">QUESTION STATEMENT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Analyze quarterly sales patterns and the overall revenue trend across the year.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6FEB"/>
          <w:spacing w:val="20"/>
          <w:sz w:val="19"/>
          <w:szCs w:val="19"/>
        </w:rPr>
        <w:t xml:space="preserve">VISUALIZATION</w:t>
      </w:r>
    </w:p>
    <w:p>
      <w:pPr>
        <w:spacing w:after="4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Line chart of total sales by quarter, supported by a Total Revenue card visual.</w:t>
      </w:r>
    </w:p>
    <w:p>
      <w:pPr>
        <w:spacing w:after="100" w:before="120"/>
        <w:jc w:val="center"/>
      </w:pPr>
      <w:r>
        <w:drawing>
          <wp:inline distT="0" distB="0" distL="0" distR="0">
            <wp:extent cx="3429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B7F"/>
          <w:sz w:val="17"/>
          <w:szCs w:val="17"/>
        </w:rPr>
        <w:t xml:space="preserve">Figure 8 — Total sales by quarter.</w:t>
      </w:r>
    </w:p>
    <w:p>
      <w:pPr>
        <w:spacing w:after="100" w:before="120"/>
        <w:jc w:val="center"/>
      </w:pPr>
      <w:r>
        <w:drawing>
          <wp:inline distT="0" distB="0" distL="0" distR="0">
            <wp:extent cx="24765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B7F"/>
          <w:sz w:val="17"/>
          <w:szCs w:val="17"/>
        </w:rPr>
        <w:t xml:space="preserve">Figure 9 — Total Revenue card visual (15.84M).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6FEB"/>
          <w:spacing w:val="20"/>
          <w:sz w:val="19"/>
          <w:szCs w:val="19"/>
        </w:rPr>
        <w:t xml:space="preserve">DAX MEASURE — TOTAL REVENUE</w:t>
      </w:r>
    </w:p>
    <w:p>
      <w:pPr>
        <w:pBdr>
          <w:top w:val="single" w:color="16335B" w:sz="2" w:space="8"/>
          <w:left w:val="single" w:color="16335B" w:sz="2" w:space="10"/>
          <w:right w:val="single" w:color="16335B" w:sz="2" w:space="10"/>
        </w:pBdr>
        <w:shd w:fill="16335B" w:val="clear"/>
        <w:spacing w:after="0" w:before="60" w:line="264"/>
        <w:ind w:left="200" w:right="2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Total Revenue =</w:t>
      </w:r>
    </w:p>
    <w:p>
      <w:pPr>
        <w:pBdr>
          <w:left w:val="single" w:color="16335B" w:sz="2" w:space="10"/>
          <w:right w:val="single" w:color="16335B" w:sz="2" w:space="10"/>
        </w:pBdr>
        <w:shd w:fill="16335B" w:val="clear"/>
        <w:spacing w:after="0" w:before="0" w:line="264"/>
        <w:ind w:left="200" w:right="200"/>
      </w:pPr>
      <w:r>
        <w:rPr>
          <w:rFonts w:ascii="Courier New" w:cs="Courier New" w:eastAsia="Courier New" w:hAnsi="Courier New"/>
          <w:color w:val="9BE7C4"/>
          <w:sz w:val="20"/>
          <w:szCs w:val="20"/>
        </w:rPr>
        <w:t xml:space="preserve">SUM('order items'[price]) +</w:t>
      </w:r>
    </w:p>
    <w:p>
      <w:pPr>
        <w:pBdr>
          <w:bottom w:val="single" w:color="16335B" w:sz="2" w:space="8"/>
          <w:left w:val="single" w:color="16335B" w:sz="2" w:space="10"/>
          <w:right w:val="single" w:color="16335B" w:sz="2" w:space="10"/>
        </w:pBdr>
        <w:shd w:fill="16335B" w:val="clear"/>
        <w:spacing w:after="60" w:before="0" w:line="264"/>
        <w:ind w:left="200" w:right="200"/>
      </w:pPr>
      <w:r>
        <w:rPr>
          <w:rFonts w:ascii="Courier New" w:cs="Courier New" w:eastAsia="Courier New" w:hAnsi="Courier New"/>
          <w:color w:val="9BE7C4"/>
          <w:sz w:val="20"/>
          <w:szCs w:val="20"/>
        </w:rPr>
        <w:t xml:space="preserve">SUM('order items'[freight_value])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B8860B"/>
          <w:spacing w:val="20"/>
          <w:sz w:val="19"/>
          <w:szCs w:val="19"/>
        </w:rPr>
        <w:t xml:space="preserve">EXPLANATION &amp; KEY INSIGHT</w:t>
      </w:r>
    </w:p>
    <w:p>
      <w:pPr>
        <w:spacing w:after="2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Sales peak mid-year (around Q2) and then taper toward Q4, revealing the store's strongest and weakest trading periods. The Total Revenue measure — the sum of item price and freight value across all order items — totals 15.84M, giving a single, reliable figure for tracking revenue over time and supporting seasonal planning.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6FEB"/>
          <w:sz w:val="30"/>
          <w:szCs w:val="30"/>
        </w:rPr>
        <w:t xml:space="preserve">10.  </w:t>
      </w:r>
      <w:r>
        <w:rPr>
          <w:rFonts w:ascii="Cambria" w:cs="Cambria" w:eastAsia="Cambria" w:hAnsi="Cambria"/>
          <w:b/>
          <w:bCs/>
          <w:color w:val="16335B"/>
          <w:sz w:val="30"/>
          <w:szCs w:val="30"/>
        </w:rPr>
        <w:t xml:space="preserve">Conclusion &amp; Key Takeaways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dashboard provides a complete overview of ShopNest Store business performance on a single page.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Sales analysis identifies the top-performing product categories and states, guiding inventory and marketing focus.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Payment analysis shows customer payment preferences, led clearly by credit card.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Delivery analysis helps identify delayed-delivery patterns by month and category.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Product rating analysis highlights where customer satisfaction is strong and where it needs improvement.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Revenue and seasonal trends support better planning, inventory management, and business decisions.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Together, these analyses turn raw ShopNest Store e-commerce data into an actionable, decision-ready view of the business.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7F"/>
        <w:sz w:val="15"/>
        <w:szCs w:val="15"/>
      </w:rPr>
      <w:t xml:space="preserve">Page </w:t>
    </w:r>
    <w:r>
      <w:rPr>
        <w:rFonts w:ascii="Calibri" w:cs="Calibri" w:eastAsia="Calibri" w:hAnsi="Calibri"/>
        <w:color w:val="5B6B7F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5" w:sz="4" w:space="6"/>
      </w:pBdr>
      <w:jc w:val="right"/>
    </w:pPr>
    <w:r>
      <w:rPr>
        <w:rFonts w:ascii="Calibri" w:cs="Calibri" w:eastAsia="Calibri" w:hAnsi="Calibri"/>
        <w:color w:val="5B6B7F"/>
        <w:sz w:val="15"/>
        <w:szCs w:val="15"/>
      </w:rPr>
      <w:t xml:space="preserve">ShopNest Store · Power BI Capstone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F6F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mbria" w:cs="Cambria" w:eastAsia="Cambria" w:hAnsi="Cambria"/>
      <w:b/>
      <w:bCs/>
      <w:color w:val="16335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7629ed8d0e6680260f8e25a58424c998a0c7622.png"/><Relationship Id="rId10" Type="http://schemas.openxmlformats.org/officeDocument/2006/relationships/image" Target="media/25b6f52946539fd66602f517ff03ca51ae1ead7d.png"/><Relationship Id="rId11" Type="http://schemas.openxmlformats.org/officeDocument/2006/relationships/image" Target="media/297f0bbbeb1f610d9b79e7647eb4bd173aed7eb4.png"/><Relationship Id="rId12" Type="http://schemas.openxmlformats.org/officeDocument/2006/relationships/image" Target="media/87b4139ce1a8d8e3d88126b17fa31d11d1daac14.png"/><Relationship Id="rId13" Type="http://schemas.openxmlformats.org/officeDocument/2006/relationships/image" Target="media/b47045edc4a161ed96dee3f8dc3890471dc3fc29.png"/><Relationship Id="rId14" Type="http://schemas.openxmlformats.org/officeDocument/2006/relationships/image" Target="media/34fb8b7d8e094ed2f8864c7bee0d12c809f1f2fc.png"/><Relationship Id="rId15" Type="http://schemas.openxmlformats.org/officeDocument/2006/relationships/image" Target="media/f5f4fc2b5e528a5e171ea60ea5410e37b94f979c.png"/><Relationship Id="rId16" Type="http://schemas.openxmlformats.org/officeDocument/2006/relationships/image" Target="media/5d3b43c1b347e35ece5a22a99052bd681bb4491e.png"/><Relationship Id="rId17" Type="http://schemas.openxmlformats.org/officeDocument/2006/relationships/image" Target="media/6d40fe4aa0b64021f9c356b69d6709c378400f9b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ShopNest Store Power BI Capstone Dashboard Report</dc:title>
  <dc:creator>Rajkumar</dc:creator>
  <cp:lastModifiedBy>Un-named</cp:lastModifiedBy>
  <cp:revision>1</cp:revision>
  <dcterms:created xsi:type="dcterms:W3CDTF">2026-07-08T17:36:50.506Z</dcterms:created>
  <dcterms:modified xsi:type="dcterms:W3CDTF">2026-07-08T17:36:50.506Z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