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4F46E5"/>
          <w:sz w:val="26"/>
        </w:rPr>
        <w:t>CENTURION UNIVERSITY OF TECHNOLOGY AND MANAGEMENT (CUTM)</w:t>
      </w:r>
    </w:p>
    <w:p>
      <w:pPr>
        <w:spacing w:after="960"/>
        <w:jc w:val="center"/>
      </w:pPr>
      <w:r>
        <w:rPr>
          <w:color w:val="64748B"/>
          <w:sz w:val="21"/>
        </w:rPr>
        <w:t>Department of Computer Science &amp; Engineering • Predictive Analytics Division</w:t>
      </w:r>
    </w:p>
    <w:p>
      <w:pPr>
        <w:spacing w:after="240"/>
        <w:jc w:val="center"/>
      </w:pPr>
      <w:r>
        <w:rPr>
          <w:b/>
          <w:color w:val="1E1B4B"/>
          <w:sz w:val="64"/>
        </w:rPr>
        <w:t>VIRALYTIX</w:t>
      </w:r>
    </w:p>
    <w:p>
      <w:pPr>
        <w:spacing w:after="960"/>
        <w:jc w:val="center"/>
      </w:pPr>
      <w:r>
        <w:rPr>
          <w:color w:val="475569"/>
          <w:sz w:val="26"/>
        </w:rPr>
        <w:t>Multimodal Machine Learning &amp; Persona-Based Social Media Virality Prediction System</w:t>
        <w:br/>
        <w:t>Comprehensive Academic Project Report &amp; Technical Specification</w:t>
      </w:r>
    </w:p>
    <w:tbl>
      <w:tblPr>
        <w:tblW w:type="auto" w:w="0"/>
        <w:jc w:val="center"/>
        <w:tblLayout w:type="fixed"/>
        <w:tblLook w:firstColumn="1" w:firstRow="1" w:lastColumn="0" w:lastRow="0" w:noHBand="0" w:noVBand="1" w:val="04A0"/>
      </w:tblPr>
      <w:tblGrid>
        <w:gridCol w:w="4680"/>
        <w:gridCol w:w="4680"/>
      </w:tblGrid>
      <w:tr>
        <w:tc>
          <w:tcPr>
            <w:tcW w:type="dxa" w:w="3456"/>
            <w:shd w:fill="312E81"/>
            <w:tcMar>
              <w:top w:w="120" w:type="dxa"/>
              <w:bottom w:w="120" w:type="dxa"/>
              <w:left w:w="140" w:type="dxa"/>
              <w:right w:w="140" w:type="dxa"/>
            </w:tcMar>
          </w:tcPr>
          <w:p>
            <w:pPr>
              <w:spacing w:after="0"/>
              <w:jc w:val="left"/>
            </w:pPr>
            <w:r>
              <w:rPr>
                <w:rFonts w:ascii="Calibri" w:hAnsi="Calibri"/>
                <w:b/>
                <w:color w:val="FFFFFF"/>
                <w:sz w:val="20"/>
              </w:rPr>
              <w:t>Specification Field</w:t>
            </w:r>
          </w:p>
        </w:tc>
        <w:tc>
          <w:tcPr>
            <w:tcW w:type="dxa" w:w="5904"/>
            <w:shd w:fill="312E81"/>
            <w:tcMar>
              <w:top w:w="120" w:type="dxa"/>
              <w:bottom w:w="120" w:type="dxa"/>
              <w:left w:w="140" w:type="dxa"/>
              <w:right w:w="140" w:type="dxa"/>
            </w:tcMar>
          </w:tcPr>
          <w:p>
            <w:pPr>
              <w:spacing w:after="0"/>
              <w:jc w:val="left"/>
            </w:pPr>
            <w:r>
              <w:rPr>
                <w:rFonts w:ascii="Calibri" w:hAnsi="Calibri"/>
                <w:b/>
                <w:color w:val="FFFFFF"/>
                <w:sz w:val="20"/>
              </w:rPr>
              <w:t>Academic / Project Details</w:t>
            </w:r>
          </w:p>
        </w:tc>
      </w:tr>
      <w:tr>
        <w:tc>
          <w:tcPr>
            <w:tcW w:type="dxa" w:w="3456"/>
            <w:shd w:fill="FFFFFF"/>
            <w:tcMar>
              <w:top w:w="90" w:type="dxa"/>
              <w:bottom w:w="90" w:type="dxa"/>
              <w:left w:w="140" w:type="dxa"/>
              <w:right w:w="140" w:type="dxa"/>
            </w:tcMar>
          </w:tcPr>
          <w:p>
            <w:pPr>
              <w:spacing w:after="0"/>
              <w:jc w:val="left"/>
            </w:pPr>
            <w:r>
              <w:rPr>
                <w:rFonts w:ascii="Calibri" w:hAnsi="Calibri"/>
                <w:color w:val="1E293B"/>
                <w:sz w:val="19"/>
              </w:rPr>
              <w:t>Course / Subject:</w:t>
            </w:r>
          </w:p>
        </w:tc>
        <w:tc>
          <w:tcPr>
            <w:tcW w:type="dxa" w:w="5904"/>
            <w:shd w:fill="FFFFFF"/>
            <w:tcMar>
              <w:top w:w="90" w:type="dxa"/>
              <w:bottom w:w="90" w:type="dxa"/>
              <w:left w:w="140" w:type="dxa"/>
              <w:right w:w="140" w:type="dxa"/>
            </w:tcMar>
          </w:tcPr>
          <w:p>
            <w:pPr>
              <w:spacing w:after="0"/>
              <w:jc w:val="left"/>
            </w:pPr>
            <w:r>
              <w:rPr>
                <w:rFonts w:ascii="Calibri" w:hAnsi="Calibri"/>
                <w:color w:val="1E293B"/>
                <w:sz w:val="19"/>
              </w:rPr>
              <w:t>Predictive Analytics</w:t>
            </w:r>
          </w:p>
        </w:tc>
      </w:tr>
      <w:tr>
        <w:tc>
          <w:tcPr>
            <w:tcW w:type="dxa" w:w="3456"/>
            <w:shd w:fill="F8FAFC"/>
            <w:tcMar>
              <w:top w:w="90" w:type="dxa"/>
              <w:bottom w:w="90" w:type="dxa"/>
              <w:left w:w="140" w:type="dxa"/>
              <w:right w:w="140" w:type="dxa"/>
            </w:tcMar>
          </w:tcPr>
          <w:p>
            <w:pPr>
              <w:spacing w:after="0"/>
              <w:jc w:val="left"/>
            </w:pPr>
            <w:r>
              <w:rPr>
                <w:rFonts w:ascii="Calibri" w:hAnsi="Calibri"/>
                <w:color w:val="1E293B"/>
                <w:sz w:val="19"/>
              </w:rPr>
              <w:t>Candidate / Project Lead:</w:t>
            </w:r>
          </w:p>
        </w:tc>
        <w:tc>
          <w:tcPr>
            <w:tcW w:type="dxa" w:w="5904"/>
            <w:shd w:fill="F8FAFC"/>
            <w:tcMar>
              <w:top w:w="90" w:type="dxa"/>
              <w:bottom w:w="90" w:type="dxa"/>
              <w:left w:w="140" w:type="dxa"/>
              <w:right w:w="140" w:type="dxa"/>
            </w:tcMar>
          </w:tcPr>
          <w:p>
            <w:pPr>
              <w:spacing w:after="0"/>
              <w:jc w:val="left"/>
            </w:pPr>
            <w:r>
              <w:rPr>
                <w:rFonts w:ascii="Calibri" w:hAnsi="Calibri"/>
                <w:color w:val="1E293B"/>
                <w:sz w:val="19"/>
              </w:rPr>
              <w:t>Prabhu Shankar Mund (Raj)</w:t>
            </w:r>
          </w:p>
        </w:tc>
      </w:tr>
      <w:tr>
        <w:tc>
          <w:tcPr>
            <w:tcW w:type="dxa" w:w="3456"/>
            <w:shd w:fill="FFFFFF"/>
            <w:tcMar>
              <w:top w:w="90" w:type="dxa"/>
              <w:bottom w:w="90" w:type="dxa"/>
              <w:left w:w="140" w:type="dxa"/>
              <w:right w:w="140" w:type="dxa"/>
            </w:tcMar>
          </w:tcPr>
          <w:p>
            <w:pPr>
              <w:spacing w:after="0"/>
              <w:jc w:val="left"/>
            </w:pPr>
            <w:r>
              <w:rPr>
                <w:rFonts w:ascii="Calibri" w:hAnsi="Calibri"/>
                <w:color w:val="1E293B"/>
                <w:sz w:val="19"/>
              </w:rPr>
              <w:t>Live Web Application:</w:t>
            </w:r>
          </w:p>
        </w:tc>
        <w:tc>
          <w:tcPr>
            <w:tcW w:type="dxa" w:w="5904"/>
            <w:shd w:fill="FFFFFF"/>
            <w:tcMar>
              <w:top w:w="90" w:type="dxa"/>
              <w:bottom w:w="90" w:type="dxa"/>
              <w:left w:w="140" w:type="dxa"/>
              <w:right w:w="140" w:type="dxa"/>
            </w:tcMar>
          </w:tcPr>
          <w:p>
            <w:pPr>
              <w:spacing w:after="0"/>
              <w:jc w:val="left"/>
            </w:pPr>
            <w:r>
              <w:rPr>
                <w:rFonts w:ascii="Calibri" w:hAnsi="Calibri"/>
                <w:color w:val="1E293B"/>
                <w:sz w:val="19"/>
              </w:rPr>
              <w:t>https://viralytix-eta.vercel.app/</w:t>
            </w:r>
          </w:p>
        </w:tc>
      </w:tr>
      <w:tr>
        <w:tc>
          <w:tcPr>
            <w:tcW w:type="dxa" w:w="3456"/>
            <w:shd w:fill="F8FAFC"/>
            <w:tcMar>
              <w:top w:w="90" w:type="dxa"/>
              <w:bottom w:w="90" w:type="dxa"/>
              <w:left w:w="140" w:type="dxa"/>
              <w:right w:w="140" w:type="dxa"/>
            </w:tcMar>
          </w:tcPr>
          <w:p>
            <w:pPr>
              <w:spacing w:after="0"/>
              <w:jc w:val="left"/>
            </w:pPr>
            <w:r>
              <w:rPr>
                <w:rFonts w:ascii="Calibri" w:hAnsi="Calibri"/>
                <w:color w:val="1E293B"/>
                <w:sz w:val="19"/>
              </w:rPr>
              <w:t>Production API Engine:</w:t>
            </w:r>
          </w:p>
        </w:tc>
        <w:tc>
          <w:tcPr>
            <w:tcW w:type="dxa" w:w="5904"/>
            <w:shd w:fill="F8FAFC"/>
            <w:tcMar>
              <w:top w:w="90" w:type="dxa"/>
              <w:bottom w:w="90" w:type="dxa"/>
              <w:left w:w="140" w:type="dxa"/>
              <w:right w:w="140" w:type="dxa"/>
            </w:tcMar>
          </w:tcPr>
          <w:p>
            <w:pPr>
              <w:spacing w:after="0"/>
              <w:jc w:val="left"/>
            </w:pPr>
            <w:r>
              <w:rPr>
                <w:rFonts w:ascii="Calibri" w:hAnsi="Calibri"/>
                <w:color w:val="1E293B"/>
                <w:sz w:val="19"/>
              </w:rPr>
              <w:t>https://viralytix-backend-162z.onrender.com/</w:t>
            </w:r>
          </w:p>
        </w:tc>
      </w:tr>
      <w:tr>
        <w:tc>
          <w:tcPr>
            <w:tcW w:type="dxa" w:w="3456"/>
            <w:shd w:fill="FFFFFF"/>
            <w:tcMar>
              <w:top w:w="90" w:type="dxa"/>
              <w:bottom w:w="90" w:type="dxa"/>
              <w:left w:w="140" w:type="dxa"/>
              <w:right w:w="140" w:type="dxa"/>
            </w:tcMar>
          </w:tcPr>
          <w:p>
            <w:pPr>
              <w:spacing w:after="0"/>
              <w:jc w:val="left"/>
            </w:pPr>
            <w:r>
              <w:rPr>
                <w:rFonts w:ascii="Calibri" w:hAnsi="Calibri"/>
                <w:color w:val="1E293B"/>
                <w:sz w:val="19"/>
              </w:rPr>
              <w:t>Source Code Repository:</w:t>
            </w:r>
          </w:p>
        </w:tc>
        <w:tc>
          <w:tcPr>
            <w:tcW w:type="dxa" w:w="5904"/>
            <w:shd w:fill="FFFFFF"/>
            <w:tcMar>
              <w:top w:w="90" w:type="dxa"/>
              <w:bottom w:w="90" w:type="dxa"/>
              <w:left w:w="140" w:type="dxa"/>
              <w:right w:w="140" w:type="dxa"/>
            </w:tcMar>
          </w:tcPr>
          <w:p>
            <w:pPr>
              <w:spacing w:after="0"/>
              <w:jc w:val="left"/>
            </w:pPr>
            <w:r>
              <w:rPr>
                <w:rFonts w:ascii="Calibri" w:hAnsi="Calibri"/>
                <w:color w:val="1E293B"/>
                <w:sz w:val="19"/>
              </w:rPr>
              <w:t>https://github.com/Rajmund09/VIRALYTIX</w:t>
            </w:r>
          </w:p>
        </w:tc>
      </w:tr>
      <w:tr>
        <w:tc>
          <w:tcPr>
            <w:tcW w:type="dxa" w:w="3456"/>
            <w:shd w:fill="F8FAFC"/>
            <w:tcMar>
              <w:top w:w="90" w:type="dxa"/>
              <w:bottom w:w="90" w:type="dxa"/>
              <w:left w:w="140" w:type="dxa"/>
              <w:right w:w="140" w:type="dxa"/>
            </w:tcMar>
          </w:tcPr>
          <w:p>
            <w:pPr>
              <w:spacing w:after="0"/>
              <w:jc w:val="left"/>
            </w:pPr>
            <w:r>
              <w:rPr>
                <w:rFonts w:ascii="Calibri" w:hAnsi="Calibri"/>
                <w:color w:val="1E293B"/>
                <w:sz w:val="19"/>
              </w:rPr>
              <w:t>Primary Dataset Location:</w:t>
            </w:r>
          </w:p>
        </w:tc>
        <w:tc>
          <w:tcPr>
            <w:tcW w:type="dxa" w:w="5904"/>
            <w:shd w:fill="F8FAFC"/>
            <w:tcMar>
              <w:top w:w="90" w:type="dxa"/>
              <w:bottom w:w="90" w:type="dxa"/>
              <w:left w:w="140" w:type="dxa"/>
              <w:right w:w="140" w:type="dxa"/>
            </w:tcMar>
          </w:tcPr>
          <w:p>
            <w:pPr>
              <w:spacing w:after="0"/>
              <w:jc w:val="left"/>
            </w:pPr>
            <w:r>
              <w:rPr>
                <w:rFonts w:ascii="Calibri" w:hAnsi="Calibri"/>
                <w:color w:val="1E293B"/>
                <w:sz w:val="19"/>
              </w:rPr>
              <w:t>ml/datasets/viralytix_training_dataset.csv (5,000 Records)</w:t>
            </w:r>
          </w:p>
        </w:tc>
      </w:tr>
      <w:tr>
        <w:tc>
          <w:tcPr>
            <w:tcW w:type="dxa" w:w="3456"/>
            <w:shd w:fill="FFFFFF"/>
            <w:tcMar>
              <w:top w:w="90" w:type="dxa"/>
              <w:bottom w:w="90" w:type="dxa"/>
              <w:left w:w="140" w:type="dxa"/>
              <w:right w:w="140" w:type="dxa"/>
            </w:tcMar>
          </w:tcPr>
          <w:p>
            <w:pPr>
              <w:spacing w:after="0"/>
              <w:jc w:val="left"/>
            </w:pPr>
            <w:r>
              <w:rPr>
                <w:rFonts w:ascii="Calibri" w:hAnsi="Calibri"/>
                <w:color w:val="1E293B"/>
                <w:sz w:val="19"/>
              </w:rPr>
              <w:t>Core Algorithms:</w:t>
            </w:r>
          </w:p>
        </w:tc>
        <w:tc>
          <w:tcPr>
            <w:tcW w:type="dxa" w:w="5904"/>
            <w:shd w:fill="FFFFFF"/>
            <w:tcMar>
              <w:top w:w="90" w:type="dxa"/>
              <w:bottom w:w="90" w:type="dxa"/>
              <w:left w:w="140" w:type="dxa"/>
              <w:right w:w="140" w:type="dxa"/>
            </w:tcMar>
          </w:tcPr>
          <w:p>
            <w:pPr>
              <w:spacing w:after="0"/>
              <w:jc w:val="left"/>
            </w:pPr>
            <w:r>
              <w:rPr>
                <w:rFonts w:ascii="Calibri" w:hAnsi="Calibri"/>
                <w:color w:val="1E293B"/>
                <w:sz w:val="19"/>
              </w:rPr>
              <w:t>XGBoost Regressor, XGBoost Classifier, TreeSHAP, Monte Carlo Swarm</w:t>
            </w:r>
          </w:p>
        </w:tc>
      </w:tr>
      <w:tr>
        <w:tc>
          <w:tcPr>
            <w:tcW w:type="dxa" w:w="3456"/>
            <w:shd w:fill="F8FAFC"/>
            <w:tcMar>
              <w:top w:w="90" w:type="dxa"/>
              <w:bottom w:w="90" w:type="dxa"/>
              <w:left w:w="140" w:type="dxa"/>
              <w:right w:w="140" w:type="dxa"/>
            </w:tcMar>
          </w:tcPr>
          <w:p>
            <w:pPr>
              <w:spacing w:after="0"/>
              <w:jc w:val="left"/>
            </w:pPr>
            <w:r>
              <w:rPr>
                <w:rFonts w:ascii="Calibri" w:hAnsi="Calibri"/>
                <w:color w:val="1E293B"/>
                <w:sz w:val="19"/>
              </w:rPr>
              <w:t>Academic Year:</w:t>
            </w:r>
          </w:p>
        </w:tc>
        <w:tc>
          <w:tcPr>
            <w:tcW w:type="dxa" w:w="5904"/>
            <w:shd w:fill="F8FAFC"/>
            <w:tcMar>
              <w:top w:w="90" w:type="dxa"/>
              <w:bottom w:w="90" w:type="dxa"/>
              <w:left w:w="140" w:type="dxa"/>
              <w:right w:w="140" w:type="dxa"/>
            </w:tcMar>
          </w:tcPr>
          <w:p>
            <w:pPr>
              <w:spacing w:after="0"/>
              <w:jc w:val="left"/>
            </w:pPr>
            <w:r>
              <w:rPr>
                <w:rFonts w:ascii="Calibri" w:hAnsi="Calibri"/>
                <w:color w:val="1E293B"/>
                <w:sz w:val="19"/>
              </w:rPr>
              <w:t>2026 • Final Master Submission</w:t>
            </w:r>
          </w:p>
        </w:tc>
      </w:tr>
    </w:tbl>
    <w:p>
      <w:r>
        <w:br w:type="page"/>
      </w:r>
    </w:p>
    <w:p>
      <w:pPr>
        <w:keepNext/>
        <w:spacing w:before="400" w:after="120"/>
      </w:pPr>
      <w:r>
        <w:rPr>
          <w:b/>
          <w:color w:val="1E1B4B"/>
          <w:sz w:val="36"/>
        </w:rPr>
        <w:t>Chapter 1: Executive Summary &amp; The Problem Statement</w:t>
      </w:r>
    </w:p>
    <w:p>
      <w:pPr>
        <w:keepNext/>
        <w:spacing w:before="280" w:after="80"/>
      </w:pPr>
      <w:r>
        <w:rPr>
          <w:b/>
          <w:color w:val="4F46E5"/>
          <w:sz w:val="27"/>
        </w:rPr>
        <w:t>1.1 The Real-World Problem: The Creator Economy Cold-Start Blind Spot</w:t>
      </w:r>
    </w:p>
    <w:p>
      <w:r>
        <w:t>Over 4.8 billion people consume short-form video content daily across TikTok, YouTube Shorts, and Instagram Reels. For digital marketers, individual creators, and media enterprises, short-form video has become the primary mechanism of audience acquisition. However, creators suffer from a severe structural flaw known as the 'Cold-Start Blind Spot':</w:t>
        <w:br/>
        <w:t>• Creators spend between 4 to 12 hours filming and editing a video, only to publish it into algorithmic obscurity (the '200-view jail').</w:t>
        <w:br/>
        <w:t>• Contemporary platform analytics (YouTube Studio, Meta Business Suite) are entirely descriptive and lagging—they inform creators why a video failed 48 hours after the recommendation algorithm has already discarded it.</w:t>
        <w:br/>
        <w:t>• Recommendation algorithms evaluate early hook retention (first 3 seconds), visual motion dynamics, pacing, acoustic tempo, and demographic swipe-away rates. Prior to VIRALYTIX, creators had zero tools to measure these variables before hitting publish.</w:t>
      </w:r>
    </w:p>
    <w:p>
      <w:pPr>
        <w:keepNext/>
        <w:spacing w:before="280" w:after="80"/>
      </w:pPr>
      <w:r>
        <w:rPr>
          <w:b/>
          <w:color w:val="4F46E5"/>
          <w:sz w:val="27"/>
        </w:rPr>
        <w:t>1.2 The VIRALYTIX Solution</w:t>
      </w:r>
    </w:p>
    <w:p>
      <w:r>
        <w:t>VIRALYTIX is a prescriptive and predictive analytics platform that evaluates raw video files pre-distribution. By fusing computer vision (OpenCV/FFmpeg), acoustic analysis (Librosa), synthetic demographic audience simulation (100-Agent Monte Carlo swarm), and gradient-boosted decision trees (XGBoost + TreeSHAP), VIRALYTIX forecasts:</w:t>
        <w:br/>
        <w:t>1. A quantitative Virality Score (0 to 100).</w:t>
        <w:br/>
        <w:t>2. Expected Second-by-Second Audience Retention Curves.</w:t>
        <w:br/>
        <w:t>3. Probabilistic Performance Tiers (Low Reach, Moderate, High, Viral Breakthrough).</w:t>
        <w:br/>
        <w:t>4. Mathematical Factor Attribution via SHAP game theory values.</w:t>
        <w:br/>
        <w:t>5. Concrete Action Directives (e.g., 'Increase visual motion in the first 2.5s', 'Reduce silence ratio by 12%').</w:t>
      </w:r>
    </w:p>
    <w:p>
      <w:pPr>
        <w:keepNext/>
        <w:spacing w:before="400" w:after="120"/>
      </w:pPr>
      <w:r>
        <w:rPr>
          <w:b/>
          <w:color w:val="1E1B4B"/>
          <w:sz w:val="36"/>
        </w:rPr>
        <w:t>Chapter 2: Predictive Analytics Academic Foundations</w:t>
      </w:r>
    </w:p>
    <w:p>
      <w:pPr>
        <w:keepNext/>
        <w:spacing w:before="280" w:after="80"/>
      </w:pPr>
      <w:r>
        <w:rPr>
          <w:b/>
          <w:color w:val="4F46E5"/>
          <w:sz w:val="27"/>
        </w:rPr>
        <w:t>2.1 Mathematical Formulation of the Predictive Task</w:t>
      </w:r>
    </w:p>
    <w:p>
      <w:r>
        <w:t>In the formal discipline of Predictive Analytics, the objective is to model the unknown relationship between input variables X and target outcomes Y using statistical learning:</w:t>
        <w:br/>
        <w:br/>
        <w:t xml:space="preserve">       Y_future = f(X_historical) + ε</w:t>
        <w:br/>
        <w:br/>
        <w:t>VIRALYTIX maps directly into this academic framework across three distinct dimensions:</w:t>
        <w:br/>
        <w:t>• The Historical Training Matrix (X_hist, Y_hist): 5,000 video records whose real-world engagement distributions, completion rates, and reach multipliers were calibrated from empirical social media data.</w:t>
        <w:br/>
        <w:t>• The Predictive Machine Learning Estimator (f): Gradient-boosted decision trees (XGBoost) that discover complex non-linear interactions between multimodal video signals.</w:t>
        <w:br/>
        <w:t>• The Future Unknown Target (Y_future): An unpublished, unreleased video uploaded by a creator that currently possesses exactly 0 views, 0 likes, and 0 real-world platform impressions.</w:t>
      </w:r>
    </w:p>
    <w:p>
      <w:pPr>
        <w:keepNext/>
        <w:spacing w:before="280" w:after="80"/>
      </w:pPr>
      <w:r>
        <w:rPr>
          <w:b/>
          <w:color w:val="4F46E5"/>
          <w:sz w:val="27"/>
        </w:rPr>
        <w:t>2.2 The 4 Stages of Analytics: Positioning VIRALYTIX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1B4B"/>
            <w:tcMar>
              <w:top w:w="120" w:type="dxa"/>
              <w:bottom w:w="120" w:type="dxa"/>
              <w:left w:w="140" w:type="dxa"/>
              <w:right w:w="140" w:type="dxa"/>
            </w:tcMar>
          </w:tcPr>
          <w:p>
            <w:pPr>
              <w:spacing w:after="0"/>
              <w:jc w:val="left"/>
            </w:pPr>
            <w:r>
              <w:rPr>
                <w:rFonts w:ascii="Calibri" w:hAnsi="Calibri"/>
                <w:b/>
                <w:color w:val="FFFFFF"/>
                <w:sz w:val="20"/>
              </w:rPr>
              <w:t>Analytics Tier</w:t>
            </w:r>
          </w:p>
        </w:tc>
        <w:tc>
          <w:tcPr>
            <w:tcW w:type="dxa" w:w="1872"/>
            <w:shd w:fill="1E1B4B"/>
            <w:tcMar>
              <w:top w:w="120" w:type="dxa"/>
              <w:bottom w:w="120" w:type="dxa"/>
              <w:left w:w="140" w:type="dxa"/>
              <w:right w:w="140" w:type="dxa"/>
            </w:tcMar>
          </w:tcPr>
          <w:p>
            <w:pPr>
              <w:spacing w:after="0"/>
              <w:jc w:val="left"/>
            </w:pPr>
            <w:r>
              <w:rPr>
                <w:rFonts w:ascii="Calibri" w:hAnsi="Calibri"/>
                <w:b/>
                <w:color w:val="FFFFFF"/>
                <w:sz w:val="20"/>
              </w:rPr>
              <w:t>Question</w:t>
            </w:r>
          </w:p>
        </w:tc>
        <w:tc>
          <w:tcPr>
            <w:tcW w:type="dxa" w:w="3168"/>
            <w:shd w:fill="1E1B4B"/>
            <w:tcMar>
              <w:top w:w="120" w:type="dxa"/>
              <w:bottom w:w="120" w:type="dxa"/>
              <w:left w:w="140" w:type="dxa"/>
              <w:right w:w="140" w:type="dxa"/>
            </w:tcMar>
          </w:tcPr>
          <w:p>
            <w:pPr>
              <w:spacing w:after="0"/>
              <w:jc w:val="left"/>
            </w:pPr>
            <w:r>
              <w:rPr>
                <w:rFonts w:ascii="Calibri" w:hAnsi="Calibri"/>
                <w:b/>
                <w:color w:val="FFFFFF"/>
                <w:sz w:val="20"/>
              </w:rPr>
              <w:t>Platform Behavior</w:t>
            </w:r>
          </w:p>
        </w:tc>
        <w:tc>
          <w:tcPr>
            <w:tcW w:type="dxa" w:w="1728"/>
            <w:shd w:fill="1E1B4B"/>
            <w:tcMar>
              <w:top w:w="120" w:type="dxa"/>
              <w:bottom w:w="120" w:type="dxa"/>
              <w:left w:w="140" w:type="dxa"/>
              <w:right w:w="140" w:type="dxa"/>
            </w:tcMar>
          </w:tcPr>
          <w:p>
            <w:pPr>
              <w:spacing w:after="0"/>
              <w:jc w:val="left"/>
            </w:pPr>
            <w:r>
              <w:rPr>
                <w:rFonts w:ascii="Calibri" w:hAnsi="Calibri"/>
                <w:b/>
                <w:color w:val="FFFFFF"/>
                <w:sz w:val="20"/>
              </w:rPr>
              <w:t>VIRALYTIX Role</w:t>
            </w:r>
          </w:p>
        </w:tc>
      </w:tr>
      <w:tr>
        <w:tc>
          <w:tcPr>
            <w:tcW w:type="dxa" w:w="2592"/>
            <w:shd w:fill="FFFFFF"/>
            <w:tcMar>
              <w:top w:w="90" w:type="dxa"/>
              <w:bottom w:w="90" w:type="dxa"/>
              <w:left w:w="140" w:type="dxa"/>
              <w:right w:w="140" w:type="dxa"/>
            </w:tcMar>
          </w:tcPr>
          <w:p>
            <w:pPr>
              <w:spacing w:after="0"/>
              <w:jc w:val="left"/>
            </w:pPr>
            <w:r>
              <w:rPr>
                <w:rFonts w:ascii="Calibri" w:hAnsi="Calibri"/>
                <w:color w:val="1E293B"/>
                <w:sz w:val="19"/>
              </w:rPr>
              <w:t>1. Descriptive Analytics</w:t>
            </w:r>
          </w:p>
        </w:tc>
        <w:tc>
          <w:tcPr>
            <w:tcW w:type="dxa" w:w="1872"/>
            <w:shd w:fill="FFFFFF"/>
            <w:tcMar>
              <w:top w:w="90" w:type="dxa"/>
              <w:bottom w:w="90" w:type="dxa"/>
              <w:left w:w="140" w:type="dxa"/>
              <w:right w:w="140" w:type="dxa"/>
            </w:tcMar>
          </w:tcPr>
          <w:p>
            <w:pPr>
              <w:spacing w:after="0"/>
              <w:jc w:val="left"/>
            </w:pPr>
            <w:r>
              <w:rPr>
                <w:rFonts w:ascii="Calibri" w:hAnsi="Calibri"/>
                <w:color w:val="1E293B"/>
                <w:sz w:val="19"/>
              </w:rPr>
              <w:t>What happened?</w:t>
            </w:r>
          </w:p>
        </w:tc>
        <w:tc>
          <w:tcPr>
            <w:tcW w:type="dxa" w:w="3168"/>
            <w:shd w:fill="FFFFFF"/>
            <w:tcMar>
              <w:top w:w="90" w:type="dxa"/>
              <w:bottom w:w="90" w:type="dxa"/>
              <w:left w:w="140" w:type="dxa"/>
              <w:right w:w="140" w:type="dxa"/>
            </w:tcMar>
          </w:tcPr>
          <w:p>
            <w:pPr>
              <w:spacing w:after="0"/>
              <w:jc w:val="left"/>
            </w:pPr>
            <w:r>
              <w:rPr>
                <w:rFonts w:ascii="Calibri" w:hAnsi="Calibri"/>
                <w:color w:val="1E293B"/>
                <w:sz w:val="19"/>
              </w:rPr>
              <w:t>YouTube Studio showing 350 views yesterday.</w:t>
            </w:r>
          </w:p>
        </w:tc>
        <w:tc>
          <w:tcPr>
            <w:tcW w:type="dxa" w:w="1728"/>
            <w:shd w:fill="FFFFFF"/>
            <w:tcMar>
              <w:top w:w="90" w:type="dxa"/>
              <w:bottom w:w="90" w:type="dxa"/>
              <w:left w:w="140" w:type="dxa"/>
              <w:right w:w="140" w:type="dxa"/>
            </w:tcMar>
          </w:tcPr>
          <w:p>
            <w:pPr>
              <w:spacing w:after="0"/>
              <w:jc w:val="left"/>
            </w:pPr>
            <w:r>
              <w:rPr>
                <w:rFonts w:ascii="Calibri" w:hAnsi="Calibri"/>
                <w:color w:val="1E293B"/>
                <w:sz w:val="19"/>
              </w:rPr>
              <w:t>Lagging (Too late; video already failed)</w:t>
            </w:r>
          </w:p>
        </w:tc>
      </w:tr>
      <w:tr>
        <w:tc>
          <w:tcPr>
            <w:tcW w:type="dxa" w:w="2592"/>
            <w:shd w:fill="F8FAFC"/>
            <w:tcMar>
              <w:top w:w="90" w:type="dxa"/>
              <w:bottom w:w="90" w:type="dxa"/>
              <w:left w:w="140" w:type="dxa"/>
              <w:right w:w="140" w:type="dxa"/>
            </w:tcMar>
          </w:tcPr>
          <w:p>
            <w:pPr>
              <w:spacing w:after="0"/>
              <w:jc w:val="left"/>
            </w:pPr>
            <w:r>
              <w:rPr>
                <w:rFonts w:ascii="Calibri" w:hAnsi="Calibri"/>
                <w:color w:val="1E293B"/>
                <w:sz w:val="19"/>
              </w:rPr>
              <w:t>2. Diagnostic Analytics</w:t>
            </w:r>
          </w:p>
        </w:tc>
        <w:tc>
          <w:tcPr>
            <w:tcW w:type="dxa" w:w="1872"/>
            <w:shd w:fill="F8FAFC"/>
            <w:tcMar>
              <w:top w:w="90" w:type="dxa"/>
              <w:bottom w:w="90" w:type="dxa"/>
              <w:left w:w="140" w:type="dxa"/>
              <w:right w:w="140" w:type="dxa"/>
            </w:tcMar>
          </w:tcPr>
          <w:p>
            <w:pPr>
              <w:spacing w:after="0"/>
              <w:jc w:val="left"/>
            </w:pPr>
            <w:r>
              <w:rPr>
                <w:rFonts w:ascii="Calibri" w:hAnsi="Calibri"/>
                <w:color w:val="1E293B"/>
                <w:sz w:val="19"/>
              </w:rPr>
              <w:t>Why did it happen?</w:t>
            </w:r>
          </w:p>
        </w:tc>
        <w:tc>
          <w:tcPr>
            <w:tcW w:type="dxa" w:w="3168"/>
            <w:shd w:fill="F8FAFC"/>
            <w:tcMar>
              <w:top w:w="90" w:type="dxa"/>
              <w:bottom w:w="90" w:type="dxa"/>
              <w:left w:w="140" w:type="dxa"/>
              <w:right w:w="140" w:type="dxa"/>
            </w:tcMar>
          </w:tcPr>
          <w:p>
            <w:pPr>
              <w:spacing w:after="0"/>
              <w:jc w:val="left"/>
            </w:pPr>
            <w:r>
              <w:rPr>
                <w:rFonts w:ascii="Calibri" w:hAnsi="Calibri"/>
                <w:color w:val="1E293B"/>
                <w:sz w:val="19"/>
              </w:rPr>
              <w:t>TikTok graph showing 70% drop-off at second 4.</w:t>
            </w:r>
          </w:p>
        </w:tc>
        <w:tc>
          <w:tcPr>
            <w:tcW w:type="dxa" w:w="1728"/>
            <w:shd w:fill="F8FAFC"/>
            <w:tcMar>
              <w:top w:w="90" w:type="dxa"/>
              <w:bottom w:w="90" w:type="dxa"/>
              <w:left w:w="140" w:type="dxa"/>
              <w:right w:w="140" w:type="dxa"/>
            </w:tcMar>
          </w:tcPr>
          <w:p>
            <w:pPr>
              <w:spacing w:after="0"/>
              <w:jc w:val="left"/>
            </w:pPr>
            <w:r>
              <w:rPr>
                <w:rFonts w:ascii="Calibri" w:hAnsi="Calibri"/>
                <w:color w:val="1E293B"/>
                <w:sz w:val="19"/>
              </w:rPr>
              <w:t>Post-mortem diagnostic analysis</w:t>
            </w:r>
          </w:p>
        </w:tc>
      </w:tr>
      <w:tr>
        <w:tc>
          <w:tcPr>
            <w:tcW w:type="dxa" w:w="2592"/>
            <w:shd w:fill="FFFFFF"/>
            <w:tcMar>
              <w:top w:w="90" w:type="dxa"/>
              <w:bottom w:w="90" w:type="dxa"/>
              <w:left w:w="140" w:type="dxa"/>
              <w:right w:w="140" w:type="dxa"/>
            </w:tcMar>
          </w:tcPr>
          <w:p>
            <w:pPr>
              <w:spacing w:after="0"/>
              <w:jc w:val="left"/>
            </w:pPr>
            <w:r>
              <w:rPr>
                <w:rFonts w:ascii="Calibri" w:hAnsi="Calibri"/>
                <w:color w:val="1E293B"/>
                <w:sz w:val="19"/>
              </w:rPr>
              <w:t>3. PREDICTIVE ANALYTICS</w:t>
            </w:r>
          </w:p>
        </w:tc>
        <w:tc>
          <w:tcPr>
            <w:tcW w:type="dxa" w:w="1872"/>
            <w:shd w:fill="FFFFFF"/>
            <w:tcMar>
              <w:top w:w="90" w:type="dxa"/>
              <w:bottom w:w="90" w:type="dxa"/>
              <w:left w:w="140" w:type="dxa"/>
              <w:right w:w="140" w:type="dxa"/>
            </w:tcMar>
          </w:tcPr>
          <w:p>
            <w:pPr>
              <w:spacing w:after="0"/>
              <w:jc w:val="left"/>
            </w:pPr>
            <w:r>
              <w:rPr>
                <w:rFonts w:ascii="Calibri" w:hAnsi="Calibri"/>
                <w:color w:val="1E293B"/>
                <w:sz w:val="19"/>
              </w:rPr>
              <w:t>What WILL happen?</w:t>
            </w:r>
          </w:p>
        </w:tc>
        <w:tc>
          <w:tcPr>
            <w:tcW w:type="dxa" w:w="3168"/>
            <w:shd w:fill="FFFFFF"/>
            <w:tcMar>
              <w:top w:w="90" w:type="dxa"/>
              <w:bottom w:w="90" w:type="dxa"/>
              <w:left w:w="140" w:type="dxa"/>
              <w:right w:w="140" w:type="dxa"/>
            </w:tcMar>
          </w:tcPr>
          <w:p>
            <w:pPr>
              <w:spacing w:after="0"/>
              <w:jc w:val="left"/>
            </w:pPr>
            <w:r>
              <w:rPr>
                <w:rFonts w:ascii="Calibri" w:hAnsi="Calibri"/>
                <w:color w:val="1E293B"/>
                <w:sz w:val="19"/>
              </w:rPr>
              <w:t>VIRALYTIX forecasts Virality Score, reach tier, and retention curves before upload.</w:t>
            </w:r>
          </w:p>
        </w:tc>
        <w:tc>
          <w:tcPr>
            <w:tcW w:type="dxa" w:w="1728"/>
            <w:shd w:fill="FFFFFF"/>
            <w:tcMar>
              <w:top w:w="90" w:type="dxa"/>
              <w:bottom w:w="90" w:type="dxa"/>
              <w:left w:w="140" w:type="dxa"/>
              <w:right w:w="140" w:type="dxa"/>
            </w:tcMar>
          </w:tcPr>
          <w:p>
            <w:pPr>
              <w:spacing w:after="0"/>
              <w:jc w:val="left"/>
            </w:pPr>
            <w:r>
              <w:rPr>
                <w:rFonts w:ascii="Calibri" w:hAnsi="Calibri"/>
                <w:color w:val="1E293B"/>
                <w:sz w:val="19"/>
              </w:rPr>
              <w:t>Proactive (Forecasts the unknown future)</w:t>
            </w:r>
          </w:p>
        </w:tc>
      </w:tr>
      <w:tr>
        <w:tc>
          <w:tcPr>
            <w:tcW w:type="dxa" w:w="2592"/>
            <w:shd w:fill="F8FAFC"/>
            <w:tcMar>
              <w:top w:w="90" w:type="dxa"/>
              <w:bottom w:w="90" w:type="dxa"/>
              <w:left w:w="140" w:type="dxa"/>
              <w:right w:w="140" w:type="dxa"/>
            </w:tcMar>
          </w:tcPr>
          <w:p>
            <w:pPr>
              <w:spacing w:after="0"/>
              <w:jc w:val="left"/>
            </w:pPr>
            <w:r>
              <w:rPr>
                <w:rFonts w:ascii="Calibri" w:hAnsi="Calibri"/>
                <w:color w:val="1E293B"/>
                <w:sz w:val="19"/>
              </w:rPr>
              <w:t>4. Prescriptive Analytics</w:t>
            </w:r>
          </w:p>
        </w:tc>
        <w:tc>
          <w:tcPr>
            <w:tcW w:type="dxa" w:w="1872"/>
            <w:shd w:fill="F8FAFC"/>
            <w:tcMar>
              <w:top w:w="90" w:type="dxa"/>
              <w:bottom w:w="90" w:type="dxa"/>
              <w:left w:w="140" w:type="dxa"/>
              <w:right w:w="140" w:type="dxa"/>
            </w:tcMar>
          </w:tcPr>
          <w:p>
            <w:pPr>
              <w:spacing w:after="0"/>
              <w:jc w:val="left"/>
            </w:pPr>
            <w:r>
              <w:rPr>
                <w:rFonts w:ascii="Calibri" w:hAnsi="Calibri"/>
                <w:color w:val="1E293B"/>
                <w:sz w:val="19"/>
              </w:rPr>
              <w:t>How do we improve it?</w:t>
            </w:r>
          </w:p>
        </w:tc>
        <w:tc>
          <w:tcPr>
            <w:tcW w:type="dxa" w:w="3168"/>
            <w:shd w:fill="F8FAFC"/>
            <w:tcMar>
              <w:top w:w="90" w:type="dxa"/>
              <w:bottom w:w="90" w:type="dxa"/>
              <w:left w:w="140" w:type="dxa"/>
              <w:right w:w="140" w:type="dxa"/>
            </w:tcMar>
          </w:tcPr>
          <w:p>
            <w:pPr>
              <w:spacing w:after="0"/>
              <w:jc w:val="left"/>
            </w:pPr>
            <w:r>
              <w:rPr>
                <w:rFonts w:ascii="Calibri" w:hAnsi="Calibri"/>
                <w:color w:val="1E293B"/>
                <w:sz w:val="19"/>
              </w:rPr>
              <w:t>VIRALYTIX SHAP attribution: 'Reduce silence in first 3s by 15% to gain +14 score points.'</w:t>
            </w:r>
          </w:p>
        </w:tc>
        <w:tc>
          <w:tcPr>
            <w:tcW w:type="dxa" w:w="1728"/>
            <w:shd w:fill="F8FAFC"/>
            <w:tcMar>
              <w:top w:w="90" w:type="dxa"/>
              <w:bottom w:w="90" w:type="dxa"/>
              <w:left w:w="140" w:type="dxa"/>
              <w:right w:w="140" w:type="dxa"/>
            </w:tcMar>
          </w:tcPr>
          <w:p>
            <w:pPr>
              <w:spacing w:after="0"/>
              <w:jc w:val="left"/>
            </w:pPr>
            <w:r>
              <w:rPr>
                <w:rFonts w:ascii="Calibri" w:hAnsi="Calibri"/>
                <w:color w:val="1E293B"/>
                <w:sz w:val="19"/>
              </w:rPr>
              <w:t>Actionable Optimization Directive</w:t>
            </w:r>
          </w:p>
        </w:tc>
      </w:tr>
    </w:tbl>
    <w:p>
      <w:pPr>
        <w:keepNext/>
        <w:spacing w:before="400" w:after="120"/>
      </w:pPr>
      <w:r>
        <w:rPr>
          <w:b/>
          <w:color w:val="1E1B4B"/>
          <w:sz w:val="36"/>
        </w:rPr>
        <w:t>Chapter 3: Multimodal Feature Engineering (16 Signal Vectors)</w:t>
      </w:r>
    </w:p>
    <w:p>
      <w:r>
        <w:t>VIRALYTIX extracts 16 distinct mathematical signal vectors across visual, acoustic, semantic, and behavioral domains: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1B4B"/>
            <w:tcMar>
              <w:top w:w="120" w:type="dxa"/>
              <w:bottom w:w="120" w:type="dxa"/>
              <w:left w:w="140" w:type="dxa"/>
              <w:right w:w="140" w:type="dxa"/>
            </w:tcMar>
          </w:tcPr>
          <w:p>
            <w:pPr>
              <w:spacing w:after="0"/>
              <w:jc w:val="left"/>
            </w:pPr>
            <w:r>
              <w:rPr>
                <w:rFonts w:ascii="Calibri" w:hAnsi="Calibri"/>
                <w:b/>
                <w:color w:val="FFFFFF"/>
                <w:sz w:val="20"/>
              </w:rPr>
              <w:t>Feature Identifier</w:t>
            </w:r>
          </w:p>
        </w:tc>
        <w:tc>
          <w:tcPr>
            <w:tcW w:type="dxa" w:w="1584"/>
            <w:shd w:fill="1E1B4B"/>
            <w:tcMar>
              <w:top w:w="120" w:type="dxa"/>
              <w:bottom w:w="120" w:type="dxa"/>
              <w:left w:w="140" w:type="dxa"/>
              <w:right w:w="140" w:type="dxa"/>
            </w:tcMar>
          </w:tcPr>
          <w:p>
            <w:pPr>
              <w:spacing w:after="0"/>
              <w:jc w:val="left"/>
            </w:pPr>
            <w:r>
              <w:rPr>
                <w:rFonts w:ascii="Calibri" w:hAnsi="Calibri"/>
                <w:b/>
                <w:color w:val="FFFFFF"/>
                <w:sz w:val="20"/>
              </w:rPr>
              <w:t>Modality</w:t>
            </w:r>
          </w:p>
        </w:tc>
        <w:tc>
          <w:tcPr>
            <w:tcW w:type="dxa" w:w="3168"/>
            <w:shd w:fill="1E1B4B"/>
            <w:tcMar>
              <w:top w:w="120" w:type="dxa"/>
              <w:bottom w:w="120" w:type="dxa"/>
              <w:left w:w="140" w:type="dxa"/>
              <w:right w:w="140" w:type="dxa"/>
            </w:tcMar>
          </w:tcPr>
          <w:p>
            <w:pPr>
              <w:spacing w:after="0"/>
              <w:jc w:val="left"/>
            </w:pPr>
            <w:r>
              <w:rPr>
                <w:rFonts w:ascii="Calibri" w:hAnsi="Calibri"/>
                <w:b/>
                <w:color w:val="FFFFFF"/>
                <w:sz w:val="20"/>
              </w:rPr>
              <w:t>Extraction Method</w:t>
            </w:r>
          </w:p>
        </w:tc>
        <w:tc>
          <w:tcPr>
            <w:tcW w:type="dxa" w:w="2592"/>
            <w:shd w:fill="1E1B4B"/>
            <w:tcMar>
              <w:top w:w="120" w:type="dxa"/>
              <w:bottom w:w="120" w:type="dxa"/>
              <w:left w:w="140" w:type="dxa"/>
              <w:right w:w="140" w:type="dxa"/>
            </w:tcMar>
          </w:tcPr>
          <w:p>
            <w:pPr>
              <w:spacing w:after="0"/>
              <w:jc w:val="left"/>
            </w:pPr>
            <w:r>
              <w:rPr>
                <w:rFonts w:ascii="Calibri" w:hAnsi="Calibri"/>
                <w:b/>
                <w:color w:val="FFFFFF"/>
                <w:sz w:val="20"/>
              </w:rPr>
              <w:t>Analytical Significance</w:t>
            </w:r>
          </w:p>
        </w:tc>
      </w:tr>
      <w:tr>
        <w:tc>
          <w:tcPr>
            <w:tcW w:type="dxa" w:w="2016"/>
            <w:shd w:fill="FFFFFF"/>
            <w:tcMar>
              <w:top w:w="90" w:type="dxa"/>
              <w:bottom w:w="90" w:type="dxa"/>
              <w:left w:w="140" w:type="dxa"/>
              <w:right w:w="140" w:type="dxa"/>
            </w:tcMar>
          </w:tcPr>
          <w:p>
            <w:pPr>
              <w:spacing w:after="0"/>
              <w:jc w:val="left"/>
            </w:pPr>
            <w:r>
              <w:rPr>
                <w:rFonts w:ascii="Calibri" w:hAnsi="Calibri"/>
                <w:color w:val="1E293B"/>
                <w:sz w:val="19"/>
              </w:rPr>
              <w:t>hook_score</w:t>
            </w:r>
          </w:p>
        </w:tc>
        <w:tc>
          <w:tcPr>
            <w:tcW w:type="dxa" w:w="1584"/>
            <w:shd w:fill="FFFFFF"/>
            <w:tcMar>
              <w:top w:w="90" w:type="dxa"/>
              <w:bottom w:w="90" w:type="dxa"/>
              <w:left w:w="140" w:type="dxa"/>
              <w:right w:w="140" w:type="dxa"/>
            </w:tcMar>
          </w:tcPr>
          <w:p>
            <w:pPr>
              <w:spacing w:after="0"/>
              <w:jc w:val="left"/>
            </w:pPr>
            <w:r>
              <w:rPr>
                <w:rFonts w:ascii="Calibri" w:hAnsi="Calibri"/>
                <w:color w:val="1E293B"/>
                <w:sz w:val="19"/>
              </w:rPr>
              <w:t>Temporal / Mixed</w:t>
            </w:r>
          </w:p>
        </w:tc>
        <w:tc>
          <w:tcPr>
            <w:tcW w:type="dxa" w:w="3168"/>
            <w:shd w:fill="FFFFFF"/>
            <w:tcMar>
              <w:top w:w="90" w:type="dxa"/>
              <w:bottom w:w="90" w:type="dxa"/>
              <w:left w:w="140" w:type="dxa"/>
              <w:right w:w="140" w:type="dxa"/>
            </w:tcMar>
          </w:tcPr>
          <w:p>
            <w:pPr>
              <w:spacing w:after="0"/>
              <w:jc w:val="left"/>
            </w:pPr>
            <w:r>
              <w:rPr>
                <w:rFonts w:ascii="Calibri" w:hAnsi="Calibri"/>
                <w:color w:val="1E293B"/>
                <w:sz w:val="19"/>
              </w:rPr>
              <w:t>Geometric mean of first 3.0s energy, motion, and contrast</w:t>
            </w:r>
          </w:p>
        </w:tc>
        <w:tc>
          <w:tcPr>
            <w:tcW w:type="dxa" w:w="2592"/>
            <w:shd w:fill="FFFFFF"/>
            <w:tcMar>
              <w:top w:w="90" w:type="dxa"/>
              <w:bottom w:w="90" w:type="dxa"/>
              <w:left w:w="140" w:type="dxa"/>
              <w:right w:w="140" w:type="dxa"/>
            </w:tcMar>
          </w:tcPr>
          <w:p>
            <w:pPr>
              <w:spacing w:after="0"/>
              <w:jc w:val="left"/>
            </w:pPr>
            <w:r>
              <w:rPr>
                <w:rFonts w:ascii="Calibri" w:hAnsi="Calibri"/>
                <w:color w:val="1E293B"/>
                <w:sz w:val="19"/>
              </w:rPr>
              <w:t>Critical first-impression algorithmic hook potential</w:t>
            </w:r>
          </w:p>
        </w:tc>
      </w:tr>
      <w:tr>
        <w:tc>
          <w:tcPr>
            <w:tcW w:type="dxa" w:w="2016"/>
            <w:shd w:fill="F8FAFC"/>
            <w:tcMar>
              <w:top w:w="90" w:type="dxa"/>
              <w:bottom w:w="90" w:type="dxa"/>
              <w:left w:w="140" w:type="dxa"/>
              <w:right w:w="140" w:type="dxa"/>
            </w:tcMar>
          </w:tcPr>
          <w:p>
            <w:pPr>
              <w:spacing w:after="0"/>
              <w:jc w:val="left"/>
            </w:pPr>
            <w:r>
              <w:rPr>
                <w:rFonts w:ascii="Calibri" w:hAnsi="Calibri"/>
                <w:color w:val="1E293B"/>
                <w:sz w:val="19"/>
              </w:rPr>
              <w:t>scene_change_rate</w:t>
            </w:r>
          </w:p>
        </w:tc>
        <w:tc>
          <w:tcPr>
            <w:tcW w:type="dxa" w:w="1584"/>
            <w:shd w:fill="F8FAFC"/>
            <w:tcMar>
              <w:top w:w="90" w:type="dxa"/>
              <w:bottom w:w="90" w:type="dxa"/>
              <w:left w:w="140" w:type="dxa"/>
              <w:right w:w="140" w:type="dxa"/>
            </w:tcMar>
          </w:tcPr>
          <w:p>
            <w:pPr>
              <w:spacing w:after="0"/>
              <w:jc w:val="left"/>
            </w:pPr>
            <w:r>
              <w:rPr>
                <w:rFonts w:ascii="Calibri" w:hAnsi="Calibri"/>
                <w:color w:val="1E293B"/>
                <w:sz w:val="19"/>
              </w:rPr>
              <w:t>Visual</w:t>
            </w:r>
          </w:p>
        </w:tc>
        <w:tc>
          <w:tcPr>
            <w:tcW w:type="dxa" w:w="3168"/>
            <w:shd w:fill="F8FAFC"/>
            <w:tcMar>
              <w:top w:w="90" w:type="dxa"/>
              <w:bottom w:w="90" w:type="dxa"/>
              <w:left w:w="140" w:type="dxa"/>
              <w:right w:w="140" w:type="dxa"/>
            </w:tcMar>
          </w:tcPr>
          <w:p>
            <w:pPr>
              <w:spacing w:after="0"/>
              <w:jc w:val="left"/>
            </w:pPr>
            <w:r>
              <w:rPr>
                <w:rFonts w:ascii="Calibri" w:hAnsi="Calibri"/>
                <w:color w:val="1E293B"/>
                <w:sz w:val="19"/>
              </w:rPr>
              <w:t>Frame differencing thresholding (cuts per minute)</w:t>
            </w:r>
          </w:p>
        </w:tc>
        <w:tc>
          <w:tcPr>
            <w:tcW w:type="dxa" w:w="2592"/>
            <w:shd w:fill="F8FAFC"/>
            <w:tcMar>
              <w:top w:w="90" w:type="dxa"/>
              <w:bottom w:w="90" w:type="dxa"/>
              <w:left w:w="140" w:type="dxa"/>
              <w:right w:w="140" w:type="dxa"/>
            </w:tcMar>
          </w:tcPr>
          <w:p>
            <w:pPr>
              <w:spacing w:after="0"/>
              <w:jc w:val="left"/>
            </w:pPr>
            <w:r>
              <w:rPr>
                <w:rFonts w:ascii="Calibri" w:hAnsi="Calibri"/>
                <w:color w:val="1E293B"/>
                <w:sz w:val="19"/>
              </w:rPr>
              <w:t>Pacing velocity; prevents cognitive visual fatigue</w:t>
            </w:r>
          </w:p>
        </w:tc>
      </w:tr>
      <w:tr>
        <w:tc>
          <w:tcPr>
            <w:tcW w:type="dxa" w:w="2016"/>
            <w:shd w:fill="FFFFFF"/>
            <w:tcMar>
              <w:top w:w="90" w:type="dxa"/>
              <w:bottom w:w="90" w:type="dxa"/>
              <w:left w:w="140" w:type="dxa"/>
              <w:right w:w="140" w:type="dxa"/>
            </w:tcMar>
          </w:tcPr>
          <w:p>
            <w:pPr>
              <w:spacing w:after="0"/>
              <w:jc w:val="left"/>
            </w:pPr>
            <w:r>
              <w:rPr>
                <w:rFonts w:ascii="Calibri" w:hAnsi="Calibri"/>
                <w:color w:val="1E293B"/>
                <w:sz w:val="19"/>
              </w:rPr>
              <w:t>avg_brightness</w:t>
            </w:r>
          </w:p>
        </w:tc>
        <w:tc>
          <w:tcPr>
            <w:tcW w:type="dxa" w:w="1584"/>
            <w:shd w:fill="FFFFFF"/>
            <w:tcMar>
              <w:top w:w="90" w:type="dxa"/>
              <w:bottom w:w="90" w:type="dxa"/>
              <w:left w:w="140" w:type="dxa"/>
              <w:right w:w="140" w:type="dxa"/>
            </w:tcMar>
          </w:tcPr>
          <w:p>
            <w:pPr>
              <w:spacing w:after="0"/>
              <w:jc w:val="left"/>
            </w:pPr>
            <w:r>
              <w:rPr>
                <w:rFonts w:ascii="Calibri" w:hAnsi="Calibri"/>
                <w:color w:val="1E293B"/>
                <w:sz w:val="19"/>
              </w:rPr>
              <w:t>Visual</w:t>
            </w:r>
          </w:p>
        </w:tc>
        <w:tc>
          <w:tcPr>
            <w:tcW w:type="dxa" w:w="3168"/>
            <w:shd w:fill="FFFFFF"/>
            <w:tcMar>
              <w:top w:w="90" w:type="dxa"/>
              <w:bottom w:w="90" w:type="dxa"/>
              <w:left w:w="140" w:type="dxa"/>
              <w:right w:w="140" w:type="dxa"/>
            </w:tcMar>
          </w:tcPr>
          <w:p>
            <w:pPr>
              <w:spacing w:after="0"/>
              <w:jc w:val="left"/>
            </w:pPr>
            <w:r>
              <w:rPr>
                <w:rFonts w:ascii="Calibri" w:hAnsi="Calibri"/>
                <w:color w:val="1E293B"/>
                <w:sz w:val="19"/>
              </w:rPr>
              <w:t>Mean pixel intensity in normalized grayscale [0, 1]</w:t>
            </w:r>
          </w:p>
        </w:tc>
        <w:tc>
          <w:tcPr>
            <w:tcW w:type="dxa" w:w="2592"/>
            <w:shd w:fill="FFFFFF"/>
            <w:tcMar>
              <w:top w:w="90" w:type="dxa"/>
              <w:bottom w:w="90" w:type="dxa"/>
              <w:left w:w="140" w:type="dxa"/>
              <w:right w:w="140" w:type="dxa"/>
            </w:tcMar>
          </w:tcPr>
          <w:p>
            <w:pPr>
              <w:spacing w:after="0"/>
              <w:jc w:val="left"/>
            </w:pPr>
            <w:r>
              <w:rPr>
                <w:rFonts w:ascii="Calibri" w:hAnsi="Calibri"/>
                <w:color w:val="1E293B"/>
                <w:sz w:val="19"/>
              </w:rPr>
              <w:t>Lighting quality; detects under-exposed amateur clips</w:t>
            </w:r>
          </w:p>
        </w:tc>
      </w:tr>
      <w:tr>
        <w:tc>
          <w:tcPr>
            <w:tcW w:type="dxa" w:w="2016"/>
            <w:shd w:fill="F8FAFC"/>
            <w:tcMar>
              <w:top w:w="90" w:type="dxa"/>
              <w:bottom w:w="90" w:type="dxa"/>
              <w:left w:w="140" w:type="dxa"/>
              <w:right w:w="140" w:type="dxa"/>
            </w:tcMar>
          </w:tcPr>
          <w:p>
            <w:pPr>
              <w:spacing w:after="0"/>
              <w:jc w:val="left"/>
            </w:pPr>
            <w:r>
              <w:rPr>
                <w:rFonts w:ascii="Calibri" w:hAnsi="Calibri"/>
                <w:color w:val="1E293B"/>
                <w:sz w:val="19"/>
              </w:rPr>
              <w:t>motion_score</w:t>
            </w:r>
          </w:p>
        </w:tc>
        <w:tc>
          <w:tcPr>
            <w:tcW w:type="dxa" w:w="1584"/>
            <w:shd w:fill="F8FAFC"/>
            <w:tcMar>
              <w:top w:w="90" w:type="dxa"/>
              <w:bottom w:w="90" w:type="dxa"/>
              <w:left w:w="140" w:type="dxa"/>
              <w:right w:w="140" w:type="dxa"/>
            </w:tcMar>
          </w:tcPr>
          <w:p>
            <w:pPr>
              <w:spacing w:after="0"/>
              <w:jc w:val="left"/>
            </w:pPr>
            <w:r>
              <w:rPr>
                <w:rFonts w:ascii="Calibri" w:hAnsi="Calibri"/>
                <w:color w:val="1E293B"/>
                <w:sz w:val="19"/>
              </w:rPr>
              <w:t>Visual</w:t>
            </w:r>
          </w:p>
        </w:tc>
        <w:tc>
          <w:tcPr>
            <w:tcW w:type="dxa" w:w="3168"/>
            <w:shd w:fill="F8FAFC"/>
            <w:tcMar>
              <w:top w:w="90" w:type="dxa"/>
              <w:bottom w:w="90" w:type="dxa"/>
              <w:left w:w="140" w:type="dxa"/>
              <w:right w:w="140" w:type="dxa"/>
            </w:tcMar>
          </w:tcPr>
          <w:p>
            <w:pPr>
              <w:spacing w:after="0"/>
              <w:jc w:val="left"/>
            </w:pPr>
            <w:r>
              <w:rPr>
                <w:rFonts w:ascii="Calibri" w:hAnsi="Calibri"/>
                <w:color w:val="1E293B"/>
                <w:sz w:val="19"/>
              </w:rPr>
              <w:t>Optical flow displacement proxy via absolute frame difference</w:t>
            </w:r>
          </w:p>
        </w:tc>
        <w:tc>
          <w:tcPr>
            <w:tcW w:type="dxa" w:w="2592"/>
            <w:shd w:fill="F8FAFC"/>
            <w:tcMar>
              <w:top w:w="90" w:type="dxa"/>
              <w:bottom w:w="90" w:type="dxa"/>
              <w:left w:w="140" w:type="dxa"/>
              <w:right w:w="140" w:type="dxa"/>
            </w:tcMar>
          </w:tcPr>
          <w:p>
            <w:pPr>
              <w:spacing w:after="0"/>
              <w:jc w:val="left"/>
            </w:pPr>
            <w:r>
              <w:rPr>
                <w:rFonts w:ascii="Calibri" w:hAnsi="Calibri"/>
                <w:color w:val="1E293B"/>
                <w:sz w:val="19"/>
              </w:rPr>
              <w:t>Action intensity, camera movement, and visual energy</w:t>
            </w:r>
          </w:p>
        </w:tc>
      </w:tr>
      <w:tr>
        <w:tc>
          <w:tcPr>
            <w:tcW w:type="dxa" w:w="2016"/>
            <w:shd w:fill="FFFFFF"/>
            <w:tcMar>
              <w:top w:w="90" w:type="dxa"/>
              <w:bottom w:w="90" w:type="dxa"/>
              <w:left w:w="140" w:type="dxa"/>
              <w:right w:w="140" w:type="dxa"/>
            </w:tcMar>
          </w:tcPr>
          <w:p>
            <w:pPr>
              <w:spacing w:after="0"/>
              <w:jc w:val="left"/>
            </w:pPr>
            <w:r>
              <w:rPr>
                <w:rFonts w:ascii="Calibri" w:hAnsi="Calibri"/>
                <w:color w:val="1E293B"/>
                <w:sz w:val="19"/>
              </w:rPr>
              <w:t>text_density</w:t>
            </w:r>
          </w:p>
        </w:tc>
        <w:tc>
          <w:tcPr>
            <w:tcW w:type="dxa" w:w="1584"/>
            <w:shd w:fill="FFFFFF"/>
            <w:tcMar>
              <w:top w:w="90" w:type="dxa"/>
              <w:bottom w:w="90" w:type="dxa"/>
              <w:left w:w="140" w:type="dxa"/>
              <w:right w:w="140" w:type="dxa"/>
            </w:tcMar>
          </w:tcPr>
          <w:p>
            <w:pPr>
              <w:spacing w:after="0"/>
              <w:jc w:val="left"/>
            </w:pPr>
            <w:r>
              <w:rPr>
                <w:rFonts w:ascii="Calibri" w:hAnsi="Calibri"/>
                <w:color w:val="1E293B"/>
                <w:sz w:val="19"/>
              </w:rPr>
              <w:t>Visual</w:t>
            </w:r>
          </w:p>
        </w:tc>
        <w:tc>
          <w:tcPr>
            <w:tcW w:type="dxa" w:w="3168"/>
            <w:shd w:fill="FFFFFF"/>
            <w:tcMar>
              <w:top w:w="90" w:type="dxa"/>
              <w:bottom w:w="90" w:type="dxa"/>
              <w:left w:w="140" w:type="dxa"/>
              <w:right w:w="140" w:type="dxa"/>
            </w:tcMar>
          </w:tcPr>
          <w:p>
            <w:pPr>
              <w:spacing w:after="0"/>
              <w:jc w:val="left"/>
            </w:pPr>
            <w:r>
              <w:rPr>
                <w:rFonts w:ascii="Calibri" w:hAnsi="Calibri"/>
                <w:color w:val="1E293B"/>
                <w:sz w:val="19"/>
              </w:rPr>
              <w:t>High-frequency edge detection &amp; caption area proportion</w:t>
            </w:r>
          </w:p>
        </w:tc>
        <w:tc>
          <w:tcPr>
            <w:tcW w:type="dxa" w:w="2592"/>
            <w:shd w:fill="FFFFFF"/>
            <w:tcMar>
              <w:top w:w="90" w:type="dxa"/>
              <w:bottom w:w="90" w:type="dxa"/>
              <w:left w:w="140" w:type="dxa"/>
              <w:right w:w="140" w:type="dxa"/>
            </w:tcMar>
          </w:tcPr>
          <w:p>
            <w:pPr>
              <w:spacing w:after="0"/>
              <w:jc w:val="left"/>
            </w:pPr>
            <w:r>
              <w:rPr>
                <w:rFonts w:ascii="Calibri" w:hAnsi="Calibri"/>
                <w:color w:val="1E293B"/>
                <w:sz w:val="19"/>
              </w:rPr>
              <w:t>Visual information density and accessibility</w:t>
            </w:r>
          </w:p>
        </w:tc>
      </w:tr>
      <w:tr>
        <w:tc>
          <w:tcPr>
            <w:tcW w:type="dxa" w:w="2016"/>
            <w:shd w:fill="F8FAFC"/>
            <w:tcMar>
              <w:top w:w="90" w:type="dxa"/>
              <w:bottom w:w="90" w:type="dxa"/>
              <w:left w:w="140" w:type="dxa"/>
              <w:right w:w="140" w:type="dxa"/>
            </w:tcMar>
          </w:tcPr>
          <w:p>
            <w:pPr>
              <w:spacing w:after="0"/>
              <w:jc w:val="left"/>
            </w:pPr>
            <w:r>
              <w:rPr>
                <w:rFonts w:ascii="Calibri" w:hAnsi="Calibri"/>
                <w:color w:val="1E293B"/>
                <w:sz w:val="19"/>
              </w:rPr>
              <w:t>speech_rate</w:t>
            </w:r>
          </w:p>
        </w:tc>
        <w:tc>
          <w:tcPr>
            <w:tcW w:type="dxa" w:w="1584"/>
            <w:shd w:fill="F8FAFC"/>
            <w:tcMar>
              <w:top w:w="90" w:type="dxa"/>
              <w:bottom w:w="90" w:type="dxa"/>
              <w:left w:w="140" w:type="dxa"/>
              <w:right w:w="140" w:type="dxa"/>
            </w:tcMar>
          </w:tcPr>
          <w:p>
            <w:pPr>
              <w:spacing w:after="0"/>
              <w:jc w:val="left"/>
            </w:pPr>
            <w:r>
              <w:rPr>
                <w:rFonts w:ascii="Calibri" w:hAnsi="Calibri"/>
                <w:color w:val="1E293B"/>
                <w:sz w:val="19"/>
              </w:rPr>
              <w:t>Acoustic</w:t>
            </w:r>
          </w:p>
        </w:tc>
        <w:tc>
          <w:tcPr>
            <w:tcW w:type="dxa" w:w="3168"/>
            <w:shd w:fill="F8FAFC"/>
            <w:tcMar>
              <w:top w:w="90" w:type="dxa"/>
              <w:bottom w:w="90" w:type="dxa"/>
              <w:left w:w="140" w:type="dxa"/>
              <w:right w:w="140" w:type="dxa"/>
            </w:tcMar>
          </w:tcPr>
          <w:p>
            <w:pPr>
              <w:spacing w:after="0"/>
              <w:jc w:val="left"/>
            </w:pPr>
            <w:r>
              <w:rPr>
                <w:rFonts w:ascii="Calibri" w:hAnsi="Calibri"/>
                <w:color w:val="1E293B"/>
                <w:sz w:val="19"/>
              </w:rPr>
              <w:t>Syllable peak frequency converted to words per minute (WPM)</w:t>
            </w:r>
          </w:p>
        </w:tc>
        <w:tc>
          <w:tcPr>
            <w:tcW w:type="dxa" w:w="2592"/>
            <w:shd w:fill="F8FAFC"/>
            <w:tcMar>
              <w:top w:w="90" w:type="dxa"/>
              <w:bottom w:w="90" w:type="dxa"/>
              <w:left w:w="140" w:type="dxa"/>
              <w:right w:w="140" w:type="dxa"/>
            </w:tcMar>
          </w:tcPr>
          <w:p>
            <w:pPr>
              <w:spacing w:after="0"/>
              <w:jc w:val="left"/>
            </w:pPr>
            <w:r>
              <w:rPr>
                <w:rFonts w:ascii="Calibri" w:hAnsi="Calibri"/>
                <w:color w:val="1E293B"/>
                <w:sz w:val="19"/>
              </w:rPr>
              <w:t>Speech delivery tempo (optimal: 140-180 WPM)</w:t>
            </w:r>
          </w:p>
        </w:tc>
      </w:tr>
      <w:tr>
        <w:tc>
          <w:tcPr>
            <w:tcW w:type="dxa" w:w="2016"/>
            <w:shd w:fill="FFFFFF"/>
            <w:tcMar>
              <w:top w:w="90" w:type="dxa"/>
              <w:bottom w:w="90" w:type="dxa"/>
              <w:left w:w="140" w:type="dxa"/>
              <w:right w:w="140" w:type="dxa"/>
            </w:tcMar>
          </w:tcPr>
          <w:p>
            <w:pPr>
              <w:spacing w:after="0"/>
              <w:jc w:val="left"/>
            </w:pPr>
            <w:r>
              <w:rPr>
                <w:rFonts w:ascii="Calibri" w:hAnsi="Calibri"/>
                <w:color w:val="1E293B"/>
                <w:sz w:val="19"/>
              </w:rPr>
              <w:t>silence_ratio</w:t>
            </w:r>
          </w:p>
        </w:tc>
        <w:tc>
          <w:tcPr>
            <w:tcW w:type="dxa" w:w="1584"/>
            <w:shd w:fill="FFFFFF"/>
            <w:tcMar>
              <w:top w:w="90" w:type="dxa"/>
              <w:bottom w:w="90" w:type="dxa"/>
              <w:left w:w="140" w:type="dxa"/>
              <w:right w:w="140" w:type="dxa"/>
            </w:tcMar>
          </w:tcPr>
          <w:p>
            <w:pPr>
              <w:spacing w:after="0"/>
              <w:jc w:val="left"/>
            </w:pPr>
            <w:r>
              <w:rPr>
                <w:rFonts w:ascii="Calibri" w:hAnsi="Calibri"/>
                <w:color w:val="1E293B"/>
                <w:sz w:val="19"/>
              </w:rPr>
              <w:t>Acoustic</w:t>
            </w:r>
          </w:p>
        </w:tc>
        <w:tc>
          <w:tcPr>
            <w:tcW w:type="dxa" w:w="3168"/>
            <w:shd w:fill="FFFFFF"/>
            <w:tcMar>
              <w:top w:w="90" w:type="dxa"/>
              <w:bottom w:w="90" w:type="dxa"/>
              <w:left w:w="140" w:type="dxa"/>
              <w:right w:w="140" w:type="dxa"/>
            </w:tcMar>
          </w:tcPr>
          <w:p>
            <w:pPr>
              <w:spacing w:after="0"/>
              <w:jc w:val="left"/>
            </w:pPr>
            <w:r>
              <w:rPr>
                <w:rFonts w:ascii="Calibri" w:hAnsi="Calibri"/>
                <w:color w:val="1E293B"/>
                <w:sz w:val="19"/>
              </w:rPr>
              <w:t>Audio frames with RMS &lt; 0.02 divided by total duration</w:t>
            </w:r>
          </w:p>
        </w:tc>
        <w:tc>
          <w:tcPr>
            <w:tcW w:type="dxa" w:w="2592"/>
            <w:shd w:fill="FFFFFF"/>
            <w:tcMar>
              <w:top w:w="90" w:type="dxa"/>
              <w:bottom w:w="90" w:type="dxa"/>
              <w:left w:w="140" w:type="dxa"/>
              <w:right w:w="140" w:type="dxa"/>
            </w:tcMar>
          </w:tcPr>
          <w:p>
            <w:pPr>
              <w:spacing w:after="0"/>
              <w:jc w:val="left"/>
            </w:pPr>
            <w:r>
              <w:rPr>
                <w:rFonts w:ascii="Calibri" w:hAnsi="Calibri"/>
                <w:color w:val="1E293B"/>
                <w:sz w:val="19"/>
              </w:rPr>
              <w:t>Proportion of dead air (dead air &gt; 15% triggers drop-offs)</w:t>
            </w:r>
          </w:p>
        </w:tc>
      </w:tr>
      <w:tr>
        <w:tc>
          <w:tcPr>
            <w:tcW w:type="dxa" w:w="2016"/>
            <w:shd w:fill="F8FAFC"/>
            <w:tcMar>
              <w:top w:w="90" w:type="dxa"/>
              <w:bottom w:w="90" w:type="dxa"/>
              <w:left w:w="140" w:type="dxa"/>
              <w:right w:w="140" w:type="dxa"/>
            </w:tcMar>
          </w:tcPr>
          <w:p>
            <w:pPr>
              <w:spacing w:after="0"/>
              <w:jc w:val="left"/>
            </w:pPr>
            <w:r>
              <w:rPr>
                <w:rFonts w:ascii="Calibri" w:hAnsi="Calibri"/>
                <w:color w:val="1E293B"/>
                <w:sz w:val="19"/>
              </w:rPr>
              <w:t>audio_energy</w:t>
            </w:r>
          </w:p>
        </w:tc>
        <w:tc>
          <w:tcPr>
            <w:tcW w:type="dxa" w:w="1584"/>
            <w:shd w:fill="F8FAFC"/>
            <w:tcMar>
              <w:top w:w="90" w:type="dxa"/>
              <w:bottom w:w="90" w:type="dxa"/>
              <w:left w:w="140" w:type="dxa"/>
              <w:right w:w="140" w:type="dxa"/>
            </w:tcMar>
          </w:tcPr>
          <w:p>
            <w:pPr>
              <w:spacing w:after="0"/>
              <w:jc w:val="left"/>
            </w:pPr>
            <w:r>
              <w:rPr>
                <w:rFonts w:ascii="Calibri" w:hAnsi="Calibri"/>
                <w:color w:val="1E293B"/>
                <w:sz w:val="19"/>
              </w:rPr>
              <w:t>Acoustic</w:t>
            </w:r>
          </w:p>
        </w:tc>
        <w:tc>
          <w:tcPr>
            <w:tcW w:type="dxa" w:w="3168"/>
            <w:shd w:fill="F8FAFC"/>
            <w:tcMar>
              <w:top w:w="90" w:type="dxa"/>
              <w:bottom w:w="90" w:type="dxa"/>
              <w:left w:w="140" w:type="dxa"/>
              <w:right w:w="140" w:type="dxa"/>
            </w:tcMar>
          </w:tcPr>
          <w:p>
            <w:pPr>
              <w:spacing w:after="0"/>
              <w:jc w:val="left"/>
            </w:pPr>
            <w:r>
              <w:rPr>
                <w:rFonts w:ascii="Calibri" w:hAnsi="Calibri"/>
                <w:color w:val="1E293B"/>
                <w:sz w:val="19"/>
              </w:rPr>
              <w:t>Root Mean Square (RMS) signal amplitude</w:t>
            </w:r>
          </w:p>
        </w:tc>
        <w:tc>
          <w:tcPr>
            <w:tcW w:type="dxa" w:w="2592"/>
            <w:shd w:fill="F8FAFC"/>
            <w:tcMar>
              <w:top w:w="90" w:type="dxa"/>
              <w:bottom w:w="90" w:type="dxa"/>
              <w:left w:w="140" w:type="dxa"/>
              <w:right w:w="140" w:type="dxa"/>
            </w:tcMar>
          </w:tcPr>
          <w:p>
            <w:pPr>
              <w:spacing w:after="0"/>
              <w:jc w:val="left"/>
            </w:pPr>
            <w:r>
              <w:rPr>
                <w:rFonts w:ascii="Calibri" w:hAnsi="Calibri"/>
                <w:color w:val="1E293B"/>
                <w:sz w:val="19"/>
              </w:rPr>
              <w:t>Overall loudness and acoustic presence of soundtrack/voice</w:t>
            </w:r>
          </w:p>
        </w:tc>
      </w:tr>
      <w:tr>
        <w:tc>
          <w:tcPr>
            <w:tcW w:type="dxa" w:w="2016"/>
            <w:shd w:fill="FFFFFF"/>
            <w:tcMar>
              <w:top w:w="90" w:type="dxa"/>
              <w:bottom w:w="90" w:type="dxa"/>
              <w:left w:w="140" w:type="dxa"/>
              <w:right w:w="140" w:type="dxa"/>
            </w:tcMar>
          </w:tcPr>
          <w:p>
            <w:pPr>
              <w:spacing w:after="0"/>
              <w:jc w:val="left"/>
            </w:pPr>
            <w:r>
              <w:rPr>
                <w:rFonts w:ascii="Calibri" w:hAnsi="Calibri"/>
                <w:color w:val="1E293B"/>
                <w:sz w:val="19"/>
              </w:rPr>
              <w:t>word_count</w:t>
            </w:r>
          </w:p>
        </w:tc>
        <w:tc>
          <w:tcPr>
            <w:tcW w:type="dxa" w:w="1584"/>
            <w:shd w:fill="FFFFFF"/>
            <w:tcMar>
              <w:top w:w="90" w:type="dxa"/>
              <w:bottom w:w="90" w:type="dxa"/>
              <w:left w:w="140" w:type="dxa"/>
              <w:right w:w="140" w:type="dxa"/>
            </w:tcMar>
          </w:tcPr>
          <w:p>
            <w:pPr>
              <w:spacing w:after="0"/>
              <w:jc w:val="left"/>
            </w:pPr>
            <w:r>
              <w:rPr>
                <w:rFonts w:ascii="Calibri" w:hAnsi="Calibri"/>
                <w:color w:val="1E293B"/>
                <w:sz w:val="19"/>
              </w:rPr>
              <w:t>Semantic</w:t>
            </w:r>
          </w:p>
        </w:tc>
        <w:tc>
          <w:tcPr>
            <w:tcW w:type="dxa" w:w="3168"/>
            <w:shd w:fill="FFFFFF"/>
            <w:tcMar>
              <w:top w:w="90" w:type="dxa"/>
              <w:bottom w:w="90" w:type="dxa"/>
              <w:left w:w="140" w:type="dxa"/>
              <w:right w:w="140" w:type="dxa"/>
            </w:tcMar>
          </w:tcPr>
          <w:p>
            <w:pPr>
              <w:spacing w:after="0"/>
              <w:jc w:val="left"/>
            </w:pPr>
            <w:r>
              <w:rPr>
                <w:rFonts w:ascii="Calibri" w:hAnsi="Calibri"/>
                <w:color w:val="1E293B"/>
                <w:sz w:val="19"/>
              </w:rPr>
              <w:t>Token count from audio transcript</w:t>
            </w:r>
          </w:p>
        </w:tc>
        <w:tc>
          <w:tcPr>
            <w:tcW w:type="dxa" w:w="2592"/>
            <w:shd w:fill="FFFFFF"/>
            <w:tcMar>
              <w:top w:w="90" w:type="dxa"/>
              <w:bottom w:w="90" w:type="dxa"/>
              <w:left w:w="140" w:type="dxa"/>
              <w:right w:w="140" w:type="dxa"/>
            </w:tcMar>
          </w:tcPr>
          <w:p>
            <w:pPr>
              <w:spacing w:after="0"/>
              <w:jc w:val="left"/>
            </w:pPr>
            <w:r>
              <w:rPr>
                <w:rFonts w:ascii="Calibri" w:hAnsi="Calibri"/>
                <w:color w:val="1E293B"/>
                <w:sz w:val="19"/>
              </w:rPr>
              <w:t>Total cognitive payload delivered across video duration</w:t>
            </w:r>
          </w:p>
        </w:tc>
      </w:tr>
      <w:tr>
        <w:tc>
          <w:tcPr>
            <w:tcW w:type="dxa" w:w="2016"/>
            <w:shd w:fill="F8FAFC"/>
            <w:tcMar>
              <w:top w:w="90" w:type="dxa"/>
              <w:bottom w:w="90" w:type="dxa"/>
              <w:left w:w="140" w:type="dxa"/>
              <w:right w:w="140" w:type="dxa"/>
            </w:tcMar>
          </w:tcPr>
          <w:p>
            <w:pPr>
              <w:spacing w:after="0"/>
              <w:jc w:val="left"/>
            </w:pPr>
            <w:r>
              <w:rPr>
                <w:rFonts w:ascii="Calibri" w:hAnsi="Calibri"/>
                <w:color w:val="1E293B"/>
                <w:sz w:val="19"/>
              </w:rPr>
              <w:t>cta_score</w:t>
            </w:r>
          </w:p>
        </w:tc>
        <w:tc>
          <w:tcPr>
            <w:tcW w:type="dxa" w:w="1584"/>
            <w:shd w:fill="F8FAFC"/>
            <w:tcMar>
              <w:top w:w="90" w:type="dxa"/>
              <w:bottom w:w="90" w:type="dxa"/>
              <w:left w:w="140" w:type="dxa"/>
              <w:right w:w="140" w:type="dxa"/>
            </w:tcMar>
          </w:tcPr>
          <w:p>
            <w:pPr>
              <w:spacing w:after="0"/>
              <w:jc w:val="left"/>
            </w:pPr>
            <w:r>
              <w:rPr>
                <w:rFonts w:ascii="Calibri" w:hAnsi="Calibri"/>
                <w:color w:val="1E293B"/>
                <w:sz w:val="19"/>
              </w:rPr>
              <w:t>Semantic</w:t>
            </w:r>
          </w:p>
        </w:tc>
        <w:tc>
          <w:tcPr>
            <w:tcW w:type="dxa" w:w="3168"/>
            <w:shd w:fill="F8FAFC"/>
            <w:tcMar>
              <w:top w:w="90" w:type="dxa"/>
              <w:bottom w:w="90" w:type="dxa"/>
              <w:left w:w="140" w:type="dxa"/>
              <w:right w:w="140" w:type="dxa"/>
            </w:tcMar>
          </w:tcPr>
          <w:p>
            <w:pPr>
              <w:spacing w:after="0"/>
              <w:jc w:val="left"/>
            </w:pPr>
            <w:r>
              <w:rPr>
                <w:rFonts w:ascii="Calibri" w:hAnsi="Calibri"/>
                <w:color w:val="1E293B"/>
                <w:sz w:val="19"/>
              </w:rPr>
              <w:t>Regex matching for Call-To-Action tokens ('follow', 'share')</w:t>
            </w:r>
          </w:p>
        </w:tc>
        <w:tc>
          <w:tcPr>
            <w:tcW w:type="dxa" w:w="2592"/>
            <w:shd w:fill="F8FAFC"/>
            <w:tcMar>
              <w:top w:w="90" w:type="dxa"/>
              <w:bottom w:w="90" w:type="dxa"/>
              <w:left w:w="140" w:type="dxa"/>
              <w:right w:w="140" w:type="dxa"/>
            </w:tcMar>
          </w:tcPr>
          <w:p>
            <w:pPr>
              <w:spacing w:after="0"/>
              <w:jc w:val="left"/>
            </w:pPr>
            <w:r>
              <w:rPr>
                <w:rFonts w:ascii="Calibri" w:hAnsi="Calibri"/>
                <w:color w:val="1E293B"/>
                <w:sz w:val="19"/>
              </w:rPr>
              <w:t>Conversion probability and closing momentum</w:t>
            </w:r>
          </w:p>
        </w:tc>
      </w:tr>
      <w:tr>
        <w:tc>
          <w:tcPr>
            <w:tcW w:type="dxa" w:w="2016"/>
            <w:shd w:fill="FFFFFF"/>
            <w:tcMar>
              <w:top w:w="90" w:type="dxa"/>
              <w:bottom w:w="90" w:type="dxa"/>
              <w:left w:w="140" w:type="dxa"/>
              <w:right w:w="140" w:type="dxa"/>
            </w:tcMar>
          </w:tcPr>
          <w:p>
            <w:pPr>
              <w:spacing w:after="0"/>
              <w:jc w:val="left"/>
            </w:pPr>
            <w:r>
              <w:rPr>
                <w:rFonts w:ascii="Calibri" w:hAnsi="Calibri"/>
                <w:color w:val="1E293B"/>
                <w:sz w:val="19"/>
              </w:rPr>
              <w:t>question_present</w:t>
            </w:r>
          </w:p>
        </w:tc>
        <w:tc>
          <w:tcPr>
            <w:tcW w:type="dxa" w:w="1584"/>
            <w:shd w:fill="FFFFFF"/>
            <w:tcMar>
              <w:top w:w="90" w:type="dxa"/>
              <w:bottom w:w="90" w:type="dxa"/>
              <w:left w:w="140" w:type="dxa"/>
              <w:right w:w="140" w:type="dxa"/>
            </w:tcMar>
          </w:tcPr>
          <w:p>
            <w:pPr>
              <w:spacing w:after="0"/>
              <w:jc w:val="left"/>
            </w:pPr>
            <w:r>
              <w:rPr>
                <w:rFonts w:ascii="Calibri" w:hAnsi="Calibri"/>
                <w:color w:val="1E293B"/>
                <w:sz w:val="19"/>
              </w:rPr>
              <w:t>Semantic</w:t>
            </w:r>
          </w:p>
        </w:tc>
        <w:tc>
          <w:tcPr>
            <w:tcW w:type="dxa" w:w="3168"/>
            <w:shd w:fill="FFFFFF"/>
            <w:tcMar>
              <w:top w:w="90" w:type="dxa"/>
              <w:bottom w:w="90" w:type="dxa"/>
              <w:left w:w="140" w:type="dxa"/>
              <w:right w:w="140" w:type="dxa"/>
            </w:tcMar>
          </w:tcPr>
          <w:p>
            <w:pPr>
              <w:spacing w:after="0"/>
              <w:jc w:val="left"/>
            </w:pPr>
            <w:r>
              <w:rPr>
                <w:rFonts w:ascii="Calibri" w:hAnsi="Calibri"/>
                <w:color w:val="1E293B"/>
                <w:sz w:val="19"/>
              </w:rPr>
              <w:t>Interrogative syntax detection ('why', 'how', '?')</w:t>
            </w:r>
          </w:p>
        </w:tc>
        <w:tc>
          <w:tcPr>
            <w:tcW w:type="dxa" w:w="2592"/>
            <w:shd w:fill="FFFFFF"/>
            <w:tcMar>
              <w:top w:w="90" w:type="dxa"/>
              <w:bottom w:w="90" w:type="dxa"/>
              <w:left w:w="140" w:type="dxa"/>
              <w:right w:w="140" w:type="dxa"/>
            </w:tcMar>
          </w:tcPr>
          <w:p>
            <w:pPr>
              <w:spacing w:after="0"/>
              <w:jc w:val="left"/>
            </w:pPr>
            <w:r>
              <w:rPr>
                <w:rFonts w:ascii="Calibri" w:hAnsi="Calibri"/>
                <w:color w:val="1E293B"/>
                <w:sz w:val="19"/>
              </w:rPr>
              <w:t>Curiosity gap indicator driving comment engagement</w:t>
            </w:r>
          </w:p>
        </w:tc>
      </w:tr>
      <w:tr>
        <w:tc>
          <w:tcPr>
            <w:tcW w:type="dxa" w:w="2016"/>
            <w:shd w:fill="F8FAFC"/>
            <w:tcMar>
              <w:top w:w="90" w:type="dxa"/>
              <w:bottom w:w="90" w:type="dxa"/>
              <w:left w:w="140" w:type="dxa"/>
              <w:right w:w="140" w:type="dxa"/>
            </w:tcMar>
          </w:tcPr>
          <w:p>
            <w:pPr>
              <w:spacing w:after="0"/>
              <w:jc w:val="left"/>
            </w:pPr>
            <w:r>
              <w:rPr>
                <w:rFonts w:ascii="Calibri" w:hAnsi="Calibri"/>
                <w:color w:val="1E293B"/>
                <w:sz w:val="19"/>
              </w:rPr>
              <w:t>completion_rate</w:t>
            </w:r>
          </w:p>
        </w:tc>
        <w:tc>
          <w:tcPr>
            <w:tcW w:type="dxa" w:w="1584"/>
            <w:shd w:fill="F8FAFC"/>
            <w:tcMar>
              <w:top w:w="90" w:type="dxa"/>
              <w:bottom w:w="90" w:type="dxa"/>
              <w:left w:w="140" w:type="dxa"/>
              <w:right w:w="140" w:type="dxa"/>
            </w:tcMar>
          </w:tcPr>
          <w:p>
            <w:pPr>
              <w:spacing w:after="0"/>
              <w:jc w:val="left"/>
            </w:pPr>
            <w:r>
              <w:rPr>
                <w:rFonts w:ascii="Calibri" w:hAnsi="Calibri"/>
                <w:color w:val="1E293B"/>
                <w:sz w:val="19"/>
              </w:rPr>
              <w:t>Behavioral</w:t>
            </w:r>
          </w:p>
        </w:tc>
        <w:tc>
          <w:tcPr>
            <w:tcW w:type="dxa" w:w="3168"/>
            <w:shd w:fill="F8FAFC"/>
            <w:tcMar>
              <w:top w:w="90" w:type="dxa"/>
              <w:bottom w:w="90" w:type="dxa"/>
              <w:left w:w="140" w:type="dxa"/>
              <w:right w:w="140" w:type="dxa"/>
            </w:tcMar>
          </w:tcPr>
          <w:p>
            <w:pPr>
              <w:spacing w:after="0"/>
              <w:jc w:val="left"/>
            </w:pPr>
            <w:r>
              <w:rPr>
                <w:rFonts w:ascii="Calibri" w:hAnsi="Calibri"/>
                <w:color w:val="1E293B"/>
                <w:sz w:val="19"/>
              </w:rPr>
              <w:t>100-Agent Swarm Simulation aggregate</w:t>
            </w:r>
          </w:p>
        </w:tc>
        <w:tc>
          <w:tcPr>
            <w:tcW w:type="dxa" w:w="2592"/>
            <w:shd w:fill="F8FAFC"/>
            <w:tcMar>
              <w:top w:w="90" w:type="dxa"/>
              <w:bottom w:w="90" w:type="dxa"/>
              <w:left w:w="140" w:type="dxa"/>
              <w:right w:w="140" w:type="dxa"/>
            </w:tcMar>
          </w:tcPr>
          <w:p>
            <w:pPr>
              <w:spacing w:after="0"/>
              <w:jc w:val="left"/>
            </w:pPr>
            <w:r>
              <w:rPr>
                <w:rFonts w:ascii="Calibri" w:hAnsi="Calibri"/>
                <w:color w:val="1E293B"/>
                <w:sz w:val="19"/>
              </w:rPr>
              <w:t>Percentage of simulated population watching 100% of duration</w:t>
            </w:r>
          </w:p>
        </w:tc>
      </w:tr>
      <w:tr>
        <w:tc>
          <w:tcPr>
            <w:tcW w:type="dxa" w:w="2016"/>
            <w:shd w:fill="FFFFFF"/>
            <w:tcMar>
              <w:top w:w="90" w:type="dxa"/>
              <w:bottom w:w="90" w:type="dxa"/>
              <w:left w:w="140" w:type="dxa"/>
              <w:right w:w="140" w:type="dxa"/>
            </w:tcMar>
          </w:tcPr>
          <w:p>
            <w:pPr>
              <w:spacing w:after="0"/>
              <w:jc w:val="left"/>
            </w:pPr>
            <w:r>
              <w:rPr>
                <w:rFonts w:ascii="Calibri" w:hAnsi="Calibri"/>
                <w:color w:val="1E293B"/>
                <w:sz w:val="19"/>
              </w:rPr>
              <w:t>watch_rate</w:t>
            </w:r>
          </w:p>
        </w:tc>
        <w:tc>
          <w:tcPr>
            <w:tcW w:type="dxa" w:w="1584"/>
            <w:shd w:fill="FFFFFF"/>
            <w:tcMar>
              <w:top w:w="90" w:type="dxa"/>
              <w:bottom w:w="90" w:type="dxa"/>
              <w:left w:w="140" w:type="dxa"/>
              <w:right w:w="140" w:type="dxa"/>
            </w:tcMar>
          </w:tcPr>
          <w:p>
            <w:pPr>
              <w:spacing w:after="0"/>
              <w:jc w:val="left"/>
            </w:pPr>
            <w:r>
              <w:rPr>
                <w:rFonts w:ascii="Calibri" w:hAnsi="Calibri"/>
                <w:color w:val="1E293B"/>
                <w:sz w:val="19"/>
              </w:rPr>
              <w:t>Behavioral</w:t>
            </w:r>
          </w:p>
        </w:tc>
        <w:tc>
          <w:tcPr>
            <w:tcW w:type="dxa" w:w="3168"/>
            <w:shd w:fill="FFFFFF"/>
            <w:tcMar>
              <w:top w:w="90" w:type="dxa"/>
              <w:bottom w:w="90" w:type="dxa"/>
              <w:left w:w="140" w:type="dxa"/>
              <w:right w:w="140" w:type="dxa"/>
            </w:tcMar>
          </w:tcPr>
          <w:p>
            <w:pPr>
              <w:spacing w:after="0"/>
              <w:jc w:val="left"/>
            </w:pPr>
            <w:r>
              <w:rPr>
                <w:rFonts w:ascii="Calibri" w:hAnsi="Calibri"/>
                <w:color w:val="1E293B"/>
                <w:sz w:val="19"/>
              </w:rPr>
              <w:t>100-Agent Swarm Simulation aggregate</w:t>
            </w:r>
          </w:p>
        </w:tc>
        <w:tc>
          <w:tcPr>
            <w:tcW w:type="dxa" w:w="2592"/>
            <w:shd w:fill="FFFFFF"/>
            <w:tcMar>
              <w:top w:w="90" w:type="dxa"/>
              <w:bottom w:w="90" w:type="dxa"/>
              <w:left w:w="140" w:type="dxa"/>
              <w:right w:w="140" w:type="dxa"/>
            </w:tcMar>
          </w:tcPr>
          <w:p>
            <w:pPr>
              <w:spacing w:after="0"/>
              <w:jc w:val="left"/>
            </w:pPr>
            <w:r>
              <w:rPr>
                <w:rFonts w:ascii="Calibri" w:hAnsi="Calibri"/>
                <w:color w:val="1E293B"/>
                <w:sz w:val="19"/>
              </w:rPr>
              <w:t>Average percentage of video duration watched</w:t>
            </w:r>
          </w:p>
        </w:tc>
      </w:tr>
      <w:tr>
        <w:tc>
          <w:tcPr>
            <w:tcW w:type="dxa" w:w="2016"/>
            <w:shd w:fill="F8FAFC"/>
            <w:tcMar>
              <w:top w:w="90" w:type="dxa"/>
              <w:bottom w:w="90" w:type="dxa"/>
              <w:left w:w="140" w:type="dxa"/>
              <w:right w:w="140" w:type="dxa"/>
            </w:tcMar>
          </w:tcPr>
          <w:p>
            <w:pPr>
              <w:spacing w:after="0"/>
              <w:jc w:val="left"/>
            </w:pPr>
            <w:r>
              <w:rPr>
                <w:rFonts w:ascii="Calibri" w:hAnsi="Calibri"/>
                <w:color w:val="1E293B"/>
                <w:sz w:val="19"/>
              </w:rPr>
              <w:t>like_rate</w:t>
            </w:r>
          </w:p>
        </w:tc>
        <w:tc>
          <w:tcPr>
            <w:tcW w:type="dxa" w:w="1584"/>
            <w:shd w:fill="F8FAFC"/>
            <w:tcMar>
              <w:top w:w="90" w:type="dxa"/>
              <w:bottom w:w="90" w:type="dxa"/>
              <w:left w:w="140" w:type="dxa"/>
              <w:right w:w="140" w:type="dxa"/>
            </w:tcMar>
          </w:tcPr>
          <w:p>
            <w:pPr>
              <w:spacing w:after="0"/>
              <w:jc w:val="left"/>
            </w:pPr>
            <w:r>
              <w:rPr>
                <w:rFonts w:ascii="Calibri" w:hAnsi="Calibri"/>
                <w:color w:val="1E293B"/>
                <w:sz w:val="19"/>
              </w:rPr>
              <w:t>Behavioral</w:t>
            </w:r>
          </w:p>
        </w:tc>
        <w:tc>
          <w:tcPr>
            <w:tcW w:type="dxa" w:w="3168"/>
            <w:shd w:fill="F8FAFC"/>
            <w:tcMar>
              <w:top w:w="90" w:type="dxa"/>
              <w:bottom w:w="90" w:type="dxa"/>
              <w:left w:w="140" w:type="dxa"/>
              <w:right w:w="140" w:type="dxa"/>
            </w:tcMar>
          </w:tcPr>
          <w:p>
            <w:pPr>
              <w:spacing w:after="0"/>
              <w:jc w:val="left"/>
            </w:pPr>
            <w:r>
              <w:rPr>
                <w:rFonts w:ascii="Calibri" w:hAnsi="Calibri"/>
                <w:color w:val="1E293B"/>
                <w:sz w:val="19"/>
              </w:rPr>
              <w:t>100-Agent Swarm Simulation aggregate</w:t>
            </w:r>
          </w:p>
        </w:tc>
        <w:tc>
          <w:tcPr>
            <w:tcW w:type="dxa" w:w="2592"/>
            <w:shd w:fill="F8FAFC"/>
            <w:tcMar>
              <w:top w:w="90" w:type="dxa"/>
              <w:bottom w:w="90" w:type="dxa"/>
              <w:left w:w="140" w:type="dxa"/>
              <w:right w:w="140" w:type="dxa"/>
            </w:tcMar>
          </w:tcPr>
          <w:p>
            <w:pPr>
              <w:spacing w:after="0"/>
              <w:jc w:val="left"/>
            </w:pPr>
            <w:r>
              <w:rPr>
                <w:rFonts w:ascii="Calibri" w:hAnsi="Calibri"/>
                <w:color w:val="1E293B"/>
                <w:sz w:val="19"/>
              </w:rPr>
              <w:t>Positive affective reaction probability per viewer</w:t>
            </w:r>
          </w:p>
        </w:tc>
      </w:tr>
      <w:tr>
        <w:tc>
          <w:tcPr>
            <w:tcW w:type="dxa" w:w="2016"/>
            <w:shd w:fill="FFFFFF"/>
            <w:tcMar>
              <w:top w:w="90" w:type="dxa"/>
              <w:bottom w:w="90" w:type="dxa"/>
              <w:left w:w="140" w:type="dxa"/>
              <w:right w:w="140" w:type="dxa"/>
            </w:tcMar>
          </w:tcPr>
          <w:p>
            <w:pPr>
              <w:spacing w:after="0"/>
              <w:jc w:val="left"/>
            </w:pPr>
            <w:r>
              <w:rPr>
                <w:rFonts w:ascii="Calibri" w:hAnsi="Calibri"/>
                <w:color w:val="1E293B"/>
                <w:sz w:val="19"/>
              </w:rPr>
              <w:t>share_rate</w:t>
            </w:r>
          </w:p>
        </w:tc>
        <w:tc>
          <w:tcPr>
            <w:tcW w:type="dxa" w:w="1584"/>
            <w:shd w:fill="FFFFFF"/>
            <w:tcMar>
              <w:top w:w="90" w:type="dxa"/>
              <w:bottom w:w="90" w:type="dxa"/>
              <w:left w:w="140" w:type="dxa"/>
              <w:right w:w="140" w:type="dxa"/>
            </w:tcMar>
          </w:tcPr>
          <w:p>
            <w:pPr>
              <w:spacing w:after="0"/>
              <w:jc w:val="left"/>
            </w:pPr>
            <w:r>
              <w:rPr>
                <w:rFonts w:ascii="Calibri" w:hAnsi="Calibri"/>
                <w:color w:val="1E293B"/>
                <w:sz w:val="19"/>
              </w:rPr>
              <w:t>Behavioral</w:t>
            </w:r>
          </w:p>
        </w:tc>
        <w:tc>
          <w:tcPr>
            <w:tcW w:type="dxa" w:w="3168"/>
            <w:shd w:fill="FFFFFF"/>
            <w:tcMar>
              <w:top w:w="90" w:type="dxa"/>
              <w:bottom w:w="90" w:type="dxa"/>
              <w:left w:w="140" w:type="dxa"/>
              <w:right w:w="140" w:type="dxa"/>
            </w:tcMar>
          </w:tcPr>
          <w:p>
            <w:pPr>
              <w:spacing w:after="0"/>
              <w:jc w:val="left"/>
            </w:pPr>
            <w:r>
              <w:rPr>
                <w:rFonts w:ascii="Calibri" w:hAnsi="Calibri"/>
                <w:color w:val="1E293B"/>
                <w:sz w:val="19"/>
              </w:rPr>
              <w:t>100-Agent Swarm Simulation aggregate</w:t>
            </w:r>
          </w:p>
        </w:tc>
        <w:tc>
          <w:tcPr>
            <w:tcW w:type="dxa" w:w="2592"/>
            <w:shd w:fill="FFFFFF"/>
            <w:tcMar>
              <w:top w:w="90" w:type="dxa"/>
              <w:bottom w:w="90" w:type="dxa"/>
              <w:left w:w="140" w:type="dxa"/>
              <w:right w:w="140" w:type="dxa"/>
            </w:tcMar>
          </w:tcPr>
          <w:p>
            <w:pPr>
              <w:spacing w:after="0"/>
              <w:jc w:val="left"/>
            </w:pPr>
            <w:r>
              <w:rPr>
                <w:rFonts w:ascii="Calibri" w:hAnsi="Calibri"/>
                <w:color w:val="1E293B"/>
                <w:sz w:val="19"/>
              </w:rPr>
              <w:t>Virality multiplier (K-factor) driving external reach</w:t>
            </w:r>
          </w:p>
        </w:tc>
      </w:tr>
      <w:tr>
        <w:tc>
          <w:tcPr>
            <w:tcW w:type="dxa" w:w="2016"/>
            <w:shd w:fill="F8FAFC"/>
            <w:tcMar>
              <w:top w:w="90" w:type="dxa"/>
              <w:bottom w:w="90" w:type="dxa"/>
              <w:left w:w="140" w:type="dxa"/>
              <w:right w:w="140" w:type="dxa"/>
            </w:tcMar>
          </w:tcPr>
          <w:p>
            <w:pPr>
              <w:spacing w:after="0"/>
              <w:jc w:val="left"/>
            </w:pPr>
            <w:r>
              <w:rPr>
                <w:rFonts w:ascii="Calibri" w:hAnsi="Calibri"/>
                <w:color w:val="1E293B"/>
                <w:sz w:val="19"/>
              </w:rPr>
              <w:t>comment_rate</w:t>
            </w:r>
          </w:p>
        </w:tc>
        <w:tc>
          <w:tcPr>
            <w:tcW w:type="dxa" w:w="1584"/>
            <w:shd w:fill="F8FAFC"/>
            <w:tcMar>
              <w:top w:w="90" w:type="dxa"/>
              <w:bottom w:w="90" w:type="dxa"/>
              <w:left w:w="140" w:type="dxa"/>
              <w:right w:w="140" w:type="dxa"/>
            </w:tcMar>
          </w:tcPr>
          <w:p>
            <w:pPr>
              <w:spacing w:after="0"/>
              <w:jc w:val="left"/>
            </w:pPr>
            <w:r>
              <w:rPr>
                <w:rFonts w:ascii="Calibri" w:hAnsi="Calibri"/>
                <w:color w:val="1E293B"/>
                <w:sz w:val="19"/>
              </w:rPr>
              <w:t>Behavioral</w:t>
            </w:r>
          </w:p>
        </w:tc>
        <w:tc>
          <w:tcPr>
            <w:tcW w:type="dxa" w:w="3168"/>
            <w:shd w:fill="F8FAFC"/>
            <w:tcMar>
              <w:top w:w="90" w:type="dxa"/>
              <w:bottom w:w="90" w:type="dxa"/>
              <w:left w:w="140" w:type="dxa"/>
              <w:right w:w="140" w:type="dxa"/>
            </w:tcMar>
          </w:tcPr>
          <w:p>
            <w:pPr>
              <w:spacing w:after="0"/>
              <w:jc w:val="left"/>
            </w:pPr>
            <w:r>
              <w:rPr>
                <w:rFonts w:ascii="Calibri" w:hAnsi="Calibri"/>
                <w:color w:val="1E293B"/>
                <w:sz w:val="19"/>
              </w:rPr>
              <w:t>100-Agent Swarm Simulation aggregate</w:t>
            </w:r>
          </w:p>
        </w:tc>
        <w:tc>
          <w:tcPr>
            <w:tcW w:type="dxa" w:w="2592"/>
            <w:shd w:fill="F8FAFC"/>
            <w:tcMar>
              <w:top w:w="90" w:type="dxa"/>
              <w:bottom w:w="90" w:type="dxa"/>
              <w:left w:w="140" w:type="dxa"/>
              <w:right w:w="140" w:type="dxa"/>
            </w:tcMar>
          </w:tcPr>
          <w:p>
            <w:pPr>
              <w:spacing w:after="0"/>
              <w:jc w:val="left"/>
            </w:pPr>
            <w:r>
              <w:rPr>
                <w:rFonts w:ascii="Calibri" w:hAnsi="Calibri"/>
                <w:color w:val="1E293B"/>
                <w:sz w:val="19"/>
              </w:rPr>
              <w:t>Discussion frequency driven by curiosity or debate</w:t>
            </w:r>
          </w:p>
        </w:tc>
      </w:tr>
    </w:tbl>
    <w:p>
      <w:pPr>
        <w:keepNext/>
        <w:spacing w:before="400" w:after="120"/>
      </w:pPr>
      <w:r>
        <w:rPr>
          <w:b/>
          <w:color w:val="1E1B4B"/>
          <w:sz w:val="36"/>
        </w:rPr>
        <w:t>Chapter 4: The 100-Agent Audience Swarm &amp; ML Architecture</w:t>
      </w:r>
    </w:p>
    <w:p>
      <w:pPr>
        <w:keepNext/>
        <w:spacing w:before="280" w:after="80"/>
      </w:pPr>
      <w:r>
        <w:rPr>
          <w:b/>
          <w:color w:val="4F46E5"/>
          <w:sz w:val="27"/>
        </w:rPr>
        <w:t>4.1 Demographic Persona Distribution</w:t>
      </w:r>
    </w:p>
    <w:p>
      <w:r>
        <w:t>Social recommendation algorithms operate on cascade dynamics: initial content is tested against an exploratory seed cohort of real human profiles. VIRALYTIX reproduces this by implementing a 100-Agent Monte Carlo Swarm divided into 6 demographic cohorts:</w:t>
        <w:br/>
        <w:t>• Gen Z Casual Scrollers (25 Agents): High impatience (&lt;1.8s hook tolerance), high motion sensitivity, zero silence tolerance.</w:t>
        <w:br/>
        <w:t>• Tech &amp; AI Enthusiasts (20 Agents): High tolerance for dense speech, values substantive takeaways over visual cuts.</w:t>
        <w:br/>
        <w:t>• Productivity &amp; Founders (15 Agents): Driven by structured takeaways, CTA clarity, and concise summaries.</w:t>
        <w:br/>
        <w:t>• Visual Designers &amp; Creators (15 Agents): Highly sensitive to lighting balance, color vibrancy, and cinematic composition.</w:t>
        <w:br/>
        <w:t>• Students &amp; Academics (15 Agents): Value explanatory questions, structured captions, and moderate pacing.</w:t>
        <w:br/>
        <w:t>• General Entertainment Viewers (10 Agents): Driven by acoustic energy, humor cues, and emotional hooks.</w:t>
      </w:r>
    </w:p>
    <w:p>
      <w:pPr>
        <w:keepNext/>
        <w:spacing w:before="280" w:after="80"/>
      </w:pPr>
      <w:r>
        <w:rPr>
          <w:b/>
          <w:color w:val="4F46E5"/>
          <w:sz w:val="27"/>
        </w:rPr>
        <w:t>4.2 Model Performance Benchmarks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E1B4B"/>
            <w:tcMar>
              <w:top w:w="120" w:type="dxa"/>
              <w:bottom w:w="120" w:type="dxa"/>
              <w:left w:w="140" w:type="dxa"/>
              <w:right w:w="140" w:type="dxa"/>
            </w:tcMar>
          </w:tcPr>
          <w:p>
            <w:pPr>
              <w:spacing w:after="0"/>
              <w:jc w:val="left"/>
            </w:pPr>
            <w:r>
              <w:rPr>
                <w:rFonts w:ascii="Calibri" w:hAnsi="Calibri"/>
                <w:b/>
                <w:color w:val="FFFFFF"/>
                <w:sz w:val="20"/>
              </w:rPr>
              <w:t>Algorithm / Engine</w:t>
            </w:r>
          </w:p>
        </w:tc>
        <w:tc>
          <w:tcPr>
            <w:tcW w:type="dxa" w:w="2592"/>
            <w:shd w:fill="1E1B4B"/>
            <w:tcMar>
              <w:top w:w="120" w:type="dxa"/>
              <w:bottom w:w="120" w:type="dxa"/>
              <w:left w:w="140" w:type="dxa"/>
              <w:right w:w="140" w:type="dxa"/>
            </w:tcMar>
          </w:tcPr>
          <w:p>
            <w:pPr>
              <w:spacing w:after="0"/>
              <w:jc w:val="left"/>
            </w:pPr>
            <w:r>
              <w:rPr>
                <w:rFonts w:ascii="Calibri" w:hAnsi="Calibri"/>
                <w:b/>
                <w:color w:val="FFFFFF"/>
                <w:sz w:val="20"/>
              </w:rPr>
              <w:t>Target Task</w:t>
            </w:r>
          </w:p>
        </w:tc>
        <w:tc>
          <w:tcPr>
            <w:tcW w:type="dxa" w:w="2304"/>
            <w:shd w:fill="1E1B4B"/>
            <w:tcMar>
              <w:top w:w="120" w:type="dxa"/>
              <w:bottom w:w="120" w:type="dxa"/>
              <w:left w:w="140" w:type="dxa"/>
              <w:right w:w="140" w:type="dxa"/>
            </w:tcMar>
          </w:tcPr>
          <w:p>
            <w:pPr>
              <w:spacing w:after="0"/>
              <w:jc w:val="left"/>
            </w:pPr>
            <w:r>
              <w:rPr>
                <w:rFonts w:ascii="Calibri" w:hAnsi="Calibri"/>
                <w:b/>
                <w:color w:val="FFFFFF"/>
                <w:sz w:val="20"/>
              </w:rPr>
              <w:t>Empirical Metric</w:t>
            </w:r>
          </w:p>
        </w:tc>
        <w:tc>
          <w:tcPr>
            <w:tcW w:type="dxa" w:w="2160"/>
            <w:shd w:fill="1E1B4B"/>
            <w:tcMar>
              <w:top w:w="120" w:type="dxa"/>
              <w:bottom w:w="120" w:type="dxa"/>
              <w:left w:w="140" w:type="dxa"/>
              <w:right w:w="140" w:type="dxa"/>
            </w:tcMar>
          </w:tcPr>
          <w:p>
            <w:pPr>
              <w:spacing w:after="0"/>
              <w:jc w:val="left"/>
            </w:pPr>
            <w:r>
              <w:rPr>
                <w:rFonts w:ascii="Calibri" w:hAnsi="Calibri"/>
                <w:b/>
                <w:color w:val="FFFFFF"/>
                <w:sz w:val="20"/>
              </w:rPr>
              <w:t>System Function</w:t>
            </w:r>
          </w:p>
        </w:tc>
      </w:tr>
      <w:tr>
        <w:tc>
          <w:tcPr>
            <w:tcW w:type="dxa" w:w="2304"/>
            <w:shd w:fill="FFFFFF"/>
            <w:tcMar>
              <w:top w:w="90" w:type="dxa"/>
              <w:bottom w:w="90" w:type="dxa"/>
              <w:left w:w="140" w:type="dxa"/>
              <w:right w:w="140" w:type="dxa"/>
            </w:tcMar>
          </w:tcPr>
          <w:p>
            <w:pPr>
              <w:spacing w:after="0"/>
              <w:jc w:val="left"/>
            </w:pPr>
            <w:r>
              <w:rPr>
                <w:rFonts w:ascii="Calibri" w:hAnsi="Calibri"/>
                <w:color w:val="1E293B"/>
                <w:sz w:val="19"/>
              </w:rPr>
              <w:t>XGBoost Regressor</w:t>
            </w:r>
          </w:p>
        </w:tc>
        <w:tc>
          <w:tcPr>
            <w:tcW w:type="dxa" w:w="2592"/>
            <w:shd w:fill="FFFFFF"/>
            <w:tcMar>
              <w:top w:w="90" w:type="dxa"/>
              <w:bottom w:w="90" w:type="dxa"/>
              <w:left w:w="140" w:type="dxa"/>
              <w:right w:w="140" w:type="dxa"/>
            </w:tcMar>
          </w:tcPr>
          <w:p>
            <w:pPr>
              <w:spacing w:after="0"/>
              <w:jc w:val="left"/>
            </w:pPr>
            <w:r>
              <w:rPr>
                <w:rFonts w:ascii="Calibri" w:hAnsi="Calibri"/>
                <w:color w:val="1E293B"/>
                <w:sz w:val="19"/>
              </w:rPr>
              <w:t>Continuous Virality Score (0-100)</w:t>
            </w:r>
          </w:p>
        </w:tc>
        <w:tc>
          <w:tcPr>
            <w:tcW w:type="dxa" w:w="2304"/>
            <w:shd w:fill="FFFFFF"/>
            <w:tcMar>
              <w:top w:w="90" w:type="dxa"/>
              <w:bottom w:w="90" w:type="dxa"/>
              <w:left w:w="140" w:type="dxa"/>
              <w:right w:w="140" w:type="dxa"/>
            </w:tcMar>
          </w:tcPr>
          <w:p>
            <w:pPr>
              <w:spacing w:after="0"/>
              <w:jc w:val="left"/>
            </w:pPr>
            <w:r>
              <w:rPr>
                <w:rFonts w:ascii="Calibri" w:hAnsi="Calibri"/>
                <w:color w:val="1E293B"/>
                <w:sz w:val="19"/>
              </w:rPr>
              <w:t>R² = 0.984 • MAE = 2.45 pts</w:t>
            </w:r>
          </w:p>
        </w:tc>
        <w:tc>
          <w:tcPr>
            <w:tcW w:type="dxa" w:w="2160"/>
            <w:shd w:fill="FFFFFF"/>
            <w:tcMar>
              <w:top w:w="90" w:type="dxa"/>
              <w:bottom w:w="90" w:type="dxa"/>
              <w:left w:w="140" w:type="dxa"/>
              <w:right w:w="140" w:type="dxa"/>
            </w:tcMar>
          </w:tcPr>
          <w:p>
            <w:pPr>
              <w:spacing w:after="0"/>
              <w:jc w:val="left"/>
            </w:pPr>
            <w:r>
              <w:rPr>
                <w:rFonts w:ascii="Calibri" w:hAnsi="Calibri"/>
                <w:color w:val="1E293B"/>
                <w:sz w:val="19"/>
              </w:rPr>
              <w:t>Primary continuous scoring engine</w:t>
            </w:r>
          </w:p>
        </w:tc>
      </w:tr>
      <w:tr>
        <w:tc>
          <w:tcPr>
            <w:tcW w:type="dxa" w:w="2304"/>
            <w:shd w:fill="F8FAFC"/>
            <w:tcMar>
              <w:top w:w="90" w:type="dxa"/>
              <w:bottom w:w="90" w:type="dxa"/>
              <w:left w:w="140" w:type="dxa"/>
              <w:right w:w="140" w:type="dxa"/>
            </w:tcMar>
          </w:tcPr>
          <w:p>
            <w:pPr>
              <w:spacing w:after="0"/>
              <w:jc w:val="left"/>
            </w:pPr>
            <w:r>
              <w:rPr>
                <w:rFonts w:ascii="Calibri" w:hAnsi="Calibri"/>
                <w:color w:val="1E293B"/>
                <w:sz w:val="19"/>
              </w:rPr>
              <w:t>XGBoost Classifier</w:t>
            </w:r>
          </w:p>
        </w:tc>
        <w:tc>
          <w:tcPr>
            <w:tcW w:type="dxa" w:w="2592"/>
            <w:shd w:fill="F8FAFC"/>
            <w:tcMar>
              <w:top w:w="90" w:type="dxa"/>
              <w:bottom w:w="90" w:type="dxa"/>
              <w:left w:w="140" w:type="dxa"/>
              <w:right w:w="140" w:type="dxa"/>
            </w:tcMar>
          </w:tcPr>
          <w:p>
            <w:pPr>
              <w:spacing w:after="0"/>
              <w:jc w:val="left"/>
            </w:pPr>
            <w:r>
              <w:rPr>
                <w:rFonts w:ascii="Calibri" w:hAnsi="Calibri"/>
                <w:color w:val="1E293B"/>
                <w:sz w:val="19"/>
              </w:rPr>
              <w:t>Performance Tiers (Low, Medium, High)</w:t>
            </w:r>
          </w:p>
        </w:tc>
        <w:tc>
          <w:tcPr>
            <w:tcW w:type="dxa" w:w="2304"/>
            <w:shd w:fill="F8FAFC"/>
            <w:tcMar>
              <w:top w:w="90" w:type="dxa"/>
              <w:bottom w:w="90" w:type="dxa"/>
              <w:left w:w="140" w:type="dxa"/>
              <w:right w:w="140" w:type="dxa"/>
            </w:tcMar>
          </w:tcPr>
          <w:p>
            <w:pPr>
              <w:spacing w:after="0"/>
              <w:jc w:val="left"/>
            </w:pPr>
            <w:r>
              <w:rPr>
                <w:rFonts w:ascii="Calibri" w:hAnsi="Calibri"/>
                <w:color w:val="1E293B"/>
                <w:sz w:val="19"/>
              </w:rPr>
              <w:t>Accuracy = 96.20% • F1 = 0.96</w:t>
            </w:r>
          </w:p>
        </w:tc>
        <w:tc>
          <w:tcPr>
            <w:tcW w:type="dxa" w:w="2160"/>
            <w:shd w:fill="F8FAFC"/>
            <w:tcMar>
              <w:top w:w="90" w:type="dxa"/>
              <w:bottom w:w="90" w:type="dxa"/>
              <w:left w:w="140" w:type="dxa"/>
              <w:right w:w="140" w:type="dxa"/>
            </w:tcMar>
          </w:tcPr>
          <w:p>
            <w:pPr>
              <w:spacing w:after="0"/>
              <w:jc w:val="left"/>
            </w:pPr>
            <w:r>
              <w:rPr>
                <w:rFonts w:ascii="Calibri" w:hAnsi="Calibri"/>
                <w:color w:val="1E293B"/>
                <w:sz w:val="19"/>
              </w:rPr>
              <w:t>Tier classification for campaign forecasting</w:t>
            </w:r>
          </w:p>
        </w:tc>
      </w:tr>
      <w:tr>
        <w:tc>
          <w:tcPr>
            <w:tcW w:type="dxa" w:w="2304"/>
            <w:shd w:fill="FFFFFF"/>
            <w:tcMar>
              <w:top w:w="90" w:type="dxa"/>
              <w:bottom w:w="90" w:type="dxa"/>
              <w:left w:w="140" w:type="dxa"/>
              <w:right w:w="140" w:type="dxa"/>
            </w:tcMar>
          </w:tcPr>
          <w:p>
            <w:pPr>
              <w:spacing w:after="0"/>
              <w:jc w:val="left"/>
            </w:pPr>
            <w:r>
              <w:rPr>
                <w:rFonts w:ascii="Calibri" w:hAnsi="Calibri"/>
                <w:color w:val="1E293B"/>
                <w:sz w:val="19"/>
              </w:rPr>
              <w:t>TreeSHAP Explainer</w:t>
            </w:r>
          </w:p>
        </w:tc>
        <w:tc>
          <w:tcPr>
            <w:tcW w:type="dxa" w:w="2592"/>
            <w:shd w:fill="FFFFFF"/>
            <w:tcMar>
              <w:top w:w="90" w:type="dxa"/>
              <w:bottom w:w="90" w:type="dxa"/>
              <w:left w:w="140" w:type="dxa"/>
              <w:right w:w="140" w:type="dxa"/>
            </w:tcMar>
          </w:tcPr>
          <w:p>
            <w:pPr>
              <w:spacing w:after="0"/>
              <w:jc w:val="left"/>
            </w:pPr>
            <w:r>
              <w:rPr>
                <w:rFonts w:ascii="Calibri" w:hAnsi="Calibri"/>
                <w:color w:val="1E293B"/>
                <w:sz w:val="19"/>
              </w:rPr>
              <w:t>Exact Game-Theoretic Feature Attribution</w:t>
            </w:r>
          </w:p>
        </w:tc>
        <w:tc>
          <w:tcPr>
            <w:tcW w:type="dxa" w:w="2304"/>
            <w:shd w:fill="FFFFFF"/>
            <w:tcMar>
              <w:top w:w="90" w:type="dxa"/>
              <w:bottom w:w="90" w:type="dxa"/>
              <w:left w:w="140" w:type="dxa"/>
              <w:right w:w="140" w:type="dxa"/>
            </w:tcMar>
          </w:tcPr>
          <w:p>
            <w:pPr>
              <w:spacing w:after="0"/>
              <w:jc w:val="left"/>
            </w:pPr>
            <w:r>
              <w:rPr>
                <w:rFonts w:ascii="Calibri" w:hAnsi="Calibri"/>
                <w:color w:val="1E293B"/>
                <w:sz w:val="19"/>
              </w:rPr>
              <w:t>Polynomial Time (&lt;10ms)</w:t>
            </w:r>
          </w:p>
        </w:tc>
        <w:tc>
          <w:tcPr>
            <w:tcW w:type="dxa" w:w="2160"/>
            <w:shd w:fill="FFFFFF"/>
            <w:tcMar>
              <w:top w:w="90" w:type="dxa"/>
              <w:bottom w:w="90" w:type="dxa"/>
              <w:left w:w="140" w:type="dxa"/>
              <w:right w:w="140" w:type="dxa"/>
            </w:tcMar>
          </w:tcPr>
          <w:p>
            <w:pPr>
              <w:spacing w:after="0"/>
              <w:jc w:val="left"/>
            </w:pPr>
            <w:r>
              <w:rPr>
                <w:rFonts w:ascii="Calibri" w:hAnsi="Calibri"/>
                <w:color w:val="1E293B"/>
                <w:sz w:val="19"/>
              </w:rPr>
              <w:t>Provides local waterfall explanation for each video</w:t>
            </w:r>
          </w:p>
        </w:tc>
      </w:tr>
      <w:tr>
        <w:tc>
          <w:tcPr>
            <w:tcW w:type="dxa" w:w="2304"/>
            <w:shd w:fill="F8FAFC"/>
            <w:tcMar>
              <w:top w:w="90" w:type="dxa"/>
              <w:bottom w:w="90" w:type="dxa"/>
              <w:left w:w="140" w:type="dxa"/>
              <w:right w:w="140" w:type="dxa"/>
            </w:tcMar>
          </w:tcPr>
          <w:p>
            <w:pPr>
              <w:spacing w:after="0"/>
              <w:jc w:val="left"/>
            </w:pPr>
            <w:r>
              <w:rPr>
                <w:rFonts w:ascii="Calibri" w:hAnsi="Calibri"/>
                <w:color w:val="1E293B"/>
                <w:sz w:val="19"/>
              </w:rPr>
              <w:t>Monte Carlo Engine</w:t>
            </w:r>
          </w:p>
        </w:tc>
        <w:tc>
          <w:tcPr>
            <w:tcW w:type="dxa" w:w="2592"/>
            <w:shd w:fill="F8FAFC"/>
            <w:tcMar>
              <w:top w:w="90" w:type="dxa"/>
              <w:bottom w:w="90" w:type="dxa"/>
              <w:left w:w="140" w:type="dxa"/>
              <w:right w:w="140" w:type="dxa"/>
            </w:tcMar>
          </w:tcPr>
          <w:p>
            <w:pPr>
              <w:spacing w:after="0"/>
              <w:jc w:val="left"/>
            </w:pPr>
            <w:r>
              <w:rPr>
                <w:rFonts w:ascii="Calibri" w:hAnsi="Calibri"/>
                <w:color w:val="1E293B"/>
                <w:sz w:val="19"/>
              </w:rPr>
              <w:t>100-Agent Audience Cascade</w:t>
            </w:r>
          </w:p>
        </w:tc>
        <w:tc>
          <w:tcPr>
            <w:tcW w:type="dxa" w:w="2304"/>
            <w:shd w:fill="F8FAFC"/>
            <w:tcMar>
              <w:top w:w="90" w:type="dxa"/>
              <w:bottom w:w="90" w:type="dxa"/>
              <w:left w:w="140" w:type="dxa"/>
              <w:right w:w="140" w:type="dxa"/>
            </w:tcMar>
          </w:tcPr>
          <w:p>
            <w:pPr>
              <w:spacing w:after="0"/>
              <w:jc w:val="left"/>
            </w:pPr>
            <w:r>
              <w:rPr>
                <w:rFonts w:ascii="Calibri" w:hAnsi="Calibri"/>
                <w:color w:val="1E293B"/>
                <w:sz w:val="19"/>
              </w:rPr>
              <w:t>100 stochastic agent evaluations</w:t>
            </w:r>
          </w:p>
        </w:tc>
        <w:tc>
          <w:tcPr>
            <w:tcW w:type="dxa" w:w="2160"/>
            <w:shd w:fill="F8FAFC"/>
            <w:tcMar>
              <w:top w:w="90" w:type="dxa"/>
              <w:bottom w:w="90" w:type="dxa"/>
              <w:left w:w="140" w:type="dxa"/>
              <w:right w:w="140" w:type="dxa"/>
            </w:tcMar>
          </w:tcPr>
          <w:p>
            <w:pPr>
              <w:spacing w:after="0"/>
              <w:jc w:val="left"/>
            </w:pPr>
            <w:r>
              <w:rPr>
                <w:rFonts w:ascii="Calibri" w:hAnsi="Calibri"/>
                <w:color w:val="1E293B"/>
                <w:sz w:val="19"/>
              </w:rPr>
              <w:t>Generates second-by-second retention curve</w:t>
            </w:r>
          </w:p>
        </w:tc>
      </w:tr>
    </w:tbl>
    <w:p>
      <w:pPr>
        <w:keepNext/>
        <w:spacing w:before="400" w:after="120"/>
      </w:pPr>
      <w:r>
        <w:rPr>
          <w:b/>
          <w:color w:val="1E1B4B"/>
          <w:sz w:val="36"/>
        </w:rPr>
        <w:t>Chapter 5: Zero-Trust Cybersecurity Architecture</w:t>
      </w:r>
    </w:p>
    <w:p>
      <w:r>
        <w:t>Because VIRALYTIX accepts untrusted media files on public servers, it enforces 7 layers of defense-in-depth:</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4338CA"/>
            <w:tcMar>
              <w:top w:w="120" w:type="dxa"/>
              <w:bottom w:w="120" w:type="dxa"/>
              <w:left w:w="140" w:type="dxa"/>
              <w:right w:w="140" w:type="dxa"/>
            </w:tcMar>
          </w:tcPr>
          <w:p>
            <w:pPr>
              <w:spacing w:after="0"/>
              <w:jc w:val="left"/>
            </w:pPr>
            <w:r>
              <w:rPr>
                <w:rFonts w:ascii="Calibri" w:hAnsi="Calibri"/>
                <w:b/>
                <w:color w:val="FFFFFF"/>
                <w:sz w:val="20"/>
              </w:rPr>
              <w:t>Defense Layer</w:t>
            </w:r>
          </w:p>
        </w:tc>
        <w:tc>
          <w:tcPr>
            <w:tcW w:type="dxa" w:w="3312"/>
            <w:shd w:fill="4338CA"/>
            <w:tcMar>
              <w:top w:w="120" w:type="dxa"/>
              <w:bottom w:w="120" w:type="dxa"/>
              <w:left w:w="140" w:type="dxa"/>
              <w:right w:w="140" w:type="dxa"/>
            </w:tcMar>
          </w:tcPr>
          <w:p>
            <w:pPr>
              <w:spacing w:after="0"/>
              <w:jc w:val="left"/>
            </w:pPr>
            <w:r>
              <w:rPr>
                <w:rFonts w:ascii="Calibri" w:hAnsi="Calibri"/>
                <w:b/>
                <w:color w:val="FFFFFF"/>
                <w:sz w:val="20"/>
              </w:rPr>
              <w:t>Technical Implementation</w:t>
            </w:r>
          </w:p>
        </w:tc>
        <w:tc>
          <w:tcPr>
            <w:tcW w:type="dxa" w:w="3456"/>
            <w:shd w:fill="4338CA"/>
            <w:tcMar>
              <w:top w:w="120" w:type="dxa"/>
              <w:bottom w:w="120" w:type="dxa"/>
              <w:left w:w="140" w:type="dxa"/>
              <w:right w:w="140" w:type="dxa"/>
            </w:tcMar>
          </w:tcPr>
          <w:p>
            <w:pPr>
              <w:spacing w:after="0"/>
              <w:jc w:val="left"/>
            </w:pPr>
            <w:r>
              <w:rPr>
                <w:rFonts w:ascii="Calibri" w:hAnsi="Calibri"/>
                <w:b/>
                <w:color w:val="FFFFFF"/>
                <w:sz w:val="20"/>
              </w:rPr>
              <w:t>Threat Neutralized</w:t>
            </w:r>
          </w:p>
        </w:tc>
      </w:tr>
      <w:tr>
        <w:tc>
          <w:tcPr>
            <w:tcW w:type="dxa" w:w="2592"/>
            <w:shd w:fill="FFFFFF"/>
            <w:tcMar>
              <w:top w:w="90" w:type="dxa"/>
              <w:bottom w:w="90" w:type="dxa"/>
              <w:left w:w="140" w:type="dxa"/>
              <w:right w:w="140" w:type="dxa"/>
            </w:tcMar>
          </w:tcPr>
          <w:p>
            <w:pPr>
              <w:spacing w:after="0"/>
              <w:jc w:val="left"/>
            </w:pPr>
            <w:r>
              <w:rPr>
                <w:rFonts w:ascii="Calibri" w:hAnsi="Calibri"/>
                <w:color w:val="1E293B"/>
                <w:sz w:val="19"/>
              </w:rPr>
              <w:t>Layer 1: Binary Magic Byte Validation</w:t>
            </w:r>
          </w:p>
        </w:tc>
        <w:tc>
          <w:tcPr>
            <w:tcW w:type="dxa" w:w="3312"/>
            <w:shd w:fill="FFFFFF"/>
            <w:tcMar>
              <w:top w:w="90" w:type="dxa"/>
              <w:bottom w:w="90" w:type="dxa"/>
              <w:left w:w="140" w:type="dxa"/>
              <w:right w:w="140" w:type="dxa"/>
            </w:tcMar>
          </w:tcPr>
          <w:p>
            <w:pPr>
              <w:spacing w:after="0"/>
              <w:jc w:val="left"/>
            </w:pPr>
            <w:r>
              <w:rPr>
                <w:rFonts w:ascii="Calibri" w:hAnsi="Calibri"/>
                <w:color w:val="1E293B"/>
                <w:sz w:val="19"/>
              </w:rPr>
              <w:t>Inspects first 32 bytes for valid video container headers ('ftyp', 'EBML', 'RIFF/AVI')</w:t>
            </w:r>
          </w:p>
        </w:tc>
        <w:tc>
          <w:tcPr>
            <w:tcW w:type="dxa" w:w="3456"/>
            <w:shd w:fill="FFFFFF"/>
            <w:tcMar>
              <w:top w:w="90" w:type="dxa"/>
              <w:bottom w:w="90" w:type="dxa"/>
              <w:left w:w="140" w:type="dxa"/>
              <w:right w:w="140" w:type="dxa"/>
            </w:tcMar>
          </w:tcPr>
          <w:p>
            <w:pPr>
              <w:spacing w:after="0"/>
              <w:jc w:val="left"/>
            </w:pPr>
            <w:r>
              <w:rPr>
                <w:rFonts w:ascii="Calibri" w:hAnsi="Calibri"/>
                <w:color w:val="1E293B"/>
                <w:sz w:val="19"/>
              </w:rPr>
              <w:t>Blocks web shells, PHP scripts, and malware disguised with a .mp4 extension</w:t>
            </w:r>
          </w:p>
        </w:tc>
      </w:tr>
      <w:tr>
        <w:tc>
          <w:tcPr>
            <w:tcW w:type="dxa" w:w="2592"/>
            <w:shd w:fill="F8FAFC"/>
            <w:tcMar>
              <w:top w:w="90" w:type="dxa"/>
              <w:bottom w:w="90" w:type="dxa"/>
              <w:left w:w="140" w:type="dxa"/>
              <w:right w:w="140" w:type="dxa"/>
            </w:tcMar>
          </w:tcPr>
          <w:p>
            <w:pPr>
              <w:spacing w:after="0"/>
              <w:jc w:val="left"/>
            </w:pPr>
            <w:r>
              <w:rPr>
                <w:rFonts w:ascii="Calibri" w:hAnsi="Calibri"/>
                <w:color w:val="1E293B"/>
                <w:sz w:val="19"/>
              </w:rPr>
              <w:t>Layer 2: 500MB Streaming Chunk Cut-off</w:t>
            </w:r>
          </w:p>
        </w:tc>
        <w:tc>
          <w:tcPr>
            <w:tcW w:type="dxa" w:w="3312"/>
            <w:shd w:fill="F8FAFC"/>
            <w:tcMar>
              <w:top w:w="90" w:type="dxa"/>
              <w:bottom w:w="90" w:type="dxa"/>
              <w:left w:w="140" w:type="dxa"/>
              <w:right w:w="140" w:type="dxa"/>
            </w:tcMar>
          </w:tcPr>
          <w:p>
            <w:pPr>
              <w:spacing w:after="0"/>
              <w:jc w:val="left"/>
            </w:pPr>
            <w:r>
              <w:rPr>
                <w:rFonts w:ascii="Calibri" w:hAnsi="Calibri"/>
                <w:color w:val="1E293B"/>
                <w:sz w:val="19"/>
              </w:rPr>
              <w:t>Enforces strict streaming counter with early cut-off at 500MB (supports 4K exports)</w:t>
            </w:r>
          </w:p>
        </w:tc>
        <w:tc>
          <w:tcPr>
            <w:tcW w:type="dxa" w:w="3456"/>
            <w:shd w:fill="F8FAFC"/>
            <w:tcMar>
              <w:top w:w="90" w:type="dxa"/>
              <w:bottom w:w="90" w:type="dxa"/>
              <w:left w:w="140" w:type="dxa"/>
              <w:right w:w="140" w:type="dxa"/>
            </w:tcMar>
          </w:tcPr>
          <w:p>
            <w:pPr>
              <w:spacing w:after="0"/>
              <w:jc w:val="left"/>
            </w:pPr>
            <w:r>
              <w:rPr>
                <w:rFonts w:ascii="Calibri" w:hAnsi="Calibri"/>
                <w:color w:val="1E293B"/>
                <w:sz w:val="19"/>
              </w:rPr>
              <w:t>Neutralizes Disk Exhaustion DoS and Out-Of-Memory (OOM) attacks</w:t>
            </w:r>
          </w:p>
        </w:tc>
      </w:tr>
      <w:tr>
        <w:tc>
          <w:tcPr>
            <w:tcW w:type="dxa" w:w="2592"/>
            <w:shd w:fill="FFFFFF"/>
            <w:tcMar>
              <w:top w:w="90" w:type="dxa"/>
              <w:bottom w:w="90" w:type="dxa"/>
              <w:left w:w="140" w:type="dxa"/>
              <w:right w:w="140" w:type="dxa"/>
            </w:tcMar>
          </w:tcPr>
          <w:p>
            <w:pPr>
              <w:spacing w:after="0"/>
              <w:jc w:val="left"/>
            </w:pPr>
            <w:r>
              <w:rPr>
                <w:rFonts w:ascii="Calibri" w:hAnsi="Calibri"/>
                <w:color w:val="1E293B"/>
                <w:sz w:val="19"/>
              </w:rPr>
              <w:t>Layer 3: FFmpeg Protocol Whitelist Jail</w:t>
            </w:r>
          </w:p>
        </w:tc>
        <w:tc>
          <w:tcPr>
            <w:tcW w:type="dxa" w:w="3312"/>
            <w:shd w:fill="FFFFFF"/>
            <w:tcMar>
              <w:top w:w="90" w:type="dxa"/>
              <w:bottom w:w="90" w:type="dxa"/>
              <w:left w:w="140" w:type="dxa"/>
              <w:right w:w="140" w:type="dxa"/>
            </w:tcMar>
          </w:tcPr>
          <w:p>
            <w:pPr>
              <w:spacing w:after="0"/>
              <w:jc w:val="left"/>
            </w:pPr>
            <w:r>
              <w:rPr>
                <w:rFonts w:ascii="Calibri" w:hAnsi="Calibri"/>
                <w:color w:val="1E293B"/>
                <w:sz w:val="19"/>
              </w:rPr>
              <w:t>Subprocess parameters: -protocol_whitelist 'file,crypto', -nostdin, -- separator</w:t>
            </w:r>
          </w:p>
        </w:tc>
        <w:tc>
          <w:tcPr>
            <w:tcW w:type="dxa" w:w="3456"/>
            <w:shd w:fill="FFFFFF"/>
            <w:tcMar>
              <w:top w:w="90" w:type="dxa"/>
              <w:bottom w:w="90" w:type="dxa"/>
              <w:left w:w="140" w:type="dxa"/>
              <w:right w:w="140" w:type="dxa"/>
            </w:tcMar>
          </w:tcPr>
          <w:p>
            <w:pPr>
              <w:spacing w:after="0"/>
              <w:jc w:val="left"/>
            </w:pPr>
            <w:r>
              <w:rPr>
                <w:rFonts w:ascii="Calibri" w:hAnsi="Calibri"/>
                <w:color w:val="1E293B"/>
                <w:sz w:val="19"/>
              </w:rPr>
              <w:t>Neutralizes SSRF and Arbitrary Local File Disclosure (CVE-2016-1897)</w:t>
            </w:r>
          </w:p>
        </w:tc>
      </w:tr>
      <w:tr>
        <w:tc>
          <w:tcPr>
            <w:tcW w:type="dxa" w:w="2592"/>
            <w:shd w:fill="F8FAFC"/>
            <w:tcMar>
              <w:top w:w="90" w:type="dxa"/>
              <w:bottom w:w="90" w:type="dxa"/>
              <w:left w:w="140" w:type="dxa"/>
              <w:right w:w="140" w:type="dxa"/>
            </w:tcMar>
          </w:tcPr>
          <w:p>
            <w:pPr>
              <w:spacing w:after="0"/>
              <w:jc w:val="left"/>
            </w:pPr>
            <w:r>
              <w:rPr>
                <w:rFonts w:ascii="Calibri" w:hAnsi="Calibri"/>
                <w:color w:val="1E293B"/>
                <w:sz w:val="19"/>
              </w:rPr>
              <w:t>Layer 4: Sliding-Window IP Rate Limiter</w:t>
            </w:r>
          </w:p>
        </w:tc>
        <w:tc>
          <w:tcPr>
            <w:tcW w:type="dxa" w:w="3312"/>
            <w:shd w:fill="F8FAFC"/>
            <w:tcMar>
              <w:top w:w="90" w:type="dxa"/>
              <w:bottom w:w="90" w:type="dxa"/>
              <w:left w:w="140" w:type="dxa"/>
              <w:right w:w="140" w:type="dxa"/>
            </w:tcMar>
          </w:tcPr>
          <w:p>
            <w:pPr>
              <w:spacing w:after="0"/>
              <w:jc w:val="left"/>
            </w:pPr>
            <w:r>
              <w:rPr>
                <w:rFonts w:ascii="Calibri" w:hAnsi="Calibri"/>
                <w:color w:val="1E293B"/>
                <w:sz w:val="19"/>
              </w:rPr>
              <w:t>Restricts video processing to max 10/min and general API to 120/min per IP</w:t>
            </w:r>
          </w:p>
        </w:tc>
        <w:tc>
          <w:tcPr>
            <w:tcW w:type="dxa" w:w="3456"/>
            <w:shd w:fill="F8FAFC"/>
            <w:tcMar>
              <w:top w:w="90" w:type="dxa"/>
              <w:bottom w:w="90" w:type="dxa"/>
              <w:left w:w="140" w:type="dxa"/>
              <w:right w:w="140" w:type="dxa"/>
            </w:tcMar>
          </w:tcPr>
          <w:p>
            <w:pPr>
              <w:spacing w:after="0"/>
              <w:jc w:val="left"/>
            </w:pPr>
            <w:r>
              <w:rPr>
                <w:rFonts w:ascii="Calibri" w:hAnsi="Calibri"/>
                <w:color w:val="1E293B"/>
                <w:sz w:val="19"/>
              </w:rPr>
              <w:t>Prevents automated bot flooding and computational CPU starvation</w:t>
            </w:r>
          </w:p>
        </w:tc>
      </w:tr>
      <w:tr>
        <w:tc>
          <w:tcPr>
            <w:tcW w:type="dxa" w:w="2592"/>
            <w:shd w:fill="FFFFFF"/>
            <w:tcMar>
              <w:top w:w="90" w:type="dxa"/>
              <w:bottom w:w="90" w:type="dxa"/>
              <w:left w:w="140" w:type="dxa"/>
              <w:right w:w="140" w:type="dxa"/>
            </w:tcMar>
          </w:tcPr>
          <w:p>
            <w:pPr>
              <w:spacing w:after="0"/>
              <w:jc w:val="left"/>
            </w:pPr>
            <w:r>
              <w:rPr>
                <w:rFonts w:ascii="Calibri" w:hAnsi="Calibri"/>
                <w:color w:val="1E293B"/>
                <w:sz w:val="19"/>
              </w:rPr>
              <w:t>Layer 5: Pipeline Concurrency Semaphore</w:t>
            </w:r>
          </w:p>
        </w:tc>
        <w:tc>
          <w:tcPr>
            <w:tcW w:type="dxa" w:w="3312"/>
            <w:shd w:fill="FFFFFF"/>
            <w:tcMar>
              <w:top w:w="90" w:type="dxa"/>
              <w:bottom w:w="90" w:type="dxa"/>
              <w:left w:w="140" w:type="dxa"/>
              <w:right w:w="140" w:type="dxa"/>
            </w:tcMar>
          </w:tcPr>
          <w:p>
            <w:pPr>
              <w:spacing w:after="0"/>
              <w:jc w:val="left"/>
            </w:pPr>
            <w:r>
              <w:rPr>
                <w:rFonts w:ascii="Calibri" w:hAnsi="Calibri"/>
                <w:color w:val="1E293B"/>
                <w:sz w:val="19"/>
              </w:rPr>
              <w:t>threading.Semaphore(2) caps heavy analytical decoding to 2 simultaneous jobs</w:t>
            </w:r>
          </w:p>
        </w:tc>
        <w:tc>
          <w:tcPr>
            <w:tcW w:type="dxa" w:w="3456"/>
            <w:shd w:fill="FFFFFF"/>
            <w:tcMar>
              <w:top w:w="90" w:type="dxa"/>
              <w:bottom w:w="90" w:type="dxa"/>
              <w:left w:w="140" w:type="dxa"/>
              <w:right w:w="140" w:type="dxa"/>
            </w:tcMar>
          </w:tcPr>
          <w:p>
            <w:pPr>
              <w:spacing w:after="0"/>
              <w:jc w:val="left"/>
            </w:pPr>
            <w:r>
              <w:rPr>
                <w:rFonts w:ascii="Calibri" w:hAnsi="Calibri"/>
                <w:color w:val="1E293B"/>
                <w:sz w:val="19"/>
              </w:rPr>
              <w:t>Prevents server crashes on free/standard cloud compute instances</w:t>
            </w:r>
          </w:p>
        </w:tc>
      </w:tr>
      <w:tr>
        <w:tc>
          <w:tcPr>
            <w:tcW w:type="dxa" w:w="2592"/>
            <w:shd w:fill="F8FAFC"/>
            <w:tcMar>
              <w:top w:w="90" w:type="dxa"/>
              <w:bottom w:w="90" w:type="dxa"/>
              <w:left w:w="140" w:type="dxa"/>
              <w:right w:w="140" w:type="dxa"/>
            </w:tcMar>
          </w:tcPr>
          <w:p>
            <w:pPr>
              <w:spacing w:after="0"/>
              <w:jc w:val="left"/>
            </w:pPr>
            <w:r>
              <w:rPr>
                <w:rFonts w:ascii="Calibri" w:hAnsi="Calibri"/>
                <w:color w:val="1E293B"/>
                <w:sz w:val="19"/>
              </w:rPr>
              <w:t>Layer 6: Next.js Production Security Headers</w:t>
            </w:r>
          </w:p>
        </w:tc>
        <w:tc>
          <w:tcPr>
            <w:tcW w:type="dxa" w:w="3312"/>
            <w:shd w:fill="F8FAFC"/>
            <w:tcMar>
              <w:top w:w="90" w:type="dxa"/>
              <w:bottom w:w="90" w:type="dxa"/>
              <w:left w:w="140" w:type="dxa"/>
              <w:right w:w="140" w:type="dxa"/>
            </w:tcMar>
          </w:tcPr>
          <w:p>
            <w:pPr>
              <w:spacing w:after="0"/>
              <w:jc w:val="left"/>
            </w:pPr>
            <w:r>
              <w:rPr>
                <w:rFonts w:ascii="Calibri" w:hAnsi="Calibri"/>
                <w:color w:val="1E293B"/>
                <w:sz w:val="19"/>
              </w:rPr>
              <w:t>Strict CSP, X-Frame-Options: DENY, 2-Year HSTS Preload, nosniff, Permissions-Policy</w:t>
            </w:r>
          </w:p>
        </w:tc>
        <w:tc>
          <w:tcPr>
            <w:tcW w:type="dxa" w:w="3456"/>
            <w:shd w:fill="F8FAFC"/>
            <w:tcMar>
              <w:top w:w="90" w:type="dxa"/>
              <w:bottom w:w="90" w:type="dxa"/>
              <w:left w:w="140" w:type="dxa"/>
              <w:right w:w="140" w:type="dxa"/>
            </w:tcMar>
          </w:tcPr>
          <w:p>
            <w:pPr>
              <w:spacing w:after="0"/>
              <w:jc w:val="left"/>
            </w:pPr>
            <w:r>
              <w:rPr>
                <w:rFonts w:ascii="Calibri" w:hAnsi="Calibri"/>
                <w:color w:val="1E293B"/>
                <w:sz w:val="19"/>
              </w:rPr>
              <w:t>Neutralizes Clickjacking, MIME confusion, and cross-site scripting (XSS)</w:t>
            </w:r>
          </w:p>
        </w:tc>
      </w:tr>
      <w:tr>
        <w:tc>
          <w:tcPr>
            <w:tcW w:type="dxa" w:w="2592"/>
            <w:shd w:fill="FFFFFF"/>
            <w:tcMar>
              <w:top w:w="90" w:type="dxa"/>
              <w:bottom w:w="90" w:type="dxa"/>
              <w:left w:w="140" w:type="dxa"/>
              <w:right w:w="140" w:type="dxa"/>
            </w:tcMar>
          </w:tcPr>
          <w:p>
            <w:pPr>
              <w:spacing w:after="0"/>
              <w:jc w:val="left"/>
            </w:pPr>
            <w:r>
              <w:rPr>
                <w:rFonts w:ascii="Calibri" w:hAnsi="Calibri"/>
                <w:color w:val="1E293B"/>
                <w:sz w:val="19"/>
              </w:rPr>
              <w:t>Layer 7: Automated Storage Hygiene</w:t>
            </w:r>
          </w:p>
        </w:tc>
        <w:tc>
          <w:tcPr>
            <w:tcW w:type="dxa" w:w="3312"/>
            <w:shd w:fill="FFFFFF"/>
            <w:tcMar>
              <w:top w:w="90" w:type="dxa"/>
              <w:bottom w:w="90" w:type="dxa"/>
              <w:left w:w="140" w:type="dxa"/>
              <w:right w:w="140" w:type="dxa"/>
            </w:tcMar>
          </w:tcPr>
          <w:p>
            <w:pPr>
              <w:spacing w:after="0"/>
              <w:jc w:val="left"/>
            </w:pPr>
            <w:r>
              <w:rPr>
                <w:rFonts w:ascii="Calibri" w:hAnsi="Calibri"/>
                <w:color w:val="1E293B"/>
                <w:sz w:val="19"/>
              </w:rPr>
              <w:t>Background cleanup task sweeps uploads folder and purges files older than 1 hour</w:t>
            </w:r>
          </w:p>
        </w:tc>
        <w:tc>
          <w:tcPr>
            <w:tcW w:type="dxa" w:w="3456"/>
            <w:shd w:fill="FFFFFF"/>
            <w:tcMar>
              <w:top w:w="90" w:type="dxa"/>
              <w:bottom w:w="90" w:type="dxa"/>
              <w:left w:w="140" w:type="dxa"/>
              <w:right w:w="140" w:type="dxa"/>
            </w:tcMar>
          </w:tcPr>
          <w:p>
            <w:pPr>
              <w:spacing w:after="0"/>
              <w:jc w:val="left"/>
            </w:pPr>
            <w:r>
              <w:rPr>
                <w:rFonts w:ascii="Calibri" w:hAnsi="Calibri"/>
                <w:color w:val="1E293B"/>
                <w:sz w:val="19"/>
              </w:rPr>
              <w:t>Guarantees 0% persistent disk accumulation across production cycles</w:t>
            </w:r>
          </w:p>
        </w:tc>
      </w:tr>
    </w:tbl>
    <w:p>
      <w:r>
        <w:br w:type="page"/>
      </w:r>
    </w:p>
    <w:p>
      <w:pPr>
        <w:keepNext/>
        <w:spacing w:before="400" w:after="120"/>
      </w:pPr>
      <w:r>
        <w:rPr>
          <w:b/>
          <w:color w:val="1E1B4B"/>
          <w:sz w:val="36"/>
        </w:rPr>
        <w:t>Chapter 6: Master Viva Voce Preparation Guide (32 Questions &amp; Answers)</w:t>
      </w:r>
    </w:p>
    <w:p>
      <w:r>
        <w:t>This section compiles 32 comprehensive examination questions spanning Predictive Analytics theory, machine learning algorithms, feature extraction signal processing, audience modeling, cybersecurity, and system design.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Q1: How does this project come under Predictive Analytics?</w:t>
              <w:br/>
            </w:r>
          </w:p>
          <w:p>
            <w:pPr>
              <w:spacing w:before="40" w:after="0" w:line="276" w:lineRule="auto"/>
            </w:pPr>
            <w:r>
              <w:rPr>
                <w:rFonts w:ascii="Calibri" w:hAnsi="Calibri"/>
                <w:color w:val="334155"/>
                <w:sz w:val="20"/>
              </w:rPr>
              <w:t>Predictive Analytics is defined as using historical data (X_hist, Y_hist) and statistical algorithms to forecast unknown future outcomes (Y_future). VIRALYTIX maps 1-to-1 to this: we trained XGBoost on historical short-form video engagement patterns. When a creator uploads an unreleased video today (which has 0 views and 0 real-world data), VIRALYTIX extracts its multimodal features and predicts its future algorithmic reach, virality score, and audience retention curve before publication.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Q2: Where is the dataset, how was it constructed, and where can it be found?</w:t>
              <w:br/>
            </w:r>
          </w:p>
          <w:p>
            <w:pPr>
              <w:spacing w:before="40" w:after="0" w:line="276" w:lineRule="auto"/>
            </w:pPr>
            <w:r>
              <w:rPr>
                <w:rFonts w:ascii="Calibri" w:hAnsi="Calibri"/>
                <w:color w:val="334155"/>
                <w:sz w:val="20"/>
              </w:rPr>
              <w:t>The dataset is stored in 'ml/datasets/viralytix_training_dataset.csv' (1.4MB, 5,000 video records, 18 columns). Because social platforms treat raw telemetry as trade secrets, we synthesized an empirical 5,000-sample benchmark calibrated against real-world distributions (WPM speech, cut rates, luminance, and completion rates) using backend/app/ml/train.py. It can be re-trained live in 5 seconds.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Q3: Did you train and validate your system using real short-form videos as well, or only synthetic data?</w:t>
              <w:br/>
            </w:r>
          </w:p>
          <w:p>
            <w:pPr>
              <w:spacing w:before="40" w:after="0" w:line="276" w:lineRule="auto"/>
            </w:pPr>
            <w:r>
              <w:rPr>
                <w:rFonts w:ascii="Calibri" w:hAnsi="Calibri"/>
                <w:color w:val="334155"/>
                <w:sz w:val="20"/>
              </w:rPr>
              <w:t>We used a Hybrid Empirical Methodology: (1) Real Video Profiling: We collected and processed actual public videos from TikTok, Reels, and Shorts using OpenCV and Librosa to discover empirical benchmarks (viral cuts: 2.5-3.5/min, speech: 140-180 WPM, silence &lt; 15%). (2) Scaled Empirical Training: These real distributions were used to calibrate our 5,000-sample training matrix. (3) Real Video Inference: Our live system processes real uncompressed MP4 video files in real time.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Q4: What evaluation metrics did you use to validate the models, and what do they signify?</w:t>
              <w:br/>
            </w:r>
          </w:p>
          <w:p>
            <w:pPr>
              <w:spacing w:before="40" w:after="0" w:line="276" w:lineRule="auto"/>
            </w:pPr>
            <w:r>
              <w:rPr>
                <w:rFonts w:ascii="Calibri" w:hAnsi="Calibri"/>
                <w:color w:val="334155"/>
                <w:sz w:val="20"/>
              </w:rPr>
              <w:t>For the XGBoost Regressor: Mean Absolute Error (MAE ≈ 2.45 points on a 0-100 scale) and R² = 0.984 (explaining 98.4% of variance). For the XGBoost Classifier: Accuracy ≈ 96.2% across performance tiers (Low, Medium, High) with balanced precision and recall verified via 5-fold cross-validation.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Q5: Why did you choose XGBoost over a Deep Neural Network (e.g., 3D CNN or Video Transformer)?</w:t>
              <w:br/>
            </w:r>
          </w:p>
          <w:p>
            <w:pPr>
              <w:spacing w:before="40" w:after="0" w:line="276" w:lineRule="auto"/>
            </w:pPr>
            <w:r>
              <w:rPr>
                <w:rFonts w:ascii="Calibri" w:hAnsi="Calibri"/>
                <w:color w:val="334155"/>
                <w:sz w:val="20"/>
              </w:rPr>
              <w:t>Three reasons: (1) Latency: Video Transformers take 3-5 minutes on multi-GPU servers; XGBoost infers in under 15ms on CPU. (2) Tabular Efficiency: Engineered multimodal features are tabular; gradient-boosted trees consistently outperform deep nets on tabular data. (3) Exact Explainability: TreeSHAP computes exact Shapley values in polynomial time for trees, whereas neural net saliency maps are noisy and heuristic.</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Q6: How does XGBoost handle non-linear interactions between multimodal features?</w:t>
              <w:br/>
            </w:r>
          </w:p>
          <w:p>
            <w:pPr>
              <w:spacing w:before="40" w:after="0" w:line="276" w:lineRule="auto"/>
            </w:pPr>
            <w:r>
              <w:rPr>
                <w:rFonts w:ascii="Calibri" w:hAnsi="Calibri"/>
                <w:color w:val="334155"/>
                <w:sz w:val="20"/>
              </w:rPr>
              <w:t>Decision trees split feature spaces orthogonally. If high speech rate is only effective when accompanied by high visual motion, deeper tree branches (depth &gt;= 4) capture this conditional interaction naturally without requiring manual polynomial cross-terms.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Q7: How do you prevent overfitting in your machine learning models?</w:t>
              <w:br/>
            </w:r>
          </w:p>
          <w:p>
            <w:pPr>
              <w:spacing w:before="40" w:after="0" w:line="276" w:lineRule="auto"/>
            </w:pPr>
            <w:r>
              <w:rPr>
                <w:rFonts w:ascii="Calibri" w:hAnsi="Calibri"/>
                <w:color w:val="334155"/>
                <w:sz w:val="20"/>
              </w:rPr>
              <w:t>We apply L1 regularization (reg_alpha) and L2 regularization (reg_lambda) in XGBoost, restrict max_depth to 5, apply subsampling ratios of 0.8, and validate with 80/20 train-test splits and 5-Fold Stratified Cross-Validation.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Q8: How is the hook_score extracted from the raw video stream?</w:t>
              <w:br/>
            </w:r>
          </w:p>
          <w:p>
            <w:pPr>
              <w:spacing w:before="40" w:after="0" w:line="276" w:lineRule="auto"/>
            </w:pPr>
            <w:r>
              <w:rPr>
                <w:rFonts w:ascii="Calibri" w:hAnsi="Calibri"/>
                <w:color w:val="334155"/>
                <w:sz w:val="20"/>
              </w:rPr>
              <w:t>The hook score isolates the first 3.0 seconds of the video and computes a weighted geometric mean of visual motion intensity (frame differencing), luminance/contrast dynamics, audio RMS energy (preventing silent openings), and absence of initial dead air.</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Q9: What algorithm extracts the motion_score?</w:t>
              <w:br/>
            </w:r>
          </w:p>
          <w:p>
            <w:pPr>
              <w:spacing w:before="40" w:after="0" w:line="276" w:lineRule="auto"/>
            </w:pPr>
            <w:r>
              <w:rPr>
                <w:rFonts w:ascii="Calibri" w:hAnsi="Calibri"/>
                <w:color w:val="334155"/>
                <w:sz w:val="20"/>
              </w:rPr>
              <w:t>We sample keyframes at 1 FPS, convert consecutive frames to grayscale, and compute the mean absolute pixel difference: Motion = (1/HW) * sum(|I_t(x,y) - I_{t-1}(x,y)|), serving as an efficient proxy for optical flow displacement.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Q10: How is acoustic information separated and processed?</w:t>
              <w:br/>
            </w:r>
          </w:p>
          <w:p>
            <w:pPr>
              <w:spacing w:before="40" w:after="0" w:line="276" w:lineRule="auto"/>
            </w:pPr>
            <w:r>
              <w:rPr>
                <w:rFonts w:ascii="Calibri" w:hAnsi="Calibri"/>
                <w:color w:val="334155"/>
                <w:sz w:val="20"/>
              </w:rPr>
              <w:t>FFmpeg decouples the audio track into an isolated 16kHz 16-bit mono WAV container. Librosa processes the digital signal: RMS energy is computed across short-time Fourier frames, and silence intervals are detected where amplitude falls below a dynamic 20dB threshold.</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Q11: Why use an Agent-Based Swarm Simulation instead of pure ML regression alone?</w:t>
              <w:br/>
            </w:r>
          </w:p>
          <w:p>
            <w:pPr>
              <w:spacing w:before="40" w:after="0" w:line="276" w:lineRule="auto"/>
            </w:pPr>
            <w:r>
              <w:rPr>
                <w:rFonts w:ascii="Calibri" w:hAnsi="Calibri"/>
                <w:color w:val="334155"/>
                <w:sz w:val="20"/>
              </w:rPr>
              <w:t>Video platforms rely on cascade dynamics: if the initial seed cohort of 100 viewers swipes away within 2 seconds, the algorithm immediately kills distribution. The 100-Agent Swarm simulates this sequential cascade, generating the synthetic behavioral inputs (completion rate, share rate, drop-off curve) that feed directly into the XGBoost model.</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Q12: What is the role of the Monte Carlo simulation in the Persona Engine?</w:t>
              <w:br/>
            </w:r>
          </w:p>
          <w:p>
            <w:pPr>
              <w:spacing w:before="40" w:after="0" w:line="276" w:lineRule="auto"/>
            </w:pPr>
            <w:r>
              <w:rPr>
                <w:rFonts w:ascii="Calibri" w:hAnsi="Calibri"/>
                <w:color w:val="334155"/>
                <w:sz w:val="20"/>
              </w:rPr>
              <w:t>Human behavior is non-deterministic. An agent with a 70% probability of liking a video may not like it every time. By running stochastic Monte Carlo draws across the 100 agents, we generate realistic variance and compute bootstrap confidence intervals for the final prediction.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Q13: How do you validate that the 100-Agent Swarm actually mirrors real human demographics?</w:t>
              <w:br/>
            </w:r>
          </w:p>
          <w:p>
            <w:pPr>
              <w:spacing w:before="40" w:after="0" w:line="276" w:lineRule="auto"/>
            </w:pPr>
            <w:r>
              <w:rPr>
                <w:rFonts w:ascii="Calibri" w:hAnsi="Calibri"/>
                <w:color w:val="334155"/>
                <w:sz w:val="20"/>
              </w:rPr>
              <w:t>The 6 persona profiles are parameterized against empirical consumer studies: Gen Z Casual Scrollers have high impatience (&lt;1.8s hook window) and high motion sensitivity; Tech Enthusiasts value speech density and substance; Founders prioritize structured takeaways and CTA clarity.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Q14: What are SHAP values, and what mathematical foundation do they rely upon?</w:t>
              <w:br/>
            </w:r>
          </w:p>
          <w:p>
            <w:pPr>
              <w:spacing w:before="40" w:after="0" w:line="276" w:lineRule="auto"/>
            </w:pPr>
            <w:r>
              <w:rPr>
                <w:rFonts w:ascii="Calibri" w:hAnsi="Calibri"/>
                <w:color w:val="334155"/>
                <w:sz w:val="20"/>
              </w:rPr>
              <w:t>SHAP values are rooted in Cooperative Game Theory (Lloyd Shapley, 1953). In our system, the 'game' is the prediction of the virality score, and the 'players' are the extracted features. A feature's SHAP value represents its average marginal contribution to the score across all possible feature coalitions.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Q15: What is the difference between global explainability and local explainability?</w:t>
              <w:br/>
            </w:r>
          </w:p>
          <w:p>
            <w:pPr>
              <w:spacing w:before="40" w:after="0" w:line="276" w:lineRule="auto"/>
            </w:pPr>
            <w:r>
              <w:rPr>
                <w:rFonts w:ascii="Calibri" w:hAnsi="Calibri"/>
                <w:color w:val="334155"/>
                <w:sz w:val="20"/>
              </w:rPr>
              <w:t>Global Explainability shows which features matter most across the entire dataset (e.g., hook_score and completion_rate are the most influential overall). Local Explainability is the specific waterfall breakdown for one particular video uploaded by the user, explaining why that specific video scored 82 instead of 60.</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Q16: Why did you implement a 500MB chunk streaming cut-off?</w:t>
              <w:br/>
            </w:r>
          </w:p>
          <w:p>
            <w:pPr>
              <w:spacing w:before="40" w:after="0" w:line="276" w:lineRule="auto"/>
            </w:pPr>
            <w:r>
              <w:rPr>
                <w:rFonts w:ascii="Calibri" w:hAnsi="Calibri"/>
                <w:color w:val="334155"/>
                <w:sz w:val="20"/>
              </w:rPr>
              <w:t>High-end creators export 4K/60fps master videos that frequently exceed 200MB. Enforcing a 500MB streaming cut-off accommodates authentic 4K ProRes/H.265 files while protecting our cloud infrastructure against malicious 50GB file-upload Denial-of-Service (DoS) and disk exhaustion attacks.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Q17: How does your system prevent FFmpeg SSRF vulnerabilities (CVE-2016-1897)?</w:t>
              <w:br/>
            </w:r>
          </w:p>
          <w:p>
            <w:pPr>
              <w:spacing w:before="40" w:after="0" w:line="276" w:lineRule="auto"/>
            </w:pPr>
            <w:r>
              <w:rPr>
                <w:rFonts w:ascii="Calibri" w:hAnsi="Calibri"/>
                <w:color w:val="334155"/>
                <w:sz w:val="20"/>
              </w:rPr>
              <w:t>Malicious video files can contain embedded HLS playlist directives commanding FFmpeg to read local files (/etc/passwd) or query cloud metadata (169.254.169.254). We sandbox every FFmpeg subprocess call with -protocol_whitelist 'file,crypto', -nostdin, and a hard 25-second timeout, completely disabling external HTTP/TCP requests.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Q18: Why is verifying file.content_type insufficient for uploaded files?</w:t>
              <w:br/>
            </w:r>
          </w:p>
          <w:p>
            <w:pPr>
              <w:spacing w:before="40" w:after="0" w:line="276" w:lineRule="auto"/>
            </w:pPr>
            <w:r>
              <w:rPr>
                <w:rFonts w:ascii="Calibri" w:hAnsi="Calibri"/>
                <w:color w:val="334155"/>
                <w:sz w:val="20"/>
              </w:rPr>
              <w:t>file.content_type is an arbitrary client-supplied HTTP header easily spoofed using curl. VIRALYTIX inspects the raw binary magic bytes (checking for the 'ftyp' box for MP4, 'EBML' for WebM, and 'RIFF/AVI' for AVI) directly from the initial byte buffer.</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Q19: What is the purpose of the backend concurrency semaphore?</w:t>
              <w:br/>
            </w:r>
          </w:p>
          <w:p>
            <w:pPr>
              <w:spacing w:before="40" w:after="0" w:line="276" w:lineRule="auto"/>
            </w:pPr>
            <w:r>
              <w:rPr>
                <w:rFonts w:ascii="Calibri" w:hAnsi="Calibri"/>
                <w:color w:val="334155"/>
                <w:sz w:val="20"/>
              </w:rPr>
              <w:t>Free and standard cloud compute instances have limited CPU cores and RAM. Decoding multiple 4K videos simultaneously would trigger Out-Of-Memory (OOM) kernel panics. The threading.Semaphore(2) restricts heavy analytical pipelines to a maximum of 2 simultaneous jobs, returning a graceful 503 Retry-After status for excess traffic.</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Q20: Why couldn't a creator just use ChatGPT or Claude instead of VIRALYTIX?</w:t>
              <w:br/>
            </w:r>
          </w:p>
          <w:p>
            <w:pPr>
              <w:spacing w:before="40" w:after="0" w:line="276" w:lineRule="auto"/>
            </w:pPr>
            <w:r>
              <w:rPr>
                <w:rFonts w:ascii="Calibri" w:hAnsi="Calibri"/>
                <w:color w:val="334155"/>
                <w:sz w:val="20"/>
              </w:rPr>
              <w:t>LLMs only process text scripts; they cannot watch the actual video, hear acoustic dead air, analyze lighting exposure, or measure motion velocity. They hallucinate subjective creative advice without mathematical grounding. VIRALYTIX executes real computer vision, acoustic DSP, and objective machine learning on the compiled video file.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Q21: What is the purpose of the A/B Video Battle Arena?</w:t>
              <w:br/>
            </w:r>
          </w:p>
          <w:p>
            <w:pPr>
              <w:spacing w:before="40" w:after="0" w:line="276" w:lineRule="auto"/>
            </w:pPr>
            <w:r>
              <w:rPr>
                <w:rFonts w:ascii="Calibri" w:hAnsi="Calibri"/>
                <w:color w:val="334155"/>
                <w:sz w:val="20"/>
              </w:rPr>
              <w:t>In digital marketing, multivariate testing is the gold standard. The A/B Arena allows creators to upload Edit A (e.g., fast voiceover) vs. Edit B (e.g., dynamic sound effects) side-by-side. VIRALYTIX computes the delta between both edits, proving which version will achieve superior retention before publishing.</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Q22: What if a video goes viral due to a celebrity re-share or breaking news? How does your model account for this?</w:t>
              <w:br/>
            </w:r>
          </w:p>
          <w:p>
            <w:pPr>
              <w:spacing w:before="40" w:after="0" w:line="276" w:lineRule="auto"/>
            </w:pPr>
            <w:r>
              <w:rPr>
                <w:rFonts w:ascii="Calibri" w:hAnsi="Calibri"/>
                <w:color w:val="334155"/>
                <w:sz w:val="20"/>
              </w:rPr>
              <w:t>VIRALYTIX evaluates Intrinsic Content Merit—the features inherent to the video itself (pacing, hook, audio clarity). External virality catalysts (celebrity retweets, geopolitical news, trending audio spikes) represent Extrinsic Platform Noise. While no model can predict when a celebrity will retweet a post, our model ensures that when external eyeballs arrive, the video's intrinsic retention is optimized to prevent audience drop-off.</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Q23: Why did you use Next.js App Router for the frontend?</w:t>
              <w:br/>
            </w:r>
          </w:p>
          <w:p>
            <w:pPr>
              <w:spacing w:before="40" w:after="0" w:line="276" w:lineRule="auto"/>
            </w:pPr>
            <w:r>
              <w:rPr>
                <w:rFonts w:ascii="Calibri" w:hAnsi="Calibri"/>
                <w:color w:val="334155"/>
                <w:sz w:val="20"/>
              </w:rPr>
              <w:t>Next.js provides Server-Side Rendering (SSR), automatic code splitting, React Server Components (RSC), and Edge Middleware for security headers, while client components seamlessly host Three.js WebGL and GSAP animations.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Q24: How does the dynamic corner-docking navigation improve user experience?</w:t>
              <w:br/>
            </w:r>
          </w:p>
          <w:p>
            <w:pPr>
              <w:spacing w:before="40" w:after="0" w:line="276" w:lineRule="auto"/>
            </w:pPr>
            <w:r>
              <w:rPr>
                <w:rFonts w:ascii="Calibri" w:hAnsi="Calibri"/>
                <w:color w:val="334155"/>
                <w:sz w:val="20"/>
              </w:rPr>
              <w:t>When the user scrolls past 60px, the full navigation bar smoothly morphs into the brand logo and docks to the top-left corner as an interactive return-to-top button. This maximizes vertical screen real estate for viewing complex video analytics and video previews.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Q25: How does VIRALYTIX handle different video aspect ratios (9:16 vs 16:9)?</w:t>
              <w:br/>
            </w:r>
          </w:p>
          <w:p>
            <w:pPr>
              <w:spacing w:before="40" w:after="0" w:line="276" w:lineRule="auto"/>
            </w:pPr>
            <w:r>
              <w:rPr>
                <w:rFonts w:ascii="Calibri" w:hAnsi="Calibri"/>
                <w:color w:val="334155"/>
                <w:sz w:val="20"/>
              </w:rPr>
              <w:t>Short-form platforms heavily prioritize vertical 9:16 (1080x1920) orientation. Our feature extractor extracts the width-to-height aspect ratio; videos with horizontal 16:9 formatting receive an algorithmic penalty in the persona engagement engine due to poor mobile viewport utilization.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Q26: What is the significance of the 2-year HSTS header in your frontend configuration?</w:t>
              <w:br/>
            </w:r>
          </w:p>
          <w:p>
            <w:pPr>
              <w:spacing w:before="40" w:after="0" w:line="276" w:lineRule="auto"/>
            </w:pPr>
            <w:r>
              <w:rPr>
                <w:rFonts w:ascii="Calibri" w:hAnsi="Calibri"/>
                <w:color w:val="334155"/>
                <w:sz w:val="20"/>
              </w:rPr>
              <w:t>HTTP Strict Transport Security (max-age=63072000; includeSubDomains; preload) instructs web browsers that the domain must only ever be accessed via secure HTTPS. This permanently eliminates SSL-stripping attacks, man-in-the-middle packet sniffing, and insecure protocol downgrades.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Q27: How would you scale this system to handle 10,000 video uploads per hour?</w:t>
              <w:br/>
            </w:r>
          </w:p>
          <w:p>
            <w:pPr>
              <w:spacing w:before="40" w:after="0" w:line="276" w:lineRule="auto"/>
            </w:pPr>
            <w:r>
              <w:rPr>
                <w:rFonts w:ascii="Calibri" w:hAnsi="Calibri"/>
                <w:color w:val="334155"/>
                <w:sz w:val="20"/>
              </w:rPr>
              <w:t>Replace local disk storage with an S3-compatible object store (AWS S3/Cloudflare R2) using pre-signed upload URLs. Decouple FastAPI from video processing using RabbitMQ/Redis Celery workers. Run feature extraction on auto-scaling worker nodes (Kubernetes/AWS ECS with spot instances). Cache prediction results for identical file hashes using Redis.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Q28: What is the Cold-Start Problem in social algorithms, and how does VIRALYTIX address it?</w:t>
              <w:br/>
            </w:r>
          </w:p>
          <w:p>
            <w:pPr>
              <w:spacing w:before="40" w:after="0" w:line="276" w:lineRule="auto"/>
            </w:pPr>
            <w:r>
              <w:rPr>
                <w:rFonts w:ascii="Calibri" w:hAnsi="Calibri"/>
                <w:color w:val="334155"/>
                <w:sz w:val="20"/>
              </w:rPr>
              <w:t>The cold-start problem occurs when an algorithm has zero historical interaction data for a newly published video. Algorithms test the video on a small initial seed cohort of 100–300 users. VIRALYTIX simulates this exact seed cohort pre-publication, giving creators the ability to iterate before algorithmic exposure.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Q29: Can VIRALYTIX guarantee that a video scoring 95 will go viral in the real world?</w:t>
              <w:br/>
            </w:r>
          </w:p>
          <w:p>
            <w:pPr>
              <w:spacing w:before="40" w:after="0" w:line="276" w:lineRule="auto"/>
            </w:pPr>
            <w:r>
              <w:rPr>
                <w:rFonts w:ascii="Calibri" w:hAnsi="Calibri"/>
                <w:color w:val="334155"/>
                <w:sz w:val="20"/>
              </w:rPr>
              <w:t>No predictive analytics system can guarantee human viral stochasticity. VIRALYTIX calculates the intrinsic content potential based on algorithmic engagement patterns. Real-world distribution is also influenced by external factors such as breaking news cycles, creator follower momentum, and platform-level algorithmic shifts.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Q30: What is the target variable in your regression task, and how is it bounded?</w:t>
              <w:br/>
            </w:r>
          </w:p>
          <w:p>
            <w:pPr>
              <w:spacing w:before="40" w:after="0" w:line="276" w:lineRule="auto"/>
            </w:pPr>
            <w:r>
              <w:rPr>
                <w:rFonts w:ascii="Calibri" w:hAnsi="Calibri"/>
                <w:color w:val="334155"/>
                <w:sz w:val="20"/>
              </w:rPr>
              <w:t>The primary continuous target is the Virality Score (0 to 100). It is bounded through a non-linear sigmoid normalization of projected algorithmic retention, completion rate, share coefficient, and engagement velocity.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4F46E5"/>
              <w:bottom w:val="none"/>
              <w:right w:val="none"/>
            </w:tcBorders>
          </w:tcPr>
          <w:p>
            <w:pPr>
              <w:spacing w:before="0" w:after="80"/>
            </w:pPr>
            <w:r>
              <w:rPr>
                <w:rFonts w:ascii="Calibri" w:hAnsi="Calibri"/>
                <w:b/>
                <w:color w:val="1E1B4B"/>
                <w:sz w:val="22"/>
              </w:rPr>
              <w:t>Q: Q31: Why did you frame this problem as both a Regression and a Classification problem?</w:t>
              <w:br/>
            </w:r>
          </w:p>
          <w:p>
            <w:pPr>
              <w:spacing w:before="40" w:after="0" w:line="276" w:lineRule="auto"/>
            </w:pPr>
            <w:r>
              <w:rPr>
                <w:rFonts w:ascii="Calibri" w:hAnsi="Calibri"/>
                <w:color w:val="334155"/>
                <w:sz w:val="20"/>
              </w:rPr>
              <w:t>Regression (XGBRegressor) provides fine-grained sensitivity for optimization (e.g., seeing if a cut improves the score from 72.4 to 78.1). Classification (XGBClassifier) translates continuous numbers into actionable creator tiers: Low Reach (&lt;10k), Moderate (10k-50k), High (50k-250k), Viral (&gt;250k), matching how marketing agencies categorize campaign tiers.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36" w:space="0" w:color="059669"/>
              <w:bottom w:val="none"/>
              <w:right w:val="none"/>
            </w:tcBorders>
          </w:tcPr>
          <w:p>
            <w:pPr>
              <w:spacing w:before="0" w:after="80"/>
            </w:pPr>
            <w:r>
              <w:rPr>
                <w:rFonts w:ascii="Calibri" w:hAnsi="Calibri"/>
                <w:b/>
                <w:color w:val="1E1B4B"/>
                <w:sz w:val="22"/>
              </w:rPr>
              <w:t>Q: Q32: What is the most novel aspect of this project from an academic standpoint?</w:t>
              <w:br/>
            </w:r>
          </w:p>
          <w:p>
            <w:pPr>
              <w:spacing w:before="40" w:after="0" w:line="276" w:lineRule="auto"/>
            </w:pPr>
            <w:r>
              <w:rPr>
                <w:rFonts w:ascii="Calibri" w:hAnsi="Calibri"/>
                <w:color w:val="334155"/>
                <w:sz w:val="20"/>
              </w:rPr>
              <w:t>The tripartite fusion of: (1) Low-level multimodal signal extraction (computer vision + acoustics), (2) Agent-Based Behavioral Modeling (100-Agent synthetic audience swarm), and (3) Game-theoretic explainable machine learning (TreeSHAP). Existing research treats these three disciplines in isolation; VIRALYTIX unites them into an operational, end-to-end predictive engineering pipeline.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