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br/>
        <w:br/>
        <w:t>CHINA MACROECONOMIC</w:t>
        <w:br/>
        <w:t>OUTLOOK 2026–27</w:t>
      </w:r>
    </w:p>
    <w:p>
      <w:pPr>
        <w:jc w:val="center"/>
      </w:pPr>
      <w:r>
        <w:rPr>
          <w:i/>
        </w:rPr>
        <w:br/>
        <w:t>Management-ready macroeconomic intelligence report</w:t>
      </w:r>
    </w:p>
    <w:p>
      <w:pPr>
        <w:jc w:val="center"/>
      </w:pPr>
      <w:r>
        <w:br/>
        <w:t>Growth | Inflation | PBOC | Financial Conditions | Property | LGFV | External Sector | Structural Risk</w:t>
      </w:r>
    </w:p>
    <w:p>
      <w:r>
        <w:br/>
      </w:r>
    </w:p>
    <w:tbl>
      <w:tblPr>
        <w:tblW w:type="auto" w:w="0"/>
        <w:jc w:val="center"/>
        <w:tblLook w:firstColumn="1" w:firstRow="1" w:lastColumn="0" w:lastRow="0" w:noHBand="0" w:noVBand="1" w:val="04A0"/>
      </w:tblPr>
      <w:tblGrid>
        <w:gridCol w:w="3485"/>
        <w:gridCol w:w="3485"/>
        <w:gridCol w:w="3485"/>
      </w:tblGrid>
      <w:tr>
        <w:tc>
          <w:tcPr>
            <w:tcW w:type="dxa" w:w="3485"/>
            <w:vAlign w:val="center"/>
            <w:shd w:fill="D9EAF7"/>
          </w:tcPr>
          <w:p>
            <w:pPr>
              <w:jc w:val="center"/>
            </w:pPr>
            <w:r/>
            <w:r>
              <w:rPr>
                <w:b/>
                <w:sz w:val="18"/>
              </w:rPr>
              <w:t>2015–2025 DATABASE</w:t>
            </w:r>
          </w:p>
        </w:tc>
        <w:tc>
          <w:tcPr>
            <w:tcW w:type="dxa" w:w="3485"/>
            <w:vAlign w:val="center"/>
            <w:shd w:fill="D9EAF7"/>
          </w:tcPr>
          <w:p>
            <w:pPr>
              <w:jc w:val="center"/>
            </w:pPr>
            <w:r/>
            <w:r>
              <w:rPr>
                <w:b/>
                <w:sz w:val="18"/>
              </w:rPr>
              <w:t>2026–27 OUTLOOK</w:t>
            </w:r>
          </w:p>
        </w:tc>
        <w:tc>
          <w:tcPr>
            <w:tcW w:type="dxa" w:w="3485"/>
            <w:vAlign w:val="center"/>
            <w:shd w:fill="D9EAF7"/>
          </w:tcPr>
          <w:p>
            <w:pPr>
              <w:jc w:val="center"/>
            </w:pPr>
            <w:r/>
            <w:r>
              <w:rPr>
                <w:b/>
                <w:sz w:val="18"/>
              </w:rPr>
              <w:t>EXECUTIVE DASHBOARD</w:t>
            </w:r>
          </w:p>
        </w:tc>
      </w:tr>
    </w:tbl>
    <w:p>
      <w:pPr>
        <w:jc w:val="center"/>
      </w:pPr>
      <w:r>
        <w:br/>
        <w:t>BrandEssence Economic Intelligence</w:t>
      </w:r>
    </w:p>
    <w:p>
      <w:r>
        <w:br w:type="page"/>
      </w:r>
    </w:p>
    <w:p>
      <w:r>
        <w:rPr>
          <w:b/>
          <w:color w:val="595959"/>
          <w:sz w:val="16"/>
        </w:rPr>
        <w:t>CHAPTER 01  /  PAGE 002  /  TABLE OF CONTENTS</w:t>
      </w:r>
    </w:p>
    <w:p>
      <w:pPr>
        <w:pStyle w:val="Title"/>
      </w:pPr>
      <w:r>
        <w:t>Table of Contents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No.</w:t>
            </w:r>
          </w:p>
        </w:tc>
        <w:tc>
          <w:tcPr>
            <w:tcW w:type="dxa" w:w="3485"/>
            <w:vAlign w:val="center"/>
            <w:shd w:fill="1F4E79"/>
          </w:tcPr>
          <w:p>
            <w:pPr>
              <w:jc w:val="center"/>
            </w:pPr>
            <w:r>
              <w:rPr>
                <w:color w:val="FFFFFF"/>
              </w:rPr>
            </w:r>
            <w:r>
              <w:rPr>
                <w:b/>
                <w:color w:val="FFFFFF"/>
                <w:sz w:val="15"/>
              </w:rPr>
              <w:t>Section / Chapter</w:t>
            </w:r>
          </w:p>
        </w:tc>
        <w:tc>
          <w:tcPr>
            <w:tcW w:type="dxa" w:w="3485"/>
            <w:vAlign w:val="center"/>
            <w:shd w:fill="1F4E79"/>
          </w:tcPr>
          <w:p>
            <w:pPr>
              <w:jc w:val="center"/>
            </w:pPr>
            <w:r>
              <w:rPr>
                <w:color w:val="FFFFFF"/>
              </w:rPr>
            </w:r>
            <w:r>
              <w:rPr>
                <w:b/>
                <w:color w:val="FFFFFF"/>
                <w:sz w:val="15"/>
              </w:rPr>
              <w:t>Page</w:t>
            </w:r>
          </w:p>
        </w:tc>
      </w:tr>
      <w:tr>
        <w:tc>
          <w:tcPr>
            <w:tcW w:type="dxa" w:w="3485"/>
            <w:vAlign w:val="center"/>
          </w:tcPr>
          <w:p>
            <w:pPr>
              <w:jc w:val="center"/>
            </w:pPr>
            <w:r/>
            <w:r>
              <w:rPr>
                <w:b w:val="0"/>
                <w:sz w:val="14"/>
              </w:rPr>
              <w:t>1</w:t>
            </w:r>
          </w:p>
        </w:tc>
        <w:tc>
          <w:tcPr>
            <w:tcW w:type="dxa" w:w="3485"/>
            <w:vAlign w:val="center"/>
          </w:tcPr>
          <w:p>
            <w:pPr>
              <w:jc w:val="center"/>
            </w:pPr>
            <w:r/>
            <w:r>
              <w:rPr>
                <w:b w:val="0"/>
                <w:sz w:val="14"/>
              </w:rPr>
              <w:t>Cover Page</w:t>
            </w:r>
          </w:p>
        </w:tc>
        <w:tc>
          <w:tcPr>
            <w:tcW w:type="dxa" w:w="3485"/>
            <w:vAlign w:val="center"/>
          </w:tcPr>
          <w:p>
            <w:pPr>
              <w:jc w:val="center"/>
            </w:pPr>
            <w:r/>
            <w:r>
              <w:rPr>
                <w:b w:val="0"/>
                <w:sz w:val="14"/>
              </w:rPr>
              <w:t>1</w:t>
            </w:r>
          </w:p>
        </w:tc>
      </w:tr>
      <w:tr>
        <w:tc>
          <w:tcPr>
            <w:tcW w:type="dxa" w:w="3485"/>
            <w:vAlign w:val="center"/>
          </w:tcPr>
          <w:p>
            <w:pPr>
              <w:jc w:val="center"/>
            </w:pPr>
            <w:r/>
            <w:r>
              <w:rPr>
                <w:b w:val="0"/>
                <w:sz w:val="14"/>
              </w:rPr>
              <w:t>2</w:t>
            </w:r>
          </w:p>
        </w:tc>
        <w:tc>
          <w:tcPr>
            <w:tcW w:type="dxa" w:w="3485"/>
            <w:vAlign w:val="center"/>
          </w:tcPr>
          <w:p>
            <w:pPr>
              <w:jc w:val="center"/>
            </w:pPr>
            <w:r/>
            <w:r>
              <w:rPr>
                <w:b w:val="0"/>
                <w:sz w:val="14"/>
              </w:rPr>
              <w:t>Executive Summary</w:t>
            </w:r>
          </w:p>
        </w:tc>
        <w:tc>
          <w:tcPr>
            <w:tcW w:type="dxa" w:w="3485"/>
            <w:vAlign w:val="center"/>
          </w:tcPr>
          <w:p>
            <w:pPr>
              <w:jc w:val="center"/>
            </w:pPr>
            <w:r/>
            <w:r>
              <w:rPr>
                <w:b w:val="0"/>
                <w:sz w:val="14"/>
              </w:rPr>
              <w:t>4–6</w:t>
            </w:r>
          </w:p>
        </w:tc>
      </w:tr>
      <w:tr>
        <w:tc>
          <w:tcPr>
            <w:tcW w:type="dxa" w:w="3485"/>
            <w:vAlign w:val="center"/>
          </w:tcPr>
          <w:p>
            <w:pPr>
              <w:jc w:val="center"/>
            </w:pPr>
            <w:r/>
            <w:r>
              <w:rPr>
                <w:b w:val="0"/>
                <w:sz w:val="14"/>
              </w:rPr>
              <w:t>3</w:t>
            </w:r>
          </w:p>
        </w:tc>
        <w:tc>
          <w:tcPr>
            <w:tcW w:type="dxa" w:w="3485"/>
            <w:vAlign w:val="center"/>
          </w:tcPr>
          <w:p>
            <w:pPr>
              <w:jc w:val="center"/>
            </w:pPr>
            <w:r/>
            <w:r>
              <w:rPr>
                <w:b w:val="0"/>
                <w:sz w:val="14"/>
              </w:rPr>
              <w:t>China Macro Dashboard</w:t>
            </w:r>
          </w:p>
        </w:tc>
        <w:tc>
          <w:tcPr>
            <w:tcW w:type="dxa" w:w="3485"/>
            <w:vAlign w:val="center"/>
          </w:tcPr>
          <w:p>
            <w:pPr>
              <w:jc w:val="center"/>
            </w:pPr>
            <w:r/>
            <w:r>
              <w:rPr>
                <w:b w:val="0"/>
                <w:sz w:val="14"/>
              </w:rPr>
              <w:t>7</w:t>
            </w:r>
          </w:p>
        </w:tc>
      </w:tr>
      <w:tr>
        <w:tc>
          <w:tcPr>
            <w:tcW w:type="dxa" w:w="3485"/>
            <w:vAlign w:val="center"/>
          </w:tcPr>
          <w:p>
            <w:pPr>
              <w:jc w:val="center"/>
            </w:pPr>
            <w:r/>
            <w:r>
              <w:rPr>
                <w:b w:val="0"/>
                <w:sz w:val="14"/>
              </w:rPr>
              <w:t>4</w:t>
            </w:r>
          </w:p>
        </w:tc>
        <w:tc>
          <w:tcPr>
            <w:tcW w:type="dxa" w:w="3485"/>
            <w:vAlign w:val="center"/>
          </w:tcPr>
          <w:p>
            <w:pPr>
              <w:jc w:val="center"/>
            </w:pPr>
            <w:r/>
            <w:r>
              <w:rPr>
                <w:b w:val="0"/>
                <w:sz w:val="14"/>
              </w:rPr>
              <w:t>BrandEssence China Macro View</w:t>
            </w:r>
          </w:p>
        </w:tc>
        <w:tc>
          <w:tcPr>
            <w:tcW w:type="dxa" w:w="3485"/>
            <w:vAlign w:val="center"/>
          </w:tcPr>
          <w:p>
            <w:pPr>
              <w:jc w:val="center"/>
            </w:pPr>
            <w:r/>
            <w:r>
              <w:rPr>
                <w:b w:val="0"/>
                <w:sz w:val="14"/>
              </w:rPr>
              <w:t>8</w:t>
            </w:r>
          </w:p>
        </w:tc>
      </w:tr>
      <w:tr>
        <w:tc>
          <w:tcPr>
            <w:tcW w:type="dxa" w:w="3485"/>
            <w:vAlign w:val="center"/>
          </w:tcPr>
          <w:p>
            <w:pPr>
              <w:jc w:val="center"/>
            </w:pPr>
            <w:r/>
            <w:r>
              <w:rPr>
                <w:b w:val="0"/>
                <w:sz w:val="14"/>
              </w:rPr>
              <w:t>5</w:t>
            </w:r>
          </w:p>
        </w:tc>
        <w:tc>
          <w:tcPr>
            <w:tcW w:type="dxa" w:w="3485"/>
            <w:vAlign w:val="center"/>
          </w:tcPr>
          <w:p>
            <w:pPr>
              <w:jc w:val="center"/>
            </w:pPr>
            <w:r/>
            <w:r>
              <w:rPr>
                <w:b w:val="0"/>
                <w:sz w:val="14"/>
              </w:rPr>
              <w:t>Global Economy &amp; China Position</w:t>
            </w:r>
          </w:p>
        </w:tc>
        <w:tc>
          <w:tcPr>
            <w:tcW w:type="dxa" w:w="3485"/>
            <w:vAlign w:val="center"/>
          </w:tcPr>
          <w:p>
            <w:pPr>
              <w:jc w:val="center"/>
            </w:pPr>
            <w:r/>
            <w:r>
              <w:rPr>
                <w:b w:val="0"/>
                <w:sz w:val="14"/>
              </w:rPr>
              <w:t>9–12</w:t>
            </w:r>
          </w:p>
        </w:tc>
      </w:tr>
      <w:tr>
        <w:tc>
          <w:tcPr>
            <w:tcW w:type="dxa" w:w="3485"/>
            <w:vAlign w:val="center"/>
          </w:tcPr>
          <w:p>
            <w:pPr>
              <w:jc w:val="center"/>
            </w:pPr>
            <w:r/>
            <w:r>
              <w:rPr>
                <w:b w:val="0"/>
                <w:sz w:val="14"/>
              </w:rPr>
              <w:t>6</w:t>
            </w:r>
          </w:p>
        </w:tc>
        <w:tc>
          <w:tcPr>
            <w:tcW w:type="dxa" w:w="3485"/>
            <w:vAlign w:val="center"/>
          </w:tcPr>
          <w:p>
            <w:pPr>
              <w:jc w:val="center"/>
            </w:pPr>
            <w:r/>
            <w:r>
              <w:rPr>
                <w:b w:val="0"/>
                <w:sz w:val="14"/>
              </w:rPr>
              <w:t>GDP &amp; Economic Growth</w:t>
            </w:r>
          </w:p>
        </w:tc>
        <w:tc>
          <w:tcPr>
            <w:tcW w:type="dxa" w:w="3485"/>
            <w:vAlign w:val="center"/>
          </w:tcPr>
          <w:p>
            <w:pPr>
              <w:jc w:val="center"/>
            </w:pPr>
            <w:r/>
            <w:r>
              <w:rPr>
                <w:b w:val="0"/>
                <w:sz w:val="14"/>
              </w:rPr>
              <w:t>13–18</w:t>
            </w:r>
          </w:p>
        </w:tc>
      </w:tr>
      <w:tr>
        <w:tc>
          <w:tcPr>
            <w:tcW w:type="dxa" w:w="3485"/>
            <w:vAlign w:val="center"/>
          </w:tcPr>
          <w:p>
            <w:pPr>
              <w:jc w:val="center"/>
            </w:pPr>
            <w:r/>
            <w:r>
              <w:rPr>
                <w:b w:val="0"/>
                <w:sz w:val="14"/>
              </w:rPr>
              <w:t>7</w:t>
            </w:r>
          </w:p>
        </w:tc>
        <w:tc>
          <w:tcPr>
            <w:tcW w:type="dxa" w:w="3485"/>
            <w:vAlign w:val="center"/>
          </w:tcPr>
          <w:p>
            <w:pPr>
              <w:jc w:val="center"/>
            </w:pPr>
            <w:r/>
            <w:r>
              <w:rPr>
                <w:b w:val="0"/>
                <w:sz w:val="14"/>
              </w:rPr>
              <w:t>Consumer Economy</w:t>
            </w:r>
          </w:p>
        </w:tc>
        <w:tc>
          <w:tcPr>
            <w:tcW w:type="dxa" w:w="3485"/>
            <w:vAlign w:val="center"/>
          </w:tcPr>
          <w:p>
            <w:pPr>
              <w:jc w:val="center"/>
            </w:pPr>
            <w:r/>
            <w:r>
              <w:rPr>
                <w:b w:val="0"/>
                <w:sz w:val="14"/>
              </w:rPr>
              <w:t>19–23</w:t>
            </w:r>
          </w:p>
        </w:tc>
      </w:tr>
      <w:tr>
        <w:tc>
          <w:tcPr>
            <w:tcW w:type="dxa" w:w="3485"/>
            <w:vAlign w:val="center"/>
          </w:tcPr>
          <w:p>
            <w:pPr>
              <w:jc w:val="center"/>
            </w:pPr>
            <w:r/>
            <w:r>
              <w:rPr>
                <w:b w:val="0"/>
                <w:sz w:val="14"/>
              </w:rPr>
              <w:t>8</w:t>
            </w:r>
          </w:p>
        </w:tc>
        <w:tc>
          <w:tcPr>
            <w:tcW w:type="dxa" w:w="3485"/>
            <w:vAlign w:val="center"/>
          </w:tcPr>
          <w:p>
            <w:pPr>
              <w:jc w:val="center"/>
            </w:pPr>
            <w:r/>
            <w:r>
              <w:rPr>
                <w:b w:val="0"/>
                <w:sz w:val="14"/>
              </w:rPr>
              <w:t>Business Investment &amp; Corporate Sector</w:t>
            </w:r>
          </w:p>
        </w:tc>
        <w:tc>
          <w:tcPr>
            <w:tcW w:type="dxa" w:w="3485"/>
            <w:vAlign w:val="center"/>
          </w:tcPr>
          <w:p>
            <w:pPr>
              <w:jc w:val="center"/>
            </w:pPr>
            <w:r/>
            <w:r>
              <w:rPr>
                <w:b w:val="0"/>
                <w:sz w:val="14"/>
              </w:rPr>
              <w:t>24–28</w:t>
            </w:r>
          </w:p>
        </w:tc>
      </w:tr>
      <w:tr>
        <w:tc>
          <w:tcPr>
            <w:tcW w:type="dxa" w:w="3485"/>
            <w:vAlign w:val="center"/>
          </w:tcPr>
          <w:p>
            <w:pPr>
              <w:jc w:val="center"/>
            </w:pPr>
            <w:r/>
            <w:r>
              <w:rPr>
                <w:b w:val="0"/>
                <w:sz w:val="14"/>
              </w:rPr>
              <w:t>9</w:t>
            </w:r>
          </w:p>
        </w:tc>
        <w:tc>
          <w:tcPr>
            <w:tcW w:type="dxa" w:w="3485"/>
            <w:vAlign w:val="center"/>
          </w:tcPr>
          <w:p>
            <w:pPr>
              <w:jc w:val="center"/>
            </w:pPr>
            <w:r/>
            <w:r>
              <w:rPr>
                <w:b w:val="0"/>
                <w:sz w:val="14"/>
              </w:rPr>
              <w:t>Industrial &amp; Manufacturing Economy</w:t>
            </w:r>
          </w:p>
        </w:tc>
        <w:tc>
          <w:tcPr>
            <w:tcW w:type="dxa" w:w="3485"/>
            <w:vAlign w:val="center"/>
          </w:tcPr>
          <w:p>
            <w:pPr>
              <w:jc w:val="center"/>
            </w:pPr>
            <w:r/>
            <w:r>
              <w:rPr>
                <w:b w:val="0"/>
                <w:sz w:val="14"/>
              </w:rPr>
              <w:t>29–33</w:t>
            </w:r>
          </w:p>
        </w:tc>
      </w:tr>
      <w:tr>
        <w:tc>
          <w:tcPr>
            <w:tcW w:type="dxa" w:w="3485"/>
            <w:vAlign w:val="center"/>
          </w:tcPr>
          <w:p>
            <w:pPr>
              <w:jc w:val="center"/>
            </w:pPr>
            <w:r/>
            <w:r>
              <w:rPr>
                <w:b w:val="0"/>
                <w:sz w:val="14"/>
              </w:rPr>
              <w:t>10</w:t>
            </w:r>
          </w:p>
        </w:tc>
        <w:tc>
          <w:tcPr>
            <w:tcW w:type="dxa" w:w="3485"/>
            <w:vAlign w:val="center"/>
          </w:tcPr>
          <w:p>
            <w:pPr>
              <w:jc w:val="center"/>
            </w:pPr>
            <w:r/>
            <w:r>
              <w:rPr>
                <w:b w:val="0"/>
                <w:sz w:val="14"/>
              </w:rPr>
              <w:t>Services Economy</w:t>
            </w:r>
          </w:p>
        </w:tc>
        <w:tc>
          <w:tcPr>
            <w:tcW w:type="dxa" w:w="3485"/>
            <w:vAlign w:val="center"/>
          </w:tcPr>
          <w:p>
            <w:pPr>
              <w:jc w:val="center"/>
            </w:pPr>
            <w:r/>
            <w:r>
              <w:rPr>
                <w:b w:val="0"/>
                <w:sz w:val="14"/>
              </w:rPr>
              <w:t>34–36</w:t>
            </w:r>
          </w:p>
        </w:tc>
      </w:tr>
      <w:tr>
        <w:tc>
          <w:tcPr>
            <w:tcW w:type="dxa" w:w="3485"/>
            <w:vAlign w:val="center"/>
          </w:tcPr>
          <w:p>
            <w:pPr>
              <w:jc w:val="center"/>
            </w:pPr>
            <w:r/>
            <w:r>
              <w:rPr>
                <w:b w:val="0"/>
                <w:sz w:val="14"/>
              </w:rPr>
              <w:t>11</w:t>
            </w:r>
          </w:p>
        </w:tc>
        <w:tc>
          <w:tcPr>
            <w:tcW w:type="dxa" w:w="3485"/>
            <w:vAlign w:val="center"/>
          </w:tcPr>
          <w:p>
            <w:pPr>
              <w:jc w:val="center"/>
            </w:pPr>
            <w:r/>
            <w:r>
              <w:rPr>
                <w:b w:val="0"/>
                <w:sz w:val="14"/>
              </w:rPr>
              <w:t>Inflation &amp; Price Stability</w:t>
            </w:r>
          </w:p>
        </w:tc>
        <w:tc>
          <w:tcPr>
            <w:tcW w:type="dxa" w:w="3485"/>
            <w:vAlign w:val="center"/>
          </w:tcPr>
          <w:p>
            <w:pPr>
              <w:jc w:val="center"/>
            </w:pPr>
            <w:r/>
            <w:r>
              <w:rPr>
                <w:b w:val="0"/>
                <w:sz w:val="14"/>
              </w:rPr>
              <w:t>37–42</w:t>
            </w:r>
          </w:p>
        </w:tc>
      </w:tr>
      <w:tr>
        <w:tc>
          <w:tcPr>
            <w:tcW w:type="dxa" w:w="3485"/>
            <w:vAlign w:val="center"/>
          </w:tcPr>
          <w:p>
            <w:pPr>
              <w:jc w:val="center"/>
            </w:pPr>
            <w:r/>
            <w:r>
              <w:rPr>
                <w:b w:val="0"/>
                <w:sz w:val="14"/>
              </w:rPr>
              <w:t>12</w:t>
            </w:r>
          </w:p>
        </w:tc>
        <w:tc>
          <w:tcPr>
            <w:tcW w:type="dxa" w:w="3485"/>
            <w:vAlign w:val="center"/>
          </w:tcPr>
          <w:p>
            <w:pPr>
              <w:jc w:val="center"/>
            </w:pPr>
            <w:r/>
            <w:r>
              <w:rPr>
                <w:b w:val="0"/>
                <w:sz w:val="14"/>
              </w:rPr>
              <w:t>PBOC &amp; Monetary Policy</w:t>
            </w:r>
          </w:p>
        </w:tc>
        <w:tc>
          <w:tcPr>
            <w:tcW w:type="dxa" w:w="3485"/>
            <w:vAlign w:val="center"/>
          </w:tcPr>
          <w:p>
            <w:pPr>
              <w:jc w:val="center"/>
            </w:pPr>
            <w:r/>
            <w:r>
              <w:rPr>
                <w:b w:val="0"/>
                <w:sz w:val="14"/>
              </w:rPr>
              <w:t>43–49</w:t>
            </w:r>
          </w:p>
        </w:tc>
      </w:tr>
      <w:tr>
        <w:tc>
          <w:tcPr>
            <w:tcW w:type="dxa" w:w="3485"/>
            <w:vAlign w:val="center"/>
          </w:tcPr>
          <w:p>
            <w:pPr>
              <w:jc w:val="center"/>
            </w:pPr>
            <w:r/>
            <w:r>
              <w:rPr>
                <w:b w:val="0"/>
                <w:sz w:val="14"/>
              </w:rPr>
              <w:t>13</w:t>
            </w:r>
          </w:p>
        </w:tc>
        <w:tc>
          <w:tcPr>
            <w:tcW w:type="dxa" w:w="3485"/>
            <w:vAlign w:val="center"/>
          </w:tcPr>
          <w:p>
            <w:pPr>
              <w:jc w:val="center"/>
            </w:pPr>
            <w:r/>
            <w:r>
              <w:rPr>
                <w:b w:val="0"/>
                <w:sz w:val="14"/>
              </w:rPr>
              <w:t>Financial Conditions &amp; Markets</w:t>
            </w:r>
          </w:p>
        </w:tc>
        <w:tc>
          <w:tcPr>
            <w:tcW w:type="dxa" w:w="3485"/>
            <w:vAlign w:val="center"/>
          </w:tcPr>
          <w:p>
            <w:pPr>
              <w:jc w:val="center"/>
            </w:pPr>
            <w:r/>
            <w:r>
              <w:rPr>
                <w:b w:val="0"/>
                <w:sz w:val="14"/>
              </w:rPr>
              <w:t>50–55</w:t>
            </w:r>
          </w:p>
        </w:tc>
      </w:tr>
      <w:tr>
        <w:tc>
          <w:tcPr>
            <w:tcW w:type="dxa" w:w="3485"/>
            <w:vAlign w:val="center"/>
          </w:tcPr>
          <w:p>
            <w:pPr>
              <w:jc w:val="center"/>
            </w:pPr>
            <w:r/>
            <w:r>
              <w:rPr>
                <w:b w:val="0"/>
                <w:sz w:val="14"/>
              </w:rPr>
              <w:t>14</w:t>
            </w:r>
          </w:p>
        </w:tc>
        <w:tc>
          <w:tcPr>
            <w:tcW w:type="dxa" w:w="3485"/>
            <w:vAlign w:val="center"/>
          </w:tcPr>
          <w:p>
            <w:pPr>
              <w:jc w:val="center"/>
            </w:pPr>
            <w:r/>
            <w:r>
              <w:rPr>
                <w:b w:val="0"/>
                <w:sz w:val="14"/>
              </w:rPr>
              <w:t>Banking &amp; Credit System</w:t>
            </w:r>
          </w:p>
        </w:tc>
        <w:tc>
          <w:tcPr>
            <w:tcW w:type="dxa" w:w="3485"/>
            <w:vAlign w:val="center"/>
          </w:tcPr>
          <w:p>
            <w:pPr>
              <w:jc w:val="center"/>
            </w:pPr>
            <w:r/>
            <w:r>
              <w:rPr>
                <w:b w:val="0"/>
                <w:sz w:val="14"/>
              </w:rPr>
              <w:t>56–59</w:t>
            </w:r>
          </w:p>
        </w:tc>
      </w:tr>
      <w:tr>
        <w:tc>
          <w:tcPr>
            <w:tcW w:type="dxa" w:w="3485"/>
            <w:vAlign w:val="center"/>
          </w:tcPr>
          <w:p>
            <w:pPr>
              <w:jc w:val="center"/>
            </w:pPr>
            <w:r/>
            <w:r>
              <w:rPr>
                <w:b w:val="0"/>
                <w:sz w:val="14"/>
              </w:rPr>
              <w:t>15</w:t>
            </w:r>
          </w:p>
        </w:tc>
        <w:tc>
          <w:tcPr>
            <w:tcW w:type="dxa" w:w="3485"/>
            <w:vAlign w:val="center"/>
          </w:tcPr>
          <w:p>
            <w:pPr>
              <w:jc w:val="center"/>
            </w:pPr>
            <w:r/>
            <w:r>
              <w:rPr>
                <w:b w:val="0"/>
                <w:sz w:val="14"/>
              </w:rPr>
              <w:t>Property &amp; Real Estate</w:t>
            </w:r>
          </w:p>
        </w:tc>
        <w:tc>
          <w:tcPr>
            <w:tcW w:type="dxa" w:w="3485"/>
            <w:vAlign w:val="center"/>
          </w:tcPr>
          <w:p>
            <w:pPr>
              <w:jc w:val="center"/>
            </w:pPr>
            <w:r/>
            <w:r>
              <w:rPr>
                <w:b w:val="0"/>
                <w:sz w:val="14"/>
              </w:rPr>
              <w:t>60–65</w:t>
            </w:r>
          </w:p>
        </w:tc>
      </w:tr>
      <w:tr>
        <w:tc>
          <w:tcPr>
            <w:tcW w:type="dxa" w:w="3485"/>
            <w:vAlign w:val="center"/>
          </w:tcPr>
          <w:p>
            <w:pPr>
              <w:jc w:val="center"/>
            </w:pPr>
            <w:r/>
            <w:r>
              <w:rPr>
                <w:b w:val="0"/>
                <w:sz w:val="14"/>
              </w:rPr>
              <w:t>16</w:t>
            </w:r>
          </w:p>
        </w:tc>
        <w:tc>
          <w:tcPr>
            <w:tcW w:type="dxa" w:w="3485"/>
            <w:vAlign w:val="center"/>
          </w:tcPr>
          <w:p>
            <w:pPr>
              <w:jc w:val="center"/>
            </w:pPr>
            <w:r/>
            <w:r>
              <w:rPr>
                <w:b w:val="0"/>
                <w:sz w:val="14"/>
              </w:rPr>
              <w:t>Fiscal Policy &amp; Government Budget</w:t>
            </w:r>
          </w:p>
        </w:tc>
        <w:tc>
          <w:tcPr>
            <w:tcW w:type="dxa" w:w="3485"/>
            <w:vAlign w:val="center"/>
          </w:tcPr>
          <w:p>
            <w:pPr>
              <w:jc w:val="center"/>
            </w:pPr>
            <w:r/>
            <w:r>
              <w:rPr>
                <w:b w:val="0"/>
                <w:sz w:val="14"/>
              </w:rPr>
              <w:t>66–72</w:t>
            </w:r>
          </w:p>
        </w:tc>
      </w:tr>
      <w:tr>
        <w:tc>
          <w:tcPr>
            <w:tcW w:type="dxa" w:w="3485"/>
            <w:vAlign w:val="center"/>
          </w:tcPr>
          <w:p>
            <w:pPr>
              <w:jc w:val="center"/>
            </w:pPr>
            <w:r/>
            <w:r>
              <w:rPr>
                <w:b w:val="0"/>
                <w:sz w:val="14"/>
              </w:rPr>
              <w:t>17</w:t>
            </w:r>
          </w:p>
        </w:tc>
        <w:tc>
          <w:tcPr>
            <w:tcW w:type="dxa" w:w="3485"/>
            <w:vAlign w:val="center"/>
          </w:tcPr>
          <w:p>
            <w:pPr>
              <w:jc w:val="center"/>
            </w:pPr>
            <w:r/>
            <w:r>
              <w:rPr>
                <w:b w:val="0"/>
                <w:sz w:val="14"/>
              </w:rPr>
              <w:t>Government Debt &amp; LGFV</w:t>
            </w:r>
          </w:p>
        </w:tc>
        <w:tc>
          <w:tcPr>
            <w:tcW w:type="dxa" w:w="3485"/>
            <w:vAlign w:val="center"/>
          </w:tcPr>
          <w:p>
            <w:pPr>
              <w:jc w:val="center"/>
            </w:pPr>
            <w:r/>
            <w:r>
              <w:rPr>
                <w:b w:val="0"/>
                <w:sz w:val="14"/>
              </w:rPr>
              <w:t>73–78</w:t>
            </w:r>
          </w:p>
        </w:tc>
      </w:tr>
    </w:tbl>
    <w:p>
      <w:r>
        <w:br w:type="page"/>
      </w:r>
    </w:p>
    <w:p>
      <w:r>
        <w:rPr>
          <w:b/>
          <w:color w:val="595959"/>
          <w:sz w:val="16"/>
        </w:rPr>
        <w:t>CHAPTER 01  /  PAGE 003  /  TABLE OF CONTENTS — CONTINUED</w:t>
      </w:r>
    </w:p>
    <w:p>
      <w:pPr>
        <w:pStyle w:val="Title"/>
      </w:pPr>
      <w:r>
        <w:t>Table of Contents — Continued</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No.</w:t>
            </w:r>
          </w:p>
        </w:tc>
        <w:tc>
          <w:tcPr>
            <w:tcW w:type="dxa" w:w="3485"/>
            <w:vAlign w:val="center"/>
            <w:shd w:fill="1F4E79"/>
          </w:tcPr>
          <w:p>
            <w:pPr>
              <w:jc w:val="center"/>
            </w:pPr>
            <w:r>
              <w:rPr>
                <w:color w:val="FFFFFF"/>
              </w:rPr>
            </w:r>
            <w:r>
              <w:rPr>
                <w:b/>
                <w:color w:val="FFFFFF"/>
                <w:sz w:val="15"/>
              </w:rPr>
              <w:t>Section / Chapter</w:t>
            </w:r>
          </w:p>
        </w:tc>
        <w:tc>
          <w:tcPr>
            <w:tcW w:type="dxa" w:w="3485"/>
            <w:vAlign w:val="center"/>
            <w:shd w:fill="1F4E79"/>
          </w:tcPr>
          <w:p>
            <w:pPr>
              <w:jc w:val="center"/>
            </w:pPr>
            <w:r>
              <w:rPr>
                <w:color w:val="FFFFFF"/>
              </w:rPr>
            </w:r>
            <w:r>
              <w:rPr>
                <w:b/>
                <w:color w:val="FFFFFF"/>
                <w:sz w:val="15"/>
              </w:rPr>
              <w:t>Page</w:t>
            </w:r>
          </w:p>
        </w:tc>
      </w:tr>
      <w:tr>
        <w:tc>
          <w:tcPr>
            <w:tcW w:type="dxa" w:w="3485"/>
            <w:vAlign w:val="center"/>
          </w:tcPr>
          <w:p>
            <w:pPr>
              <w:jc w:val="center"/>
            </w:pPr>
            <w:r/>
            <w:r>
              <w:rPr>
                <w:b w:val="0"/>
                <w:sz w:val="14"/>
              </w:rPr>
              <w:t>18</w:t>
            </w:r>
          </w:p>
        </w:tc>
        <w:tc>
          <w:tcPr>
            <w:tcW w:type="dxa" w:w="3485"/>
            <w:vAlign w:val="center"/>
          </w:tcPr>
          <w:p>
            <w:pPr>
              <w:jc w:val="center"/>
            </w:pPr>
            <w:r/>
            <w:r>
              <w:rPr>
                <w:b w:val="0"/>
                <w:sz w:val="14"/>
              </w:rPr>
              <w:t>Trade &amp; External Sector</w:t>
            </w:r>
          </w:p>
        </w:tc>
        <w:tc>
          <w:tcPr>
            <w:tcW w:type="dxa" w:w="3485"/>
            <w:vAlign w:val="center"/>
          </w:tcPr>
          <w:p>
            <w:pPr>
              <w:jc w:val="center"/>
            </w:pPr>
            <w:r/>
            <w:r>
              <w:rPr>
                <w:b w:val="0"/>
                <w:sz w:val="14"/>
              </w:rPr>
              <w:t>79–85</w:t>
            </w:r>
          </w:p>
        </w:tc>
      </w:tr>
      <w:tr>
        <w:tc>
          <w:tcPr>
            <w:tcW w:type="dxa" w:w="3485"/>
            <w:vAlign w:val="center"/>
          </w:tcPr>
          <w:p>
            <w:pPr>
              <w:jc w:val="center"/>
            </w:pPr>
            <w:r/>
            <w:r>
              <w:rPr>
                <w:b w:val="0"/>
                <w:sz w:val="14"/>
              </w:rPr>
              <w:t>19</w:t>
            </w:r>
          </w:p>
        </w:tc>
        <w:tc>
          <w:tcPr>
            <w:tcW w:type="dxa" w:w="3485"/>
            <w:vAlign w:val="center"/>
          </w:tcPr>
          <w:p>
            <w:pPr>
              <w:jc w:val="center"/>
            </w:pPr>
            <w:r/>
            <w:r>
              <w:rPr>
                <w:b w:val="0"/>
                <w:sz w:val="14"/>
              </w:rPr>
              <w:t>RMB &amp; Global Liquidity</w:t>
            </w:r>
          </w:p>
        </w:tc>
        <w:tc>
          <w:tcPr>
            <w:tcW w:type="dxa" w:w="3485"/>
            <w:vAlign w:val="center"/>
          </w:tcPr>
          <w:p>
            <w:pPr>
              <w:jc w:val="center"/>
            </w:pPr>
            <w:r/>
            <w:r>
              <w:rPr>
                <w:b w:val="0"/>
                <w:sz w:val="14"/>
              </w:rPr>
              <w:t>86–89</w:t>
            </w:r>
          </w:p>
        </w:tc>
      </w:tr>
      <w:tr>
        <w:tc>
          <w:tcPr>
            <w:tcW w:type="dxa" w:w="3485"/>
            <w:vAlign w:val="center"/>
          </w:tcPr>
          <w:p>
            <w:pPr>
              <w:jc w:val="center"/>
            </w:pPr>
            <w:r/>
            <w:r>
              <w:rPr>
                <w:b w:val="0"/>
                <w:sz w:val="14"/>
              </w:rPr>
              <w:t>20</w:t>
            </w:r>
          </w:p>
        </w:tc>
        <w:tc>
          <w:tcPr>
            <w:tcW w:type="dxa" w:w="3485"/>
            <w:vAlign w:val="center"/>
          </w:tcPr>
          <w:p>
            <w:pPr>
              <w:jc w:val="center"/>
            </w:pPr>
            <w:r/>
            <w:r>
              <w:rPr>
                <w:b w:val="0"/>
                <w:sz w:val="14"/>
              </w:rPr>
              <w:t>Labor Market &amp; Wages</w:t>
            </w:r>
          </w:p>
        </w:tc>
        <w:tc>
          <w:tcPr>
            <w:tcW w:type="dxa" w:w="3485"/>
            <w:vAlign w:val="center"/>
          </w:tcPr>
          <w:p>
            <w:pPr>
              <w:jc w:val="center"/>
            </w:pPr>
            <w:r/>
            <w:r>
              <w:rPr>
                <w:b w:val="0"/>
                <w:sz w:val="14"/>
              </w:rPr>
              <w:t>90–95</w:t>
            </w:r>
          </w:p>
        </w:tc>
      </w:tr>
      <w:tr>
        <w:tc>
          <w:tcPr>
            <w:tcW w:type="dxa" w:w="3485"/>
            <w:vAlign w:val="center"/>
          </w:tcPr>
          <w:p>
            <w:pPr>
              <w:jc w:val="center"/>
            </w:pPr>
            <w:r/>
            <w:r>
              <w:rPr>
                <w:b w:val="0"/>
                <w:sz w:val="14"/>
              </w:rPr>
              <w:t>21</w:t>
            </w:r>
          </w:p>
        </w:tc>
        <w:tc>
          <w:tcPr>
            <w:tcW w:type="dxa" w:w="3485"/>
            <w:vAlign w:val="center"/>
          </w:tcPr>
          <w:p>
            <w:pPr>
              <w:jc w:val="center"/>
            </w:pPr>
            <w:r/>
            <w:r>
              <w:rPr>
                <w:b w:val="0"/>
                <w:sz w:val="14"/>
              </w:rPr>
              <w:t>Productivity &amp; Potential Growth</w:t>
            </w:r>
          </w:p>
        </w:tc>
        <w:tc>
          <w:tcPr>
            <w:tcW w:type="dxa" w:w="3485"/>
            <w:vAlign w:val="center"/>
          </w:tcPr>
          <w:p>
            <w:pPr>
              <w:jc w:val="center"/>
            </w:pPr>
            <w:r/>
            <w:r>
              <w:rPr>
                <w:b w:val="0"/>
                <w:sz w:val="14"/>
              </w:rPr>
              <w:t>96–99</w:t>
            </w:r>
          </w:p>
        </w:tc>
      </w:tr>
      <w:tr>
        <w:tc>
          <w:tcPr>
            <w:tcW w:type="dxa" w:w="3485"/>
            <w:vAlign w:val="center"/>
          </w:tcPr>
          <w:p>
            <w:pPr>
              <w:jc w:val="center"/>
            </w:pPr>
            <w:r/>
            <w:r>
              <w:rPr>
                <w:b w:val="0"/>
                <w:sz w:val="14"/>
              </w:rPr>
              <w:t>22</w:t>
            </w:r>
          </w:p>
        </w:tc>
        <w:tc>
          <w:tcPr>
            <w:tcW w:type="dxa" w:w="3485"/>
            <w:vAlign w:val="center"/>
          </w:tcPr>
          <w:p>
            <w:pPr>
              <w:jc w:val="center"/>
            </w:pPr>
            <w:r/>
            <w:r>
              <w:rPr>
                <w:b w:val="0"/>
                <w:sz w:val="14"/>
              </w:rPr>
              <w:t>Technology, AI &amp; New Economy</w:t>
            </w:r>
          </w:p>
        </w:tc>
        <w:tc>
          <w:tcPr>
            <w:tcW w:type="dxa" w:w="3485"/>
            <w:vAlign w:val="center"/>
          </w:tcPr>
          <w:p>
            <w:pPr>
              <w:jc w:val="center"/>
            </w:pPr>
            <w:r/>
            <w:r>
              <w:rPr>
                <w:b w:val="0"/>
                <w:sz w:val="14"/>
              </w:rPr>
              <w:t>100–104</w:t>
            </w:r>
          </w:p>
        </w:tc>
      </w:tr>
      <w:tr>
        <w:tc>
          <w:tcPr>
            <w:tcW w:type="dxa" w:w="3485"/>
            <w:vAlign w:val="center"/>
          </w:tcPr>
          <w:p>
            <w:pPr>
              <w:jc w:val="center"/>
            </w:pPr>
            <w:r/>
            <w:r>
              <w:rPr>
                <w:b w:val="0"/>
                <w:sz w:val="14"/>
              </w:rPr>
              <w:t>23</w:t>
            </w:r>
          </w:p>
        </w:tc>
        <w:tc>
          <w:tcPr>
            <w:tcW w:type="dxa" w:w="3485"/>
            <w:vAlign w:val="center"/>
          </w:tcPr>
          <w:p>
            <w:pPr>
              <w:jc w:val="center"/>
            </w:pPr>
            <w:r/>
            <w:r>
              <w:rPr>
                <w:b w:val="0"/>
                <w:sz w:val="14"/>
              </w:rPr>
              <w:t>Energy &amp; Commodity Economy</w:t>
            </w:r>
          </w:p>
        </w:tc>
        <w:tc>
          <w:tcPr>
            <w:tcW w:type="dxa" w:w="3485"/>
            <w:vAlign w:val="center"/>
          </w:tcPr>
          <w:p>
            <w:pPr>
              <w:jc w:val="center"/>
            </w:pPr>
            <w:r/>
            <w:r>
              <w:rPr>
                <w:b w:val="0"/>
                <w:sz w:val="14"/>
              </w:rPr>
              <w:t>105–108</w:t>
            </w:r>
          </w:p>
        </w:tc>
      </w:tr>
      <w:tr>
        <w:tc>
          <w:tcPr>
            <w:tcW w:type="dxa" w:w="3485"/>
            <w:vAlign w:val="center"/>
          </w:tcPr>
          <w:p>
            <w:pPr>
              <w:jc w:val="center"/>
            </w:pPr>
            <w:r/>
            <w:r>
              <w:rPr>
                <w:b w:val="0"/>
                <w:sz w:val="14"/>
              </w:rPr>
              <w:t>24</w:t>
            </w:r>
          </w:p>
        </w:tc>
        <w:tc>
          <w:tcPr>
            <w:tcW w:type="dxa" w:w="3485"/>
            <w:vAlign w:val="center"/>
          </w:tcPr>
          <w:p>
            <w:pPr>
              <w:jc w:val="center"/>
            </w:pPr>
            <w:r/>
            <w:r>
              <w:rPr>
                <w:b w:val="0"/>
                <w:sz w:val="14"/>
              </w:rPr>
              <w:t>Demographics &amp; Structural Trends</w:t>
            </w:r>
          </w:p>
        </w:tc>
        <w:tc>
          <w:tcPr>
            <w:tcW w:type="dxa" w:w="3485"/>
            <w:vAlign w:val="center"/>
          </w:tcPr>
          <w:p>
            <w:pPr>
              <w:jc w:val="center"/>
            </w:pPr>
            <w:r/>
            <w:r>
              <w:rPr>
                <w:b w:val="0"/>
                <w:sz w:val="14"/>
              </w:rPr>
              <w:t>109–111</w:t>
            </w:r>
          </w:p>
        </w:tc>
      </w:tr>
      <w:tr>
        <w:tc>
          <w:tcPr>
            <w:tcW w:type="dxa" w:w="3485"/>
            <w:vAlign w:val="center"/>
          </w:tcPr>
          <w:p>
            <w:pPr>
              <w:jc w:val="center"/>
            </w:pPr>
            <w:r/>
            <w:r>
              <w:rPr>
                <w:b w:val="0"/>
                <w:sz w:val="14"/>
              </w:rPr>
              <w:t>25</w:t>
            </w:r>
          </w:p>
        </w:tc>
        <w:tc>
          <w:tcPr>
            <w:tcW w:type="dxa" w:w="3485"/>
            <w:vAlign w:val="center"/>
          </w:tcPr>
          <w:p>
            <w:pPr>
              <w:jc w:val="center"/>
            </w:pPr>
            <w:r/>
            <w:r>
              <w:rPr>
                <w:b w:val="0"/>
                <w:sz w:val="14"/>
              </w:rPr>
              <w:t>Climate &amp; Environmental Economic Risk</w:t>
            </w:r>
          </w:p>
        </w:tc>
        <w:tc>
          <w:tcPr>
            <w:tcW w:type="dxa" w:w="3485"/>
            <w:vAlign w:val="center"/>
          </w:tcPr>
          <w:p>
            <w:pPr>
              <w:jc w:val="center"/>
            </w:pPr>
            <w:r/>
            <w:r>
              <w:rPr>
                <w:b w:val="0"/>
                <w:sz w:val="14"/>
              </w:rPr>
              <w:t>112–114</w:t>
            </w:r>
          </w:p>
        </w:tc>
      </w:tr>
      <w:tr>
        <w:tc>
          <w:tcPr>
            <w:tcW w:type="dxa" w:w="3485"/>
            <w:vAlign w:val="center"/>
          </w:tcPr>
          <w:p>
            <w:pPr>
              <w:jc w:val="center"/>
            </w:pPr>
            <w:r/>
            <w:r>
              <w:rPr>
                <w:b w:val="0"/>
                <w:sz w:val="14"/>
              </w:rPr>
              <w:t>26</w:t>
            </w:r>
          </w:p>
        </w:tc>
        <w:tc>
          <w:tcPr>
            <w:tcW w:type="dxa" w:w="3485"/>
            <w:vAlign w:val="center"/>
          </w:tcPr>
          <w:p>
            <w:pPr>
              <w:jc w:val="center"/>
            </w:pPr>
            <w:r/>
            <w:r>
              <w:rPr>
                <w:b w:val="0"/>
                <w:sz w:val="14"/>
              </w:rPr>
              <w:t>Geopolitical &amp; Policy Risk</w:t>
            </w:r>
          </w:p>
        </w:tc>
        <w:tc>
          <w:tcPr>
            <w:tcW w:type="dxa" w:w="3485"/>
            <w:vAlign w:val="center"/>
          </w:tcPr>
          <w:p>
            <w:pPr>
              <w:jc w:val="center"/>
            </w:pPr>
            <w:r/>
            <w:r>
              <w:rPr>
                <w:b w:val="0"/>
                <w:sz w:val="14"/>
              </w:rPr>
              <w:t>115–118</w:t>
            </w:r>
          </w:p>
        </w:tc>
      </w:tr>
      <w:tr>
        <w:tc>
          <w:tcPr>
            <w:tcW w:type="dxa" w:w="3485"/>
            <w:vAlign w:val="center"/>
          </w:tcPr>
          <w:p>
            <w:pPr>
              <w:jc w:val="center"/>
            </w:pPr>
            <w:r/>
            <w:r>
              <w:rPr>
                <w:b w:val="0"/>
                <w:sz w:val="14"/>
              </w:rPr>
              <w:t>27</w:t>
            </w:r>
          </w:p>
        </w:tc>
        <w:tc>
          <w:tcPr>
            <w:tcW w:type="dxa" w:w="3485"/>
            <w:vAlign w:val="center"/>
          </w:tcPr>
          <w:p>
            <w:pPr>
              <w:jc w:val="center"/>
            </w:pPr>
            <w:r/>
            <w:r>
              <w:rPr>
                <w:b w:val="0"/>
                <w:sz w:val="14"/>
              </w:rPr>
              <w:t>China Country Risk Intelligence</w:t>
            </w:r>
          </w:p>
        </w:tc>
        <w:tc>
          <w:tcPr>
            <w:tcW w:type="dxa" w:w="3485"/>
            <w:vAlign w:val="center"/>
          </w:tcPr>
          <w:p>
            <w:pPr>
              <w:jc w:val="center"/>
            </w:pPr>
            <w:r/>
            <w:r>
              <w:rPr>
                <w:b w:val="0"/>
                <w:sz w:val="14"/>
              </w:rPr>
              <w:t>119–123</w:t>
            </w:r>
          </w:p>
        </w:tc>
      </w:tr>
      <w:tr>
        <w:tc>
          <w:tcPr>
            <w:tcW w:type="dxa" w:w="3485"/>
            <w:vAlign w:val="center"/>
          </w:tcPr>
          <w:p>
            <w:pPr>
              <w:jc w:val="center"/>
            </w:pPr>
            <w:r/>
            <w:r>
              <w:rPr>
                <w:b w:val="0"/>
                <w:sz w:val="14"/>
              </w:rPr>
              <w:t>28</w:t>
            </w:r>
          </w:p>
        </w:tc>
        <w:tc>
          <w:tcPr>
            <w:tcW w:type="dxa" w:w="3485"/>
            <w:vAlign w:val="center"/>
          </w:tcPr>
          <w:p>
            <w:pPr>
              <w:jc w:val="center"/>
            </w:pPr>
            <w:r/>
            <w:r>
              <w:rPr>
                <w:b w:val="0"/>
                <w:sz w:val="14"/>
              </w:rPr>
              <w:t>Macro Transmission Analysis</w:t>
            </w:r>
          </w:p>
        </w:tc>
        <w:tc>
          <w:tcPr>
            <w:tcW w:type="dxa" w:w="3485"/>
            <w:vAlign w:val="center"/>
          </w:tcPr>
          <w:p>
            <w:pPr>
              <w:jc w:val="center"/>
            </w:pPr>
            <w:r/>
            <w:r>
              <w:rPr>
                <w:b w:val="0"/>
                <w:sz w:val="14"/>
              </w:rPr>
              <w:t>124–127</w:t>
            </w:r>
          </w:p>
        </w:tc>
      </w:tr>
      <w:tr>
        <w:tc>
          <w:tcPr>
            <w:tcW w:type="dxa" w:w="3485"/>
            <w:vAlign w:val="center"/>
          </w:tcPr>
          <w:p>
            <w:pPr>
              <w:jc w:val="center"/>
            </w:pPr>
            <w:r/>
            <w:r>
              <w:rPr>
                <w:b w:val="0"/>
                <w:sz w:val="14"/>
              </w:rPr>
              <w:t>29</w:t>
            </w:r>
          </w:p>
        </w:tc>
        <w:tc>
          <w:tcPr>
            <w:tcW w:type="dxa" w:w="3485"/>
            <w:vAlign w:val="center"/>
          </w:tcPr>
          <w:p>
            <w:pPr>
              <w:jc w:val="center"/>
            </w:pPr>
            <w:r/>
            <w:r>
              <w:rPr>
                <w:b w:val="0"/>
                <w:sz w:val="14"/>
              </w:rPr>
              <w:t>Scenario Analysis</w:t>
            </w:r>
          </w:p>
        </w:tc>
        <w:tc>
          <w:tcPr>
            <w:tcW w:type="dxa" w:w="3485"/>
            <w:vAlign w:val="center"/>
          </w:tcPr>
          <w:p>
            <w:pPr>
              <w:jc w:val="center"/>
            </w:pPr>
            <w:r/>
            <w:r>
              <w:rPr>
                <w:b w:val="0"/>
                <w:sz w:val="14"/>
              </w:rPr>
              <w:t>128–132</w:t>
            </w:r>
          </w:p>
        </w:tc>
      </w:tr>
      <w:tr>
        <w:tc>
          <w:tcPr>
            <w:tcW w:type="dxa" w:w="3485"/>
            <w:vAlign w:val="center"/>
          </w:tcPr>
          <w:p>
            <w:pPr>
              <w:jc w:val="center"/>
            </w:pPr>
            <w:r/>
            <w:r>
              <w:rPr>
                <w:b w:val="0"/>
                <w:sz w:val="14"/>
              </w:rPr>
              <w:t>30</w:t>
            </w:r>
          </w:p>
        </w:tc>
        <w:tc>
          <w:tcPr>
            <w:tcW w:type="dxa" w:w="3485"/>
            <w:vAlign w:val="center"/>
          </w:tcPr>
          <w:p>
            <w:pPr>
              <w:jc w:val="center"/>
            </w:pPr>
            <w:r/>
            <w:r>
              <w:rPr>
                <w:b w:val="0"/>
                <w:sz w:val="14"/>
              </w:rPr>
              <w:t>BrandEssence Forecasts</w:t>
            </w:r>
          </w:p>
        </w:tc>
        <w:tc>
          <w:tcPr>
            <w:tcW w:type="dxa" w:w="3485"/>
            <w:vAlign w:val="center"/>
          </w:tcPr>
          <w:p>
            <w:pPr>
              <w:jc w:val="center"/>
            </w:pPr>
            <w:r/>
            <w:r>
              <w:rPr>
                <w:b w:val="0"/>
                <w:sz w:val="14"/>
              </w:rPr>
              <w:t>133–135</w:t>
            </w:r>
          </w:p>
        </w:tc>
      </w:tr>
      <w:tr>
        <w:tc>
          <w:tcPr>
            <w:tcW w:type="dxa" w:w="3485"/>
            <w:vAlign w:val="center"/>
          </w:tcPr>
          <w:p>
            <w:pPr>
              <w:jc w:val="center"/>
            </w:pPr>
            <w:r/>
            <w:r>
              <w:rPr>
                <w:b w:val="0"/>
                <w:sz w:val="14"/>
              </w:rPr>
              <w:t>31</w:t>
            </w:r>
          </w:p>
        </w:tc>
        <w:tc>
          <w:tcPr>
            <w:tcW w:type="dxa" w:w="3485"/>
            <w:vAlign w:val="center"/>
          </w:tcPr>
          <w:p>
            <w:pPr>
              <w:jc w:val="center"/>
            </w:pPr>
            <w:r/>
            <w:r>
              <w:rPr>
                <w:b w:val="0"/>
                <w:sz w:val="14"/>
              </w:rPr>
              <w:t>Business &amp; Investment Implications</w:t>
            </w:r>
          </w:p>
        </w:tc>
        <w:tc>
          <w:tcPr>
            <w:tcW w:type="dxa" w:w="3485"/>
            <w:vAlign w:val="center"/>
          </w:tcPr>
          <w:p>
            <w:pPr>
              <w:jc w:val="center"/>
            </w:pPr>
            <w:r/>
            <w:r>
              <w:rPr>
                <w:b w:val="0"/>
                <w:sz w:val="14"/>
              </w:rPr>
              <w:t>136–139</w:t>
            </w:r>
          </w:p>
        </w:tc>
      </w:tr>
      <w:tr>
        <w:tc>
          <w:tcPr>
            <w:tcW w:type="dxa" w:w="3485"/>
            <w:vAlign w:val="center"/>
          </w:tcPr>
          <w:p>
            <w:pPr>
              <w:jc w:val="center"/>
            </w:pPr>
            <w:r/>
            <w:r>
              <w:rPr>
                <w:b w:val="0"/>
                <w:sz w:val="14"/>
              </w:rPr>
              <w:t>32</w:t>
            </w:r>
          </w:p>
        </w:tc>
        <w:tc>
          <w:tcPr>
            <w:tcW w:type="dxa" w:w="3485"/>
            <w:vAlign w:val="center"/>
          </w:tcPr>
          <w:p>
            <w:pPr>
              <w:jc w:val="center"/>
            </w:pPr>
            <w:r/>
            <w:r>
              <w:rPr>
                <w:b w:val="0"/>
                <w:sz w:val="14"/>
              </w:rPr>
              <w:t>BrandEssence China Macro Risk Scorecard</w:t>
            </w:r>
          </w:p>
        </w:tc>
        <w:tc>
          <w:tcPr>
            <w:tcW w:type="dxa" w:w="3485"/>
            <w:vAlign w:val="center"/>
          </w:tcPr>
          <w:p>
            <w:pPr>
              <w:jc w:val="center"/>
            </w:pPr>
            <w:r/>
            <w:r>
              <w:rPr>
                <w:b w:val="0"/>
                <w:sz w:val="14"/>
              </w:rPr>
              <w:t>140–142</w:t>
            </w:r>
          </w:p>
        </w:tc>
      </w:tr>
      <w:tr>
        <w:tc>
          <w:tcPr>
            <w:tcW w:type="dxa" w:w="3485"/>
            <w:vAlign w:val="center"/>
          </w:tcPr>
          <w:p>
            <w:pPr>
              <w:jc w:val="center"/>
            </w:pPr>
            <w:r/>
            <w:r>
              <w:rPr>
                <w:b w:val="0"/>
                <w:sz w:val="14"/>
              </w:rPr>
              <w:t>33</w:t>
            </w:r>
          </w:p>
        </w:tc>
        <w:tc>
          <w:tcPr>
            <w:tcW w:type="dxa" w:w="3485"/>
            <w:vAlign w:val="center"/>
          </w:tcPr>
          <w:p>
            <w:pPr>
              <w:jc w:val="center"/>
            </w:pPr>
            <w:r/>
            <w:r>
              <w:rPr>
                <w:b w:val="0"/>
                <w:sz w:val="14"/>
              </w:rPr>
              <w:t>Conclusion &amp; Macro Watchlist</w:t>
            </w:r>
          </w:p>
        </w:tc>
        <w:tc>
          <w:tcPr>
            <w:tcW w:type="dxa" w:w="3485"/>
            <w:vAlign w:val="center"/>
          </w:tcPr>
          <w:p>
            <w:pPr>
              <w:jc w:val="center"/>
            </w:pPr>
            <w:r/>
            <w:r>
              <w:rPr>
                <w:b w:val="0"/>
                <w:sz w:val="14"/>
              </w:rPr>
              <w:t>143–144</w:t>
            </w:r>
          </w:p>
        </w:tc>
      </w:tr>
      <w:tr>
        <w:tc>
          <w:tcPr>
            <w:tcW w:type="dxa" w:w="3485"/>
            <w:vAlign w:val="center"/>
          </w:tcPr>
          <w:p>
            <w:pPr>
              <w:jc w:val="center"/>
            </w:pPr>
            <w:r/>
            <w:r>
              <w:rPr>
                <w:b w:val="0"/>
                <w:sz w:val="14"/>
              </w:rPr>
              <w:t>34</w:t>
            </w:r>
          </w:p>
        </w:tc>
        <w:tc>
          <w:tcPr>
            <w:tcW w:type="dxa" w:w="3485"/>
            <w:vAlign w:val="center"/>
          </w:tcPr>
          <w:p>
            <w:pPr>
              <w:jc w:val="center"/>
            </w:pPr>
            <w:r/>
            <w:r>
              <w:rPr>
                <w:b w:val="0"/>
                <w:sz w:val="14"/>
              </w:rPr>
              <w:t>Statistical Annexure</w:t>
            </w:r>
          </w:p>
        </w:tc>
        <w:tc>
          <w:tcPr>
            <w:tcW w:type="dxa" w:w="3485"/>
            <w:vAlign w:val="center"/>
          </w:tcPr>
          <w:p>
            <w:pPr>
              <w:jc w:val="center"/>
            </w:pPr>
            <w:r/>
            <w:r>
              <w:rPr>
                <w:b w:val="0"/>
                <w:sz w:val="14"/>
              </w:rPr>
              <w:t>145–155</w:t>
            </w:r>
          </w:p>
        </w:tc>
      </w:tr>
    </w:tbl>
    <w:p>
      <w:r>
        <w:br w:type="page"/>
      </w:r>
    </w:p>
    <w:p>
      <w:r>
        <w:rPr>
          <w:b/>
          <w:color w:val="595959"/>
          <w:sz w:val="16"/>
        </w:rPr>
        <w:t>CHAPTER 02  /  PAGE 004  /  EXECUTIVE SUMMARY — CHINA IN ONE VIEW</w:t>
      </w:r>
    </w:p>
    <w:p>
      <w:pPr>
        <w:pStyle w:val="Title"/>
      </w:pPr>
      <w:r>
        <w:t>Executive Summary — China in One View</w:t>
      </w:r>
    </w:p>
    <w:p>
      <w:pPr>
        <w:spacing w:after="100" w:line="252" w:lineRule="auto"/>
      </w:pPr>
      <w:r>
        <w:t>China’s macro picture combines resilience in headline growth and industrial capability with persistent domestic-demand, property, debt and demographic challenges. Real GDP growth in the master series was about 4.96% in 2025, while core CPI was 0.70%, headline CPI 0.10%, private investment growth -6.40%, and the current-account balance 3.77% of GDP.</w:t>
      </w:r>
    </w:p>
    <w:p>
      <w:pPr>
        <w:pStyle w:val="ListBullet"/>
        <w:spacing w:after="40"/>
      </w:pPr>
      <w:r>
        <w:t>Growth is increasingly dependent on the balance between domestic-demand repair and export/advanced-manufacturing strength.</w:t>
      </w:r>
    </w:p>
    <w:p>
      <w:pPr>
        <w:pStyle w:val="ListBullet"/>
        <w:spacing w:after="40"/>
      </w:pPr>
      <w:r>
        <w:t>Low inflation remains a signal of slack and weak pricing power, not simply a favorable cost development.</w:t>
      </w:r>
    </w:p>
    <w:p>
      <w:pPr>
        <w:pStyle w:val="ListBullet"/>
        <w:spacing w:after="40"/>
      </w:pPr>
      <w:r>
        <w:t>Property weakness transmits through construction, household confidence, local-government land revenue, banks and LGFVs.</w:t>
      </w:r>
    </w:p>
    <w:p>
      <w:pPr>
        <w:pStyle w:val="ListBullet"/>
        <w:spacing w:after="40"/>
      </w:pPr>
      <w:r>
        <w:t>Policy rates have declined, but the effectiveness of easing depends on credit demand and confidence.</w:t>
      </w:r>
    </w:p>
    <w:p>
      <w:pPr>
        <w:pStyle w:val="ListBullet"/>
        <w:spacing w:after="40"/>
      </w:pPr>
      <w:r>
        <w:t>R&amp;D intensity and labor productivity remain important offsets to demographic drag.</w:t>
      </w:r>
    </w:p>
    <w:p>
      <w:pPr>
        <w:jc w:val="center"/>
      </w:pPr>
      <w:r>
        <w:drawing>
          <wp:inline xmlns:a="http://schemas.openxmlformats.org/drawingml/2006/main" xmlns:pic="http://schemas.openxmlformats.org/drawingml/2006/picture">
            <wp:extent cx="7040880" cy="2999157"/>
            <wp:docPr id="1" name="Picture 1"/>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7040880" cy="2999157"/>
                    </a:xfrm>
                    <a:prstGeom prst="rect"/>
                  </pic:spPr>
                </pic:pic>
              </a:graphicData>
            </a:graphic>
          </wp:inline>
        </w:drawing>
      </w:r>
    </w:p>
    <w:p>
      <w:r>
        <w:br w:type="page"/>
      </w:r>
    </w:p>
    <w:p>
      <w:r>
        <w:rPr>
          <w:b/>
          <w:color w:val="595959"/>
          <w:sz w:val="16"/>
        </w:rPr>
        <w:t>CHAPTER 02  /  PAGE 005  /  15 KEY MACRO MESSAGES</w:t>
      </w:r>
    </w:p>
    <w:p>
      <w:pPr>
        <w:pStyle w:val="Title"/>
      </w:pPr>
      <w:r>
        <w:t>15 Key Macro Messages</w:t>
      </w:r>
    </w:p>
    <w:p>
      <w:pPr>
        <w:pStyle w:val="ListBullet"/>
        <w:spacing w:after="40"/>
      </w:pPr>
      <w:r>
        <w:t>2025 real GDP growth remained near 5% in the master series.</w:t>
      </w:r>
    </w:p>
    <w:p>
      <w:pPr>
        <w:pStyle w:val="ListBullet"/>
        <w:spacing w:after="40"/>
      </w:pPr>
      <w:r>
        <w:t>Private investment weakened sharply, increasing reliance on policy and public-sector support.</w:t>
      </w:r>
    </w:p>
    <w:p>
      <w:pPr>
        <w:pStyle w:val="ListBullet"/>
        <w:spacing w:after="40"/>
      </w:pPr>
      <w:r>
        <w:t>Core inflation stayed subdued, while producer-price weakness pointed to soft pricing power.</w:t>
      </w:r>
    </w:p>
    <w:p>
      <w:pPr>
        <w:pStyle w:val="ListBullet"/>
        <w:spacing w:after="40"/>
      </w:pPr>
      <w:r>
        <w:t>The policy-rate trend continued downward through 2025.</w:t>
      </w:r>
    </w:p>
    <w:p>
      <w:pPr>
        <w:pStyle w:val="ListBullet"/>
        <w:spacing w:after="40"/>
      </w:pPr>
      <w:r>
        <w:t>Credit growth stabilized at a lower rate than in the mid-2010s.</w:t>
      </w:r>
    </w:p>
    <w:p>
      <w:pPr>
        <w:pStyle w:val="ListBullet"/>
        <w:spacing w:after="40"/>
      </w:pPr>
      <w:r>
        <w:t>Government debt/GDP rose materially in the master series.</w:t>
      </w:r>
    </w:p>
    <w:p>
      <w:pPr>
        <w:pStyle w:val="ListBullet"/>
        <w:spacing w:after="40"/>
      </w:pPr>
      <w:r>
        <w:t>Interest expense relative to revenue continued to increase.</w:t>
      </w:r>
    </w:p>
    <w:p>
      <w:pPr>
        <w:pStyle w:val="ListBullet"/>
        <w:spacing w:after="40"/>
      </w:pPr>
      <w:r>
        <w:t>The current-account surplus widened in 2025.</w:t>
      </w:r>
    </w:p>
    <w:p>
      <w:pPr>
        <w:pStyle w:val="ListBullet"/>
        <w:spacing w:after="40"/>
      </w:pPr>
      <w:r>
        <w:t>Inward FDI/GDP remained weak relative to the mid-2010s.</w:t>
      </w:r>
    </w:p>
    <w:p>
      <w:pPr>
        <w:pStyle w:val="ListBullet"/>
        <w:spacing w:after="40"/>
      </w:pPr>
      <w:r>
        <w:t>REER change was negative in 2025, supporting competitiveness but reflecting currency pressure.</w:t>
      </w:r>
    </w:p>
    <w:p>
      <w:pPr>
        <w:pStyle w:val="ListBullet"/>
        <w:spacing w:after="40"/>
      </w:pPr>
      <w:r>
        <w:t>Labor-force participation continued its longer-run decline.</w:t>
      </w:r>
    </w:p>
    <w:p>
      <w:pPr>
        <w:pStyle w:val="ListBullet"/>
        <w:spacing w:after="40"/>
      </w:pPr>
      <w:r>
        <w:t>Real wage growth improved in 2025 from 2024 in the master series.</w:t>
      </w:r>
    </w:p>
    <w:p>
      <w:pPr>
        <w:pStyle w:val="ListBullet"/>
        <w:spacing w:after="40"/>
      </w:pPr>
      <w:r>
        <w:t>Working-age population growth remained negative.</w:t>
      </w:r>
    </w:p>
    <w:p>
      <w:pPr>
        <w:pStyle w:val="ListBullet"/>
        <w:spacing w:after="40"/>
      </w:pPr>
      <w:r>
        <w:t>R&amp;D/GDP continued to rise.</w:t>
      </w:r>
    </w:p>
    <w:p>
      <w:pPr>
        <w:pStyle w:val="ListBullet"/>
        <w:spacing w:after="40"/>
      </w:pPr>
      <w:r>
        <w:t>Economic policy uncertainty rebounded sharply in 2025.</w:t>
      </w:r>
    </w:p>
    <w:p>
      <w:r>
        <w:br w:type="page"/>
      </w:r>
    </w:p>
    <w:p>
      <w:r>
        <w:rPr>
          <w:b/>
          <w:color w:val="595959"/>
          <w:sz w:val="16"/>
        </w:rPr>
        <w:t>CHAPTER 02  /  PAGE 006  /  WHAT MATTERS FOR 2027?</w:t>
      </w:r>
    </w:p>
    <w:p>
      <w:pPr>
        <w:pStyle w:val="Title"/>
      </w:pPr>
      <w:r>
        <w:t>What Matters for 2027?</w:t>
      </w:r>
    </w:p>
    <w:p>
      <w:pPr>
        <w:pStyle w:val="ListBullet"/>
        <w:spacing w:after="40"/>
      </w:pPr>
      <w:r>
        <w:t>Whether consumption becomes a more durable growth engine.</w:t>
      </w:r>
    </w:p>
    <w:p>
      <w:pPr>
        <w:pStyle w:val="ListBullet"/>
        <w:spacing w:after="40"/>
      </w:pPr>
      <w:r>
        <w:t>Whether property sales and investment stabilize without a renewed leverage cycle.</w:t>
      </w:r>
    </w:p>
    <w:p>
      <w:pPr>
        <w:pStyle w:val="ListBullet"/>
        <w:spacing w:after="40"/>
      </w:pPr>
      <w:r>
        <w:t>Whether local-government and LGFV refinancing pressures become more manageable.</w:t>
      </w:r>
    </w:p>
    <w:p>
      <w:pPr>
        <w:pStyle w:val="ListBullet"/>
        <w:spacing w:after="40"/>
      </w:pPr>
      <w:r>
        <w:t>Whether low inflation and negative producer-price pressure fade.</w:t>
      </w:r>
    </w:p>
    <w:p>
      <w:pPr>
        <w:pStyle w:val="ListBullet"/>
        <w:spacing w:after="40"/>
      </w:pPr>
      <w:r>
        <w:t>Whether private investment recovers alongside policy support.</w:t>
      </w:r>
    </w:p>
    <w:p>
      <w:pPr>
        <w:pStyle w:val="ListBullet"/>
        <w:spacing w:after="40"/>
      </w:pPr>
      <w:r>
        <w:t>Whether export strength remains resilient amid trade restrictions and external uncertainty.</w:t>
      </w:r>
    </w:p>
    <w:p>
      <w:pPr>
        <w:pStyle w:val="ListBullet"/>
        <w:spacing w:after="40"/>
      </w:pPr>
      <w:r>
        <w:t>Whether productivity gains from AI, advanced manufacturing and R&amp;D offset demographic drag.</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03  /  PAGE 007  /  CHINA MACRO DASHBOARD</w:t>
      </w:r>
    </w:p>
    <w:p>
      <w:pPr>
        <w:pStyle w:val="Title"/>
      </w:pPr>
      <w:r>
        <w:t>China Macro Dashboard</w:t>
      </w:r>
    </w:p>
    <w:p>
      <w:pPr>
        <w:jc w:val="center"/>
      </w:pPr>
      <w:r>
        <w:drawing>
          <wp:inline xmlns:a="http://schemas.openxmlformats.org/drawingml/2006/main" xmlns:pic="http://schemas.openxmlformats.org/drawingml/2006/picture">
            <wp:extent cx="7315200" cy="4462392"/>
            <wp:docPr id="2" name="Picture 2"/>
            <wp:cNvGraphicFramePr>
              <a:graphicFrameLocks noChangeAspect="1"/>
            </wp:cNvGraphicFramePr>
            <a:graphic>
              <a:graphicData uri="http://schemas.openxmlformats.org/drawingml/2006/picture">
                <pic:pic>
                  <pic:nvPicPr>
                    <pic:cNvPr id="0" name="Screenshot 2026-09-28 123451.png"/>
                    <pic:cNvPicPr/>
                  </pic:nvPicPr>
                  <pic:blipFill>
                    <a:blip r:embed="rId11"/>
                    <a:stretch>
                      <a:fillRect/>
                    </a:stretch>
                  </pic:blipFill>
                  <pic:spPr>
                    <a:xfrm>
                      <a:off x="0" y="0"/>
                      <a:ext cx="7315200" cy="4462392"/>
                    </a:xfrm>
                    <a:prstGeom prst="rect"/>
                  </pic:spPr>
                </pic:pic>
              </a:graphicData>
            </a:graphic>
          </wp:inline>
        </w:drawing>
      </w:r>
    </w:p>
    <w:p>
      <w:pPr>
        <w:spacing w:after="100" w:line="252" w:lineRule="auto"/>
      </w:pPr>
      <w:r>
        <w:t>Executive dashboard | 2015–2025. The dashboard consolidates growth, inflation, fiscal, structural-risk, external, monetary/financial and labor indicators into one management view.</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China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Unemployment Rate (%)</w:t>
            </w:r>
          </w:p>
        </w:tc>
        <w:tc>
          <w:tcPr>
            <w:tcW w:type="dxa" w:w="3485"/>
            <w:vAlign w:val="center"/>
          </w:tcPr>
          <w:p>
            <w:pPr>
              <w:jc w:val="center"/>
            </w:pPr>
            <w:r/>
            <w:r>
              <w:rPr>
                <w:b w:val="0"/>
                <w:sz w:val="14"/>
              </w:rPr>
              <w:t>4.60</w:t>
            </w:r>
          </w:p>
        </w:tc>
        <w:tc>
          <w:tcPr>
            <w:tcW w:type="dxa" w:w="3485"/>
            <w:vAlign w:val="center"/>
          </w:tcPr>
          <w:p>
            <w:pPr>
              <w:jc w:val="center"/>
            </w:pPr>
            <w:r/>
            <w:r>
              <w:rPr>
                <w:b w:val="0"/>
                <w:sz w:val="14"/>
              </w:rPr>
              <w:t>+0.03</w:t>
            </w:r>
          </w:p>
        </w:tc>
      </w:tr>
    </w:tbl>
    <w:p>
      <w:r>
        <w:br w:type="page"/>
      </w:r>
    </w:p>
    <w:p>
      <w:r>
        <w:rPr>
          <w:b/>
          <w:color w:val="595959"/>
          <w:sz w:val="16"/>
        </w:rPr>
        <w:t>CHAPTER 04  /  PAGE 008  /  BRANDESSENCE CHINA MACRO VIEW</w:t>
      </w:r>
    </w:p>
    <w:p>
      <w:pPr>
        <w:pStyle w:val="Title"/>
      </w:pPr>
      <w:r>
        <w:t>BrandEssence China Macro View</w:t>
      </w:r>
    </w:p>
    <w:p>
      <w:pPr>
        <w:spacing w:after="100" w:line="252" w:lineRule="auto"/>
      </w:pPr>
      <w:r>
        <w:t>BrandEssence China Macro View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05  /  PAGE 009  /  GLOBAL GROWTH CONTEXT</w:t>
      </w:r>
    </w:p>
    <w:p>
      <w:pPr>
        <w:pStyle w:val="Title"/>
      </w:pPr>
      <w:r>
        <w:t>Global Growth Context</w:t>
      </w:r>
    </w:p>
    <w:p>
      <w:pPr>
        <w:spacing w:after="100" w:line="252" w:lineRule="auto"/>
      </w:pPr>
      <w:r>
        <w:t>Global Growth Context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 name="Picture 3"/>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05  /  PAGE 010  /  CHINA IN GLOBAL GROWTH</w:t>
      </w:r>
    </w:p>
    <w:p>
      <w:pPr>
        <w:pStyle w:val="Title"/>
      </w:pPr>
      <w:r>
        <w:t>China in Global Growth</w:t>
      </w:r>
    </w:p>
    <w:p>
      <w:pPr>
        <w:spacing w:after="100" w:line="252" w:lineRule="auto"/>
      </w:pPr>
      <w:r>
        <w:t>China in Global Growth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Output Gap (% Potential GDP)</w:t>
            </w:r>
          </w:p>
        </w:tc>
        <w:tc>
          <w:tcPr>
            <w:tcW w:type="dxa" w:w="3485"/>
            <w:vAlign w:val="center"/>
          </w:tcPr>
          <w:p>
            <w:pPr>
              <w:jc w:val="center"/>
            </w:pPr>
            <w:r/>
            <w:r>
              <w:rPr>
                <w:b w:val="0"/>
                <w:sz w:val="14"/>
              </w:rPr>
              <w:t>-1.00</w:t>
            </w:r>
          </w:p>
        </w:tc>
        <w:tc>
          <w:tcPr>
            <w:tcW w:type="dxa" w:w="3485"/>
            <w:vAlign w:val="center"/>
          </w:tcPr>
          <w:p>
            <w:pPr>
              <w:jc w:val="center"/>
            </w:pPr>
            <w:r/>
            <w:r>
              <w:rPr>
                <w:b w:val="0"/>
                <w:sz w:val="14"/>
              </w:rPr>
              <w:t>+0.60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05  /  PAGE 011  /  GLOBAL TRADE &amp; TECHNOLOGY CYCLE</w:t>
      </w:r>
    </w:p>
    <w:p>
      <w:pPr>
        <w:pStyle w:val="Title"/>
      </w:pPr>
      <w:r>
        <w:t>Global Trade &amp; Technology Cycle</w:t>
      </w:r>
    </w:p>
    <w:p>
      <w:pPr>
        <w:spacing w:after="100" w:line="252" w:lineRule="auto"/>
      </w:pPr>
      <w:r>
        <w:t>Global Trade &amp; Technology Cycle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Output Gap (% Potential GDP)</w:t>
            </w:r>
          </w:p>
        </w:tc>
        <w:tc>
          <w:tcPr>
            <w:tcW w:type="dxa" w:w="3485"/>
            <w:vAlign w:val="center"/>
          </w:tcPr>
          <w:p>
            <w:pPr>
              <w:jc w:val="center"/>
            </w:pPr>
            <w:r/>
            <w:r>
              <w:rPr>
                <w:b w:val="0"/>
                <w:sz w:val="14"/>
              </w:rPr>
              <w:t>-1.00</w:t>
            </w:r>
          </w:p>
        </w:tc>
        <w:tc>
          <w:tcPr>
            <w:tcW w:type="dxa" w:w="3485"/>
            <w:vAlign w:val="center"/>
          </w:tcPr>
          <w:p>
            <w:pPr>
              <w:jc w:val="center"/>
            </w:pPr>
            <w:r/>
            <w:r>
              <w:rPr>
                <w:b w:val="0"/>
                <w:sz w:val="14"/>
              </w:rPr>
              <w:t>+0.60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05  /  PAGE 012  /  EXTERNAL RISKS TO CHINA</w:t>
      </w:r>
    </w:p>
    <w:p>
      <w:pPr>
        <w:pStyle w:val="Title"/>
      </w:pPr>
      <w:r>
        <w:t>External Risks to China</w:t>
      </w:r>
    </w:p>
    <w:p>
      <w:pPr>
        <w:spacing w:after="100" w:line="252" w:lineRule="auto"/>
      </w:pPr>
      <w:r>
        <w:t>External Risks to China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4" name="Picture 4"/>
            <wp:cNvGraphicFramePr>
              <a:graphicFrameLocks noChangeAspect="1"/>
            </wp:cNvGraphicFramePr>
            <a:graphic>
              <a:graphicData uri="http://schemas.openxmlformats.org/drawingml/2006/picture">
                <pic:pic>
                  <pic:nvPicPr>
                    <pic:cNvPr id="0" name="external.png"/>
                    <pic:cNvPicPr/>
                  </pic:nvPicPr>
                  <pic:blipFill>
                    <a:blip r:embed="rId12"/>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06  /  PAGE 013  /  REAL GDP GROWTH</w:t>
      </w:r>
    </w:p>
    <w:p>
      <w:pPr>
        <w:pStyle w:val="Title"/>
      </w:pPr>
      <w:r>
        <w:t>Real GDP Growth</w:t>
      </w:r>
    </w:p>
    <w:p>
      <w:pPr>
        <w:spacing w:after="100" w:line="252" w:lineRule="auto"/>
      </w:pPr>
      <w:r>
        <w:t>Real GDP Growth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Output Gap (% Potential GDP)</w:t>
            </w:r>
          </w:p>
        </w:tc>
        <w:tc>
          <w:tcPr>
            <w:tcW w:type="dxa" w:w="3485"/>
            <w:vAlign w:val="center"/>
          </w:tcPr>
          <w:p>
            <w:pPr>
              <w:jc w:val="center"/>
            </w:pPr>
            <w:r/>
            <w:r>
              <w:rPr>
                <w:b w:val="0"/>
                <w:sz w:val="14"/>
              </w:rPr>
              <w:t>-1.00</w:t>
            </w:r>
          </w:p>
        </w:tc>
        <w:tc>
          <w:tcPr>
            <w:tcW w:type="dxa" w:w="3485"/>
            <w:vAlign w:val="center"/>
          </w:tcPr>
          <w:p>
            <w:pPr>
              <w:jc w:val="center"/>
            </w:pPr>
            <w:r/>
            <w:r>
              <w:rPr>
                <w:b w:val="0"/>
                <w:sz w:val="14"/>
              </w:rPr>
              <w:t>+0.60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06  /  PAGE 014  /  GROWTH DECOMPOSITION</w:t>
      </w:r>
    </w:p>
    <w:p>
      <w:pPr>
        <w:pStyle w:val="Title"/>
      </w:pPr>
      <w:r>
        <w:t>Growth Decomposition</w:t>
      </w:r>
    </w:p>
    <w:p>
      <w:pPr>
        <w:spacing w:after="100" w:line="252" w:lineRule="auto"/>
      </w:pPr>
      <w:r>
        <w:t>Growth Decomposition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Output Gap (% Potential GDP)</w:t>
            </w:r>
          </w:p>
        </w:tc>
        <w:tc>
          <w:tcPr>
            <w:tcW w:type="dxa" w:w="3485"/>
            <w:vAlign w:val="center"/>
          </w:tcPr>
          <w:p>
            <w:pPr>
              <w:jc w:val="center"/>
            </w:pPr>
            <w:r/>
            <w:r>
              <w:rPr>
                <w:b w:val="0"/>
                <w:sz w:val="14"/>
              </w:rPr>
              <w:t>-1.00</w:t>
            </w:r>
          </w:p>
        </w:tc>
        <w:tc>
          <w:tcPr>
            <w:tcW w:type="dxa" w:w="3485"/>
            <w:vAlign w:val="center"/>
          </w:tcPr>
          <w:p>
            <w:pPr>
              <w:jc w:val="center"/>
            </w:pPr>
            <w:r/>
            <w:r>
              <w:rPr>
                <w:b w:val="0"/>
                <w:sz w:val="14"/>
              </w:rPr>
              <w:t>+0.60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06  /  PAGE 015  /  POTENTIAL GROWTH &amp; OUTPUT GAP</w:t>
      </w:r>
    </w:p>
    <w:p>
      <w:pPr>
        <w:pStyle w:val="Title"/>
      </w:pPr>
      <w:r>
        <w:t>Potential Growth &amp; Output Gap</w:t>
      </w:r>
    </w:p>
    <w:p>
      <w:pPr>
        <w:spacing w:after="100" w:line="252" w:lineRule="auto"/>
      </w:pPr>
      <w:r>
        <w:t>Potential Growth &amp; Output Gap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5" name="Picture 5"/>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06  /  PAGE 016  /  GDP PER CAPITA &amp; LIVING STANDARDS</w:t>
      </w:r>
    </w:p>
    <w:p>
      <w:pPr>
        <w:pStyle w:val="Title"/>
      </w:pPr>
      <w:r>
        <w:t>GDP per Capita &amp; Living Standards</w:t>
      </w:r>
    </w:p>
    <w:p>
      <w:pPr>
        <w:spacing w:after="100" w:line="252" w:lineRule="auto"/>
      </w:pPr>
      <w:r>
        <w:t>GDP per Capita &amp; Living Standards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Output Gap (% Potential GDP)</w:t>
            </w:r>
          </w:p>
        </w:tc>
        <w:tc>
          <w:tcPr>
            <w:tcW w:type="dxa" w:w="3485"/>
            <w:vAlign w:val="center"/>
          </w:tcPr>
          <w:p>
            <w:pPr>
              <w:jc w:val="center"/>
            </w:pPr>
            <w:r/>
            <w:r>
              <w:rPr>
                <w:b w:val="0"/>
                <w:sz w:val="14"/>
              </w:rPr>
              <w:t>-1.00</w:t>
            </w:r>
          </w:p>
        </w:tc>
        <w:tc>
          <w:tcPr>
            <w:tcW w:type="dxa" w:w="3485"/>
            <w:vAlign w:val="center"/>
          </w:tcPr>
          <w:p>
            <w:pPr>
              <w:jc w:val="center"/>
            </w:pPr>
            <w:r/>
            <w:r>
              <w:rPr>
                <w:b w:val="0"/>
                <w:sz w:val="14"/>
              </w:rPr>
              <w:t>+0.60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06  /  PAGE 017  /  GROWTH QUALITY</w:t>
      </w:r>
    </w:p>
    <w:p>
      <w:pPr>
        <w:pStyle w:val="Title"/>
      </w:pPr>
      <w:r>
        <w:t>Growth Quality</w:t>
      </w:r>
    </w:p>
    <w:p>
      <w:pPr>
        <w:spacing w:after="100" w:line="252" w:lineRule="auto"/>
      </w:pPr>
      <w:r>
        <w:t>Growth Quality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Output Gap (% Potential GDP)</w:t>
            </w:r>
          </w:p>
        </w:tc>
        <w:tc>
          <w:tcPr>
            <w:tcW w:type="dxa" w:w="3485"/>
            <w:vAlign w:val="center"/>
          </w:tcPr>
          <w:p>
            <w:pPr>
              <w:jc w:val="center"/>
            </w:pPr>
            <w:r/>
            <w:r>
              <w:rPr>
                <w:b w:val="0"/>
                <w:sz w:val="14"/>
              </w:rPr>
              <w:t>-1.00</w:t>
            </w:r>
          </w:p>
        </w:tc>
        <w:tc>
          <w:tcPr>
            <w:tcW w:type="dxa" w:w="3485"/>
            <w:vAlign w:val="center"/>
          </w:tcPr>
          <w:p>
            <w:pPr>
              <w:jc w:val="center"/>
            </w:pPr>
            <w:r/>
            <w:r>
              <w:rPr>
                <w:b w:val="0"/>
                <w:sz w:val="14"/>
              </w:rPr>
              <w:t>+0.60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06  /  PAGE 018  /  GROWTH OUTLOOK</w:t>
      </w:r>
    </w:p>
    <w:p>
      <w:pPr>
        <w:pStyle w:val="Title"/>
      </w:pPr>
      <w:r>
        <w:t>Growth Outlook</w:t>
      </w:r>
    </w:p>
    <w:p>
      <w:pPr>
        <w:spacing w:after="100" w:line="252" w:lineRule="auto"/>
      </w:pPr>
      <w:r>
        <w:t>Growth Outlook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6" name="Picture 6"/>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07  /  PAGE 019  /  HOUSEHOLD CONSUMPTION</w:t>
      </w:r>
    </w:p>
    <w:p>
      <w:pPr>
        <w:pStyle w:val="Title"/>
      </w:pPr>
      <w:r>
        <w:t>Household Consumption</w:t>
      </w:r>
    </w:p>
    <w:p>
      <w:pPr>
        <w:spacing w:after="100" w:line="252" w:lineRule="auto"/>
      </w:pPr>
      <w:r>
        <w:t>Household Consumption should be interpreted within China’s broader transition from property- and debt-intensive growth toward a more technology- and manufacturing-led model. In the master series, Private Investment Growth was -6.40 in 2025 (-6.30 versus 2024); Real Consumption Growth was 4.60 in 2025 (+0.70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Real Consumption Growth (%)</w:t>
            </w:r>
          </w:p>
        </w:tc>
        <w:tc>
          <w:tcPr>
            <w:tcW w:type="dxa" w:w="3485"/>
            <w:vAlign w:val="center"/>
          </w:tcPr>
          <w:p>
            <w:pPr>
              <w:jc w:val="center"/>
            </w:pPr>
            <w:r/>
            <w:r>
              <w:rPr>
                <w:b w:val="0"/>
                <w:sz w:val="14"/>
              </w:rPr>
              <w:t>4.60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07  /  PAGE 020  /  RETAIL SALES &amp; SERVICES CONSUMPTION</w:t>
      </w:r>
    </w:p>
    <w:p>
      <w:pPr>
        <w:pStyle w:val="Title"/>
      </w:pPr>
      <w:r>
        <w:t>Retail Sales &amp; Services Consumption</w:t>
      </w:r>
    </w:p>
    <w:p>
      <w:pPr>
        <w:spacing w:after="100" w:line="252" w:lineRule="auto"/>
      </w:pPr>
      <w:r>
        <w:t>Retail Sales &amp; Services Consumption should be interpreted within China’s broader transition from property- and debt-intensive growth toward a more technology- and manufacturing-led model. In the master series, Private Investment Growth was -6.40 in 2025 (-6.30 versus 2024); Real Consumption Growth was 4.60 in 2025 (+0.70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Real Consumption Growth (%)</w:t>
            </w:r>
          </w:p>
        </w:tc>
        <w:tc>
          <w:tcPr>
            <w:tcW w:type="dxa" w:w="3485"/>
            <w:vAlign w:val="center"/>
          </w:tcPr>
          <w:p>
            <w:pPr>
              <w:jc w:val="center"/>
            </w:pPr>
            <w:r/>
            <w:r>
              <w:rPr>
                <w:b w:val="0"/>
                <w:sz w:val="14"/>
              </w:rPr>
              <w:t>4.60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07  /  PAGE 021  /  CONSUMER CONFIDENCE &amp; PRECAUTIONARY SAVING</w:t>
      </w:r>
    </w:p>
    <w:p>
      <w:pPr>
        <w:pStyle w:val="Title"/>
      </w:pPr>
      <w:r>
        <w:t>Consumer Confidence &amp; Precautionary Saving</w:t>
      </w:r>
    </w:p>
    <w:p>
      <w:pPr>
        <w:spacing w:after="100" w:line="252" w:lineRule="auto"/>
      </w:pPr>
      <w:r>
        <w:t>Consumer Confidence &amp; Precautionary Saving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7" name="Picture 7"/>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07  /  PAGE 022  /  INCOME &amp; CONSUMPTION TRANSMISSION</w:t>
      </w:r>
    </w:p>
    <w:p>
      <w:pPr>
        <w:pStyle w:val="Title"/>
      </w:pPr>
      <w:r>
        <w:t>Income &amp; Consumption Transmission</w:t>
      </w:r>
    </w:p>
    <w:p>
      <w:pPr>
        <w:spacing w:after="100" w:line="252" w:lineRule="auto"/>
      </w:pPr>
      <w:r>
        <w:t>Income &amp; Consumption Transmission should be interpreted within China’s broader transition from property- and debt-intensive growth toward a more technology- and manufacturing-led model. In the master series, Private Investment Growth was -6.40 in 2025 (-6.30 versus 2024); Real Consumption Growth was 4.60 in 2025 (+0.70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Real Consumption Growth (%)</w:t>
            </w:r>
          </w:p>
        </w:tc>
        <w:tc>
          <w:tcPr>
            <w:tcW w:type="dxa" w:w="3485"/>
            <w:vAlign w:val="center"/>
          </w:tcPr>
          <w:p>
            <w:pPr>
              <w:jc w:val="center"/>
            </w:pPr>
            <w:r/>
            <w:r>
              <w:rPr>
                <w:b w:val="0"/>
                <w:sz w:val="14"/>
              </w:rPr>
              <w:t>4.60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07  /  PAGE 023  /  CONSUMPTION OUTLOOK</w:t>
      </w:r>
    </w:p>
    <w:p>
      <w:pPr>
        <w:pStyle w:val="Title"/>
      </w:pPr>
      <w:r>
        <w:t>Consumption Outlook</w:t>
      </w:r>
    </w:p>
    <w:p>
      <w:pPr>
        <w:spacing w:after="100" w:line="252" w:lineRule="auto"/>
      </w:pPr>
      <w:r>
        <w:t>Consumption Outlook should be interpreted within China’s broader transition from property- and debt-intensive growth toward a more technology- and manufacturing-led model. In the master series, Private Investment Growth was -6.40 in 2025 (-6.30 versus 2024); Real Consumption Growth was 4.60 in 2025 (+0.70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Real Consumption Growth (%)</w:t>
            </w:r>
          </w:p>
        </w:tc>
        <w:tc>
          <w:tcPr>
            <w:tcW w:type="dxa" w:w="3485"/>
            <w:vAlign w:val="center"/>
          </w:tcPr>
          <w:p>
            <w:pPr>
              <w:jc w:val="center"/>
            </w:pPr>
            <w:r/>
            <w:r>
              <w:rPr>
                <w:b w:val="0"/>
                <w:sz w:val="14"/>
              </w:rPr>
              <w:t>4.60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08  /  PAGE 024  /  PRIVATE INVESTMENT</w:t>
      </w:r>
    </w:p>
    <w:p>
      <w:pPr>
        <w:pStyle w:val="Title"/>
      </w:pPr>
      <w:r>
        <w:t>Private Investment</w:t>
      </w:r>
    </w:p>
    <w:p>
      <w:pPr>
        <w:spacing w:after="100" w:line="252" w:lineRule="auto"/>
      </w:pPr>
      <w:r>
        <w:t>Private Investment should be interpreted within China’s broader transition from property- and debt-intensive growth toward a more technology- and manufacturing-led model. In the master series, Private Investment Growth was -6.40 in 2025 (-6.30 versus 2024); Real Consumption Growth was 4.60 in 2025 (+0.70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8" name="Picture 8"/>
            <wp:cNvGraphicFramePr>
              <a:graphicFrameLocks noChangeAspect="1"/>
            </wp:cNvGraphicFramePr>
            <a:graphic>
              <a:graphicData uri="http://schemas.openxmlformats.org/drawingml/2006/picture">
                <pic:pic>
                  <pic:nvPicPr>
                    <pic:cNvPr id="0" name="private.png"/>
                    <pic:cNvPicPr/>
                  </pic:nvPicPr>
                  <pic:blipFill>
                    <a:blip r:embed="rId13"/>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08  /  PAGE 025  /  FIXED ASSET INVESTMENT</w:t>
      </w:r>
    </w:p>
    <w:p>
      <w:pPr>
        <w:pStyle w:val="Title"/>
      </w:pPr>
      <w:r>
        <w:t>Fixed Asset Investment</w:t>
      </w:r>
    </w:p>
    <w:p>
      <w:pPr>
        <w:spacing w:after="100" w:line="252" w:lineRule="auto"/>
      </w:pPr>
      <w:r>
        <w:t>Fixed Asset Investment should be interpreted within China’s broader transition from property- and debt-intensive growth toward a more technology- and manufacturing-led model. In the master series, Private Investment Growth was -6.40 in 2025 (-6.30 versus 2024); Real Consumption Growth was 4.60 in 2025 (+0.70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Real Consumption Growth (%)</w:t>
            </w:r>
          </w:p>
        </w:tc>
        <w:tc>
          <w:tcPr>
            <w:tcW w:type="dxa" w:w="3485"/>
            <w:vAlign w:val="center"/>
          </w:tcPr>
          <w:p>
            <w:pPr>
              <w:jc w:val="center"/>
            </w:pPr>
            <w:r/>
            <w:r>
              <w:rPr>
                <w:b w:val="0"/>
                <w:sz w:val="14"/>
              </w:rPr>
              <w:t>4.60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08  /  PAGE 026  /  CORPORATE PROFITS &amp; CONFIDENCE</w:t>
      </w:r>
    </w:p>
    <w:p>
      <w:pPr>
        <w:pStyle w:val="Title"/>
      </w:pPr>
      <w:r>
        <w:t>Corporate Profits &amp; Confidence</w:t>
      </w:r>
    </w:p>
    <w:p>
      <w:pPr>
        <w:spacing w:after="100" w:line="252" w:lineRule="auto"/>
      </w:pPr>
      <w:r>
        <w:t>Corporate Profits &amp; Confidence should be interpreted within China’s broader transition from property- and debt-intensive growth toward a more technology- and manufacturing-led model. In the master series, Private Investment Growth was -6.40 in 2025 (-6.30 versus 2024); Real Consumption Growth was 4.60 in 2025 (+0.70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Real Consumption Growth (%)</w:t>
            </w:r>
          </w:p>
        </w:tc>
        <w:tc>
          <w:tcPr>
            <w:tcW w:type="dxa" w:w="3485"/>
            <w:vAlign w:val="center"/>
          </w:tcPr>
          <w:p>
            <w:pPr>
              <w:jc w:val="center"/>
            </w:pPr>
            <w:r/>
            <w:r>
              <w:rPr>
                <w:b w:val="0"/>
                <w:sz w:val="14"/>
              </w:rPr>
              <w:t>4.60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08  /  PAGE 027  /  CAPACITY UTILIZATION</w:t>
      </w:r>
    </w:p>
    <w:p>
      <w:pPr>
        <w:pStyle w:val="Title"/>
      </w:pPr>
      <w:r>
        <w:t>Capacity Utilization</w:t>
      </w:r>
    </w:p>
    <w:p>
      <w:pPr>
        <w:spacing w:after="100" w:line="252" w:lineRule="auto"/>
      </w:pPr>
      <w:r>
        <w:t>Capacity Utilization should be interpreted within China’s broader transition from property- and debt-intensive growth toward a more technology- and manufacturing-led model. In the master series, Private Investment Growth was -6.40 in 2025 (-6.30 versus 2024); Real Consumption Growth was 4.60 in 2025 (+0.70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9" name="Picture 9"/>
            <wp:cNvGraphicFramePr>
              <a:graphicFrameLocks noChangeAspect="1"/>
            </wp:cNvGraphicFramePr>
            <a:graphic>
              <a:graphicData uri="http://schemas.openxmlformats.org/drawingml/2006/picture">
                <pic:pic>
                  <pic:nvPicPr>
                    <pic:cNvPr id="0" name="private.png"/>
                    <pic:cNvPicPr/>
                  </pic:nvPicPr>
                  <pic:blipFill>
                    <a:blip r:embed="rId13"/>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08  /  PAGE 028  /  INVESTMENT OUTLOOK</w:t>
      </w:r>
    </w:p>
    <w:p>
      <w:pPr>
        <w:pStyle w:val="Title"/>
      </w:pPr>
      <w:r>
        <w:t>Investment Outlook</w:t>
      </w:r>
    </w:p>
    <w:p>
      <w:pPr>
        <w:spacing w:after="100" w:line="252" w:lineRule="auto"/>
      </w:pPr>
      <w:r>
        <w:t>Investment Outlook should be interpreted within China’s broader transition from property- and debt-intensive growth toward a more technology- and manufacturing-led model. In the master series, Private Investment Growth was -6.40 in 2025 (-6.30 versus 2024); Real Consumption Growth was 4.60 in 2025 (+0.70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Real Consumption Growth (%)</w:t>
            </w:r>
          </w:p>
        </w:tc>
        <w:tc>
          <w:tcPr>
            <w:tcW w:type="dxa" w:w="3485"/>
            <w:vAlign w:val="center"/>
          </w:tcPr>
          <w:p>
            <w:pPr>
              <w:jc w:val="center"/>
            </w:pPr>
            <w:r/>
            <w:r>
              <w:rPr>
                <w:b w:val="0"/>
                <w:sz w:val="14"/>
              </w:rPr>
              <w:t>4.60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09  /  PAGE 029  /  INDUSTRIAL PRODUCTION</w:t>
      </w:r>
    </w:p>
    <w:p>
      <w:pPr>
        <w:pStyle w:val="Title"/>
      </w:pPr>
      <w:r>
        <w:t>Industrial Production</w:t>
      </w:r>
    </w:p>
    <w:p>
      <w:pPr>
        <w:spacing w:after="100" w:line="252" w:lineRule="auto"/>
      </w:pPr>
      <w:r>
        <w:t>Industrial Production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09  /  PAGE 030  /  MANUFACTURING VALUE ADDED</w:t>
      </w:r>
    </w:p>
    <w:p>
      <w:pPr>
        <w:pStyle w:val="Title"/>
      </w:pPr>
      <w:r>
        <w:t>Manufacturing Value Added</w:t>
      </w:r>
    </w:p>
    <w:p>
      <w:pPr>
        <w:spacing w:after="100" w:line="252" w:lineRule="auto"/>
      </w:pPr>
      <w:r>
        <w:t>Manufacturing Value Added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10" name="Picture 10"/>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09  /  PAGE 031  /  ADVANCED MANUFACTURING</w:t>
      </w:r>
    </w:p>
    <w:p>
      <w:pPr>
        <w:pStyle w:val="Title"/>
      </w:pPr>
      <w:r>
        <w:t>Advanced Manufacturing</w:t>
      </w:r>
    </w:p>
    <w:p>
      <w:pPr>
        <w:spacing w:after="100" w:line="252" w:lineRule="auto"/>
      </w:pPr>
      <w:r>
        <w:t>Advanced Manufacturing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09  /  PAGE 032  /  EVS, MACHINERY &amp; EXPORT CAPACITY</w:t>
      </w:r>
    </w:p>
    <w:p>
      <w:pPr>
        <w:pStyle w:val="Title"/>
      </w:pPr>
      <w:r>
        <w:t>EVs, Machinery &amp; Export Capacity</w:t>
      </w:r>
    </w:p>
    <w:p>
      <w:pPr>
        <w:spacing w:after="100" w:line="252" w:lineRule="auto"/>
      </w:pPr>
      <w:r>
        <w:t>EVs, Machinery &amp; Export Capacity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Current Account / GDP (%)</w:t>
            </w:r>
          </w:p>
        </w:tc>
        <w:tc>
          <w:tcPr>
            <w:tcW w:type="dxa" w:w="3485"/>
            <w:vAlign w:val="center"/>
          </w:tcPr>
          <w:p>
            <w:pPr>
              <w:jc w:val="center"/>
            </w:pPr>
            <w:r/>
            <w:r>
              <w:rPr>
                <w:b w:val="0"/>
                <w:sz w:val="14"/>
              </w:rPr>
              <w:t>3.77</w:t>
            </w:r>
          </w:p>
        </w:tc>
        <w:tc>
          <w:tcPr>
            <w:tcW w:type="dxa" w:w="3485"/>
            <w:vAlign w:val="center"/>
          </w:tcPr>
          <w:p>
            <w:pPr>
              <w:jc w:val="center"/>
            </w:pPr>
            <w:r/>
            <w:r>
              <w:rPr>
                <w:b w:val="0"/>
                <w:sz w:val="14"/>
              </w:rPr>
              <w:t>+1.30</w:t>
            </w:r>
          </w:p>
        </w:tc>
      </w:tr>
      <w:tr>
        <w:tc>
          <w:tcPr>
            <w:tcW w:type="dxa" w:w="3485"/>
            <w:vAlign w:val="center"/>
          </w:tcPr>
          <w:p>
            <w:pPr>
              <w:jc w:val="center"/>
            </w:pPr>
            <w:r/>
            <w:r>
              <w:rPr>
                <w:b w:val="0"/>
                <w:sz w:val="14"/>
              </w:rPr>
              <w:t>Trade Balance / GDP (%)</w:t>
            </w:r>
          </w:p>
        </w:tc>
        <w:tc>
          <w:tcPr>
            <w:tcW w:type="dxa" w:w="3485"/>
            <w:vAlign w:val="center"/>
          </w:tcPr>
          <w:p>
            <w:pPr>
              <w:jc w:val="center"/>
            </w:pPr>
            <w:r/>
            <w:r>
              <w:rPr>
                <w:b w:val="0"/>
                <w:sz w:val="14"/>
              </w:rPr>
              <w:t>4.14</w:t>
            </w:r>
          </w:p>
        </w:tc>
        <w:tc>
          <w:tcPr>
            <w:tcW w:type="dxa" w:w="3485"/>
            <w:vAlign w:val="center"/>
          </w:tcPr>
          <w:p>
            <w:pPr>
              <w:jc w:val="center"/>
            </w:pPr>
            <w:r/>
            <w:r>
              <w:rPr>
                <w:b w:val="0"/>
                <w:sz w:val="14"/>
              </w:rPr>
              <w:t>+1.43</w:t>
            </w:r>
          </w:p>
        </w:tc>
      </w:tr>
      <w:tr>
        <w:tc>
          <w:tcPr>
            <w:tcW w:type="dxa" w:w="3485"/>
            <w:vAlign w:val="center"/>
          </w:tcPr>
          <w:p>
            <w:pPr>
              <w:jc w:val="center"/>
            </w:pPr>
            <w:r/>
            <w:r>
              <w:rPr>
                <w:b w:val="0"/>
                <w:sz w:val="14"/>
              </w:rPr>
              <w:t>External Debt / GDP (%)</w:t>
            </w:r>
          </w:p>
        </w:tc>
        <w:tc>
          <w:tcPr>
            <w:tcW w:type="dxa" w:w="3485"/>
            <w:vAlign w:val="center"/>
          </w:tcPr>
          <w:p>
            <w:pPr>
              <w:jc w:val="center"/>
            </w:pPr>
            <w:r/>
            <w:r>
              <w:rPr>
                <w:b w:val="0"/>
                <w:sz w:val="14"/>
              </w:rPr>
              <w:t>11.90</w:t>
            </w:r>
          </w:p>
        </w:tc>
        <w:tc>
          <w:tcPr>
            <w:tcW w:type="dxa" w:w="3485"/>
            <w:vAlign w:val="center"/>
          </w:tcPr>
          <w:p>
            <w:pPr>
              <w:jc w:val="center"/>
            </w:pPr>
            <w:r/>
            <w:r>
              <w:rPr>
                <w:b w:val="0"/>
                <w:sz w:val="14"/>
              </w:rPr>
              <w:t>-0.90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09  /  PAGE 033  /  MANUFACTURING OUTLOOK</w:t>
      </w:r>
    </w:p>
    <w:p>
      <w:pPr>
        <w:pStyle w:val="Title"/>
      </w:pPr>
      <w:r>
        <w:t>Manufacturing Outlook</w:t>
      </w:r>
    </w:p>
    <w:p>
      <w:pPr>
        <w:spacing w:after="100" w:line="252" w:lineRule="auto"/>
      </w:pPr>
      <w:r>
        <w:t>Manufacturing Outlook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11" name="Picture 11"/>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10  /  PAGE 034  /  SERVICES ACTIVITY</w:t>
      </w:r>
    </w:p>
    <w:p>
      <w:pPr>
        <w:pStyle w:val="Title"/>
      </w:pPr>
      <w:r>
        <w:t>Services Activity</w:t>
      </w:r>
    </w:p>
    <w:p>
      <w:pPr>
        <w:spacing w:after="100" w:line="252" w:lineRule="auto"/>
      </w:pPr>
      <w:r>
        <w:t>Services Activity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10  /  PAGE 035  /  SERVICES INFLATION &amp; DEMAND</w:t>
      </w:r>
    </w:p>
    <w:p>
      <w:pPr>
        <w:pStyle w:val="Title"/>
      </w:pPr>
      <w:r>
        <w:t>Services Inflation &amp; Demand</w:t>
      </w:r>
    </w:p>
    <w:p>
      <w:pPr>
        <w:spacing w:after="100" w:line="252" w:lineRule="auto"/>
      </w:pPr>
      <w:r>
        <w:t>Services Inflation &amp; Demand should be interpreted within China’s broader transition from property- and debt-intensive growth toward a more technology- and manufacturing-led model. In the master series, Headline CPI Inflation was 0.10 in 2025 (-0.10 versus 2024); Core CPI Inflation was 0.70 in 2025 (+0.20 versus 2024); PPI Inflation was -2.60 in 2025 (-0.40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Headline CPI Inflation (%)</w:t>
            </w:r>
          </w:p>
        </w:tc>
        <w:tc>
          <w:tcPr>
            <w:tcW w:type="dxa" w:w="3485"/>
            <w:vAlign w:val="center"/>
          </w:tcPr>
          <w:p>
            <w:pPr>
              <w:jc w:val="center"/>
            </w:pPr>
            <w:r/>
            <w:r>
              <w:rPr>
                <w:b w:val="0"/>
                <w:sz w:val="14"/>
              </w:rPr>
              <w:t>0.10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PPI Inflation (%)</w:t>
            </w:r>
          </w:p>
        </w:tc>
        <w:tc>
          <w:tcPr>
            <w:tcW w:type="dxa" w:w="3485"/>
            <w:vAlign w:val="center"/>
          </w:tcPr>
          <w:p>
            <w:pPr>
              <w:jc w:val="center"/>
            </w:pPr>
            <w:r/>
            <w:r>
              <w:rPr>
                <w:b w:val="0"/>
                <w:sz w:val="14"/>
              </w:rPr>
              <w:t>-2.60</w:t>
            </w:r>
          </w:p>
        </w:tc>
        <w:tc>
          <w:tcPr>
            <w:tcW w:type="dxa" w:w="3485"/>
            <w:vAlign w:val="center"/>
          </w:tcPr>
          <w:p>
            <w:pPr>
              <w:jc w:val="center"/>
            </w:pPr>
            <w:r/>
            <w:r>
              <w:rPr>
                <w:b w:val="0"/>
                <w:sz w:val="14"/>
              </w:rPr>
              <w:t>-0.40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10  /  PAGE 036  /  SERVICES OUTLOOK</w:t>
      </w:r>
    </w:p>
    <w:p>
      <w:pPr>
        <w:pStyle w:val="Title"/>
      </w:pPr>
      <w:r>
        <w:t>Services Outlook</w:t>
      </w:r>
    </w:p>
    <w:p>
      <w:pPr>
        <w:spacing w:after="100" w:line="252" w:lineRule="auto"/>
      </w:pPr>
      <w:r>
        <w:t>Services Outlook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12" name="Picture 12"/>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11  /  PAGE 037  /  HEADLINE CPI</w:t>
      </w:r>
    </w:p>
    <w:p>
      <w:pPr>
        <w:pStyle w:val="Title"/>
      </w:pPr>
      <w:r>
        <w:t>Headline CPI</w:t>
      </w:r>
    </w:p>
    <w:p>
      <w:pPr>
        <w:spacing w:after="100" w:line="252" w:lineRule="auto"/>
      </w:pPr>
      <w:r>
        <w:t>Headline CPI should be interpreted within China’s broader transition from property- and debt-intensive growth toward a more technology- and manufacturing-led model. In the master series, Headline CPI Inflation was 0.10 in 2025 (-0.10 versus 2024); Core CPI Inflation was 0.70 in 2025 (+0.20 versus 2024); PPI Inflation was -2.60 in 2025 (-0.40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Headline CPI Inflation (%)</w:t>
            </w:r>
          </w:p>
        </w:tc>
        <w:tc>
          <w:tcPr>
            <w:tcW w:type="dxa" w:w="3485"/>
            <w:vAlign w:val="center"/>
          </w:tcPr>
          <w:p>
            <w:pPr>
              <w:jc w:val="center"/>
            </w:pPr>
            <w:r/>
            <w:r>
              <w:rPr>
                <w:b w:val="0"/>
                <w:sz w:val="14"/>
              </w:rPr>
              <w:t>0.10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PPI Inflation (%)</w:t>
            </w:r>
          </w:p>
        </w:tc>
        <w:tc>
          <w:tcPr>
            <w:tcW w:type="dxa" w:w="3485"/>
            <w:vAlign w:val="center"/>
          </w:tcPr>
          <w:p>
            <w:pPr>
              <w:jc w:val="center"/>
            </w:pPr>
            <w:r/>
            <w:r>
              <w:rPr>
                <w:b w:val="0"/>
                <w:sz w:val="14"/>
              </w:rPr>
              <w:t>-2.60</w:t>
            </w:r>
          </w:p>
        </w:tc>
        <w:tc>
          <w:tcPr>
            <w:tcW w:type="dxa" w:w="3485"/>
            <w:vAlign w:val="center"/>
          </w:tcPr>
          <w:p>
            <w:pPr>
              <w:jc w:val="center"/>
            </w:pPr>
            <w:r/>
            <w:r>
              <w:rPr>
                <w:b w:val="0"/>
                <w:sz w:val="14"/>
              </w:rPr>
              <w:t>-0.40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11  /  PAGE 038  /  CORE CPI</w:t>
      </w:r>
    </w:p>
    <w:p>
      <w:pPr>
        <w:pStyle w:val="Title"/>
      </w:pPr>
      <w:r>
        <w:t>Core CPI</w:t>
      </w:r>
    </w:p>
    <w:p>
      <w:pPr>
        <w:spacing w:after="100" w:line="252" w:lineRule="auto"/>
      </w:pPr>
      <w:r>
        <w:t>Core CPI should be interpreted within China’s broader transition from property- and debt-intensive growth toward a more technology- and manufacturing-led model. In the master series, Headline CPI Inflation was 0.10 in 2025 (-0.10 versus 2024); Core CPI Inflation was 0.70 in 2025 (+0.20 versus 2024); PPI Inflation was -2.60 in 2025 (-0.40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Headline CPI Inflation (%)</w:t>
            </w:r>
          </w:p>
        </w:tc>
        <w:tc>
          <w:tcPr>
            <w:tcW w:type="dxa" w:w="3485"/>
            <w:vAlign w:val="center"/>
          </w:tcPr>
          <w:p>
            <w:pPr>
              <w:jc w:val="center"/>
            </w:pPr>
            <w:r/>
            <w:r>
              <w:rPr>
                <w:b w:val="0"/>
                <w:sz w:val="14"/>
              </w:rPr>
              <w:t>0.10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PPI Inflation (%)</w:t>
            </w:r>
          </w:p>
        </w:tc>
        <w:tc>
          <w:tcPr>
            <w:tcW w:type="dxa" w:w="3485"/>
            <w:vAlign w:val="center"/>
          </w:tcPr>
          <w:p>
            <w:pPr>
              <w:jc w:val="center"/>
            </w:pPr>
            <w:r/>
            <w:r>
              <w:rPr>
                <w:b w:val="0"/>
                <w:sz w:val="14"/>
              </w:rPr>
              <w:t>-2.60</w:t>
            </w:r>
          </w:p>
        </w:tc>
        <w:tc>
          <w:tcPr>
            <w:tcW w:type="dxa" w:w="3485"/>
            <w:vAlign w:val="center"/>
          </w:tcPr>
          <w:p>
            <w:pPr>
              <w:jc w:val="center"/>
            </w:pPr>
            <w:r/>
            <w:r>
              <w:rPr>
                <w:b w:val="0"/>
                <w:sz w:val="14"/>
              </w:rPr>
              <w:t>-0.40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11  /  PAGE 039  /  FOOD &amp; SERVICES PRICES</w:t>
      </w:r>
    </w:p>
    <w:p>
      <w:pPr>
        <w:pStyle w:val="Title"/>
      </w:pPr>
      <w:r>
        <w:t>Food &amp; Services Prices</w:t>
      </w:r>
    </w:p>
    <w:p>
      <w:pPr>
        <w:spacing w:after="100" w:line="252" w:lineRule="auto"/>
      </w:pPr>
      <w:r>
        <w:t>Food &amp; Services Prices should be interpreted within China’s broader transition from property- and debt-intensive growth toward a more technology- and manufacturing-led model. In the master series, Headline CPI Inflation was 0.10 in 2025 (-0.10 versus 2024); Core CPI Inflation was 0.70 in 2025 (+0.20 versus 2024); PPI Inflation was -2.60 in 2025 (-0.40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13" name="Picture 13"/>
            <wp:cNvGraphicFramePr>
              <a:graphicFrameLocks noChangeAspect="1"/>
            </wp:cNvGraphicFramePr>
            <a:graphic>
              <a:graphicData uri="http://schemas.openxmlformats.org/drawingml/2006/picture">
                <pic:pic>
                  <pic:nvPicPr>
                    <pic:cNvPr id="0" name="infl.png"/>
                    <pic:cNvPicPr/>
                  </pic:nvPicPr>
                  <pic:blipFill>
                    <a:blip r:embed="rId14"/>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11  /  PAGE 040  /  PRODUCER PRICES</w:t>
      </w:r>
    </w:p>
    <w:p>
      <w:pPr>
        <w:pStyle w:val="Title"/>
      </w:pPr>
      <w:r>
        <w:t>Producer Prices</w:t>
      </w:r>
    </w:p>
    <w:p>
      <w:pPr>
        <w:spacing w:after="100" w:line="252" w:lineRule="auto"/>
      </w:pPr>
      <w:r>
        <w:t>Producer Prices should be interpreted within China’s broader transition from property- and debt-intensive growth toward a more technology- and manufacturing-led model. In the master series, Headline CPI Inflation was 0.10 in 2025 (-0.10 versus 2024); Core CPI Inflation was 0.70 in 2025 (+0.20 versus 2024); PPI Inflation was -2.60 in 2025 (-0.40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Headline CPI Inflation (%)</w:t>
            </w:r>
          </w:p>
        </w:tc>
        <w:tc>
          <w:tcPr>
            <w:tcW w:type="dxa" w:w="3485"/>
            <w:vAlign w:val="center"/>
          </w:tcPr>
          <w:p>
            <w:pPr>
              <w:jc w:val="center"/>
            </w:pPr>
            <w:r/>
            <w:r>
              <w:rPr>
                <w:b w:val="0"/>
                <w:sz w:val="14"/>
              </w:rPr>
              <w:t>0.10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PPI Inflation (%)</w:t>
            </w:r>
          </w:p>
        </w:tc>
        <w:tc>
          <w:tcPr>
            <w:tcW w:type="dxa" w:w="3485"/>
            <w:vAlign w:val="center"/>
          </w:tcPr>
          <w:p>
            <w:pPr>
              <w:jc w:val="center"/>
            </w:pPr>
            <w:r/>
            <w:r>
              <w:rPr>
                <w:b w:val="0"/>
                <w:sz w:val="14"/>
              </w:rPr>
              <w:t>-2.60</w:t>
            </w:r>
          </w:p>
        </w:tc>
        <w:tc>
          <w:tcPr>
            <w:tcW w:type="dxa" w:w="3485"/>
            <w:vAlign w:val="center"/>
          </w:tcPr>
          <w:p>
            <w:pPr>
              <w:jc w:val="center"/>
            </w:pPr>
            <w:r/>
            <w:r>
              <w:rPr>
                <w:b w:val="0"/>
                <w:sz w:val="14"/>
              </w:rPr>
              <w:t>-0.40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11  /  PAGE 041  /  DEFLATION RISK</w:t>
      </w:r>
    </w:p>
    <w:p>
      <w:pPr>
        <w:pStyle w:val="Title"/>
      </w:pPr>
      <w:r>
        <w:t>Deflation Risk</w:t>
      </w:r>
    </w:p>
    <w:p>
      <w:pPr>
        <w:spacing w:after="100" w:line="252" w:lineRule="auto"/>
      </w:pPr>
      <w:r>
        <w:t>Deflation Risk should be interpreted within China’s broader transition from property- and debt-intensive growth toward a more technology- and manufacturing-led model. In the master series, Headline CPI Inflation was 0.10 in 2025 (-0.10 versus 2024); Core CPI Inflation was 0.70 in 2025 (+0.20 versus 2024); PPI Inflation was -2.60 in 2025 (-0.40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Headline CPI Inflation (%)</w:t>
            </w:r>
          </w:p>
        </w:tc>
        <w:tc>
          <w:tcPr>
            <w:tcW w:type="dxa" w:w="3485"/>
            <w:vAlign w:val="center"/>
          </w:tcPr>
          <w:p>
            <w:pPr>
              <w:jc w:val="center"/>
            </w:pPr>
            <w:r/>
            <w:r>
              <w:rPr>
                <w:b w:val="0"/>
                <w:sz w:val="14"/>
              </w:rPr>
              <w:t>0.10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PPI Inflation (%)</w:t>
            </w:r>
          </w:p>
        </w:tc>
        <w:tc>
          <w:tcPr>
            <w:tcW w:type="dxa" w:w="3485"/>
            <w:vAlign w:val="center"/>
          </w:tcPr>
          <w:p>
            <w:pPr>
              <w:jc w:val="center"/>
            </w:pPr>
            <w:r/>
            <w:r>
              <w:rPr>
                <w:b w:val="0"/>
                <w:sz w:val="14"/>
              </w:rPr>
              <w:t>-2.60</w:t>
            </w:r>
          </w:p>
        </w:tc>
        <w:tc>
          <w:tcPr>
            <w:tcW w:type="dxa" w:w="3485"/>
            <w:vAlign w:val="center"/>
          </w:tcPr>
          <w:p>
            <w:pPr>
              <w:jc w:val="center"/>
            </w:pPr>
            <w:r/>
            <w:r>
              <w:rPr>
                <w:b w:val="0"/>
                <w:sz w:val="14"/>
              </w:rPr>
              <w:t>-0.40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11  /  PAGE 042  /  INFLATION OUTLOOK</w:t>
      </w:r>
    </w:p>
    <w:p>
      <w:pPr>
        <w:pStyle w:val="Title"/>
      </w:pPr>
      <w:r>
        <w:t>Inflation Outlook</w:t>
      </w:r>
    </w:p>
    <w:p>
      <w:pPr>
        <w:spacing w:after="100" w:line="252" w:lineRule="auto"/>
      </w:pPr>
      <w:r>
        <w:t>Inflation Outlook should be interpreted within China’s broader transition from property- and debt-intensive growth toward a more technology- and manufacturing-led model. In the master series, Headline CPI Inflation was 0.10 in 2025 (-0.10 versus 2024); Core CPI Inflation was 0.70 in 2025 (+0.20 versus 2024); PPI Inflation was -2.60 in 2025 (-0.40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14" name="Picture 14"/>
            <wp:cNvGraphicFramePr>
              <a:graphicFrameLocks noChangeAspect="1"/>
            </wp:cNvGraphicFramePr>
            <a:graphic>
              <a:graphicData uri="http://schemas.openxmlformats.org/drawingml/2006/picture">
                <pic:pic>
                  <pic:nvPicPr>
                    <pic:cNvPr id="0" name="infl.png"/>
                    <pic:cNvPicPr/>
                  </pic:nvPicPr>
                  <pic:blipFill>
                    <a:blip r:embed="rId14"/>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12  /  PAGE 043  /  PBOC POLICY FRAMEWORK</w:t>
      </w:r>
    </w:p>
    <w:p>
      <w:pPr>
        <w:pStyle w:val="Title"/>
      </w:pPr>
      <w:r>
        <w:t>PBOC Policy Framework</w:t>
      </w:r>
    </w:p>
    <w:p>
      <w:pPr>
        <w:spacing w:after="100" w:line="252" w:lineRule="auto"/>
      </w:pPr>
      <w:r>
        <w:t>PBOC Policy Framework should be interpreted within China’s broader transition from property- and debt-intensive growth toward a more technology- and manufacturing-led model. In the master series, China Policy Rate was 3.00 in 2025 (-0.10 versus 2024); Real Policy Rate was 3.00 in 2025 (-0.20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China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Real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12  /  PAGE 044  /  POLICY RATE TREND</w:t>
      </w:r>
    </w:p>
    <w:p>
      <w:pPr>
        <w:pStyle w:val="Title"/>
      </w:pPr>
      <w:r>
        <w:t>Policy Rate Trend</w:t>
      </w:r>
    </w:p>
    <w:p>
      <w:pPr>
        <w:spacing w:after="100" w:line="252" w:lineRule="auto"/>
      </w:pPr>
      <w:r>
        <w:t>Policy Rate Trend should be interpreted within China’s broader transition from property- and debt-intensive growth toward a more technology- and manufacturing-led model. In the master series, China Policy Rate was 3.00 in 2025 (-0.10 versus 2024); Real Policy Rate was 3.00 in 2025 (-0.20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China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Real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12  /  PAGE 045  /  LPR &amp; LENDING RATES</w:t>
      </w:r>
    </w:p>
    <w:p>
      <w:pPr>
        <w:pStyle w:val="Title"/>
      </w:pPr>
      <w:r>
        <w:t>LPR &amp; Lending Rates</w:t>
      </w:r>
    </w:p>
    <w:p>
      <w:pPr>
        <w:spacing w:after="100" w:line="252" w:lineRule="auto"/>
      </w:pPr>
      <w:r>
        <w:t>LPR &amp; Lending Rates should be interpreted within China’s broader transition from property- and debt-intensive growth toward a more technology- and manufacturing-led model. In the master series, China Policy Rate was 3.00 in 2025 (-0.10 versus 2024); Real Policy Rate was 3.00 in 2025 (-0.20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15" name="Picture 15"/>
            <wp:cNvGraphicFramePr>
              <a:graphicFrameLocks noChangeAspect="1"/>
            </wp:cNvGraphicFramePr>
            <a:graphic>
              <a:graphicData uri="http://schemas.openxmlformats.org/drawingml/2006/picture">
                <pic:pic>
                  <pic:nvPicPr>
                    <pic:cNvPr id="0" name="policy.png"/>
                    <pic:cNvPicPr/>
                  </pic:nvPicPr>
                  <pic:blipFill>
                    <a:blip r:embed="rId15"/>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12  /  PAGE 046  /  RRR &amp; LIQUIDITY</w:t>
      </w:r>
    </w:p>
    <w:p>
      <w:pPr>
        <w:pStyle w:val="Title"/>
      </w:pPr>
      <w:r>
        <w:t>RRR &amp; Liquidity</w:t>
      </w:r>
    </w:p>
    <w:p>
      <w:pPr>
        <w:spacing w:after="100" w:line="252" w:lineRule="auto"/>
      </w:pPr>
      <w:r>
        <w:t>RRR &amp; Liquidity should be interpreted within China’s broader transition from property- and debt-intensive growth toward a more technology- and manufacturing-led model. In the master series, China Policy Rate was 3.00 in 2025 (-0.10 versus 2024); Real Policy Rate was 3.00 in 2025 (-0.20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China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Real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12  /  PAGE 047  /  REAL POLICY RATE</w:t>
      </w:r>
    </w:p>
    <w:p>
      <w:pPr>
        <w:pStyle w:val="Title"/>
      </w:pPr>
      <w:r>
        <w:t>Real Policy Rate</w:t>
      </w:r>
    </w:p>
    <w:p>
      <w:pPr>
        <w:spacing w:after="100" w:line="252" w:lineRule="auto"/>
      </w:pPr>
      <w:r>
        <w:t>Real Policy Rate should be interpreted within China’s broader transition from property- and debt-intensive growth toward a more technology- and manufacturing-led model. In the master series, China Policy Rate was 3.00 in 2025 (-0.10 versus 2024); Real Policy Rate was 3.00 in 2025 (-0.20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China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Real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12  /  PAGE 048  /  MONETARY TRANSMISSION</w:t>
      </w:r>
    </w:p>
    <w:p>
      <w:pPr>
        <w:pStyle w:val="Title"/>
      </w:pPr>
      <w:r>
        <w:t>Monetary Transmission</w:t>
      </w:r>
    </w:p>
    <w:p>
      <w:pPr>
        <w:spacing w:after="100" w:line="252" w:lineRule="auto"/>
      </w:pPr>
      <w:r>
        <w:t>Monetary Transmission should be interpreted within China’s broader transition from property- and debt-intensive growth toward a more technology- and manufacturing-led model. In the master series, China Policy Rate was 3.00 in 2025 (-0.10 versus 2024); Real Policy Rate was 3.00 in 2025 (-0.20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16" name="Picture 16"/>
            <wp:cNvGraphicFramePr>
              <a:graphicFrameLocks noChangeAspect="1"/>
            </wp:cNvGraphicFramePr>
            <a:graphic>
              <a:graphicData uri="http://schemas.openxmlformats.org/drawingml/2006/picture">
                <pic:pic>
                  <pic:nvPicPr>
                    <pic:cNvPr id="0" name="policy.png"/>
                    <pic:cNvPicPr/>
                  </pic:nvPicPr>
                  <pic:blipFill>
                    <a:blip r:embed="rId15"/>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12  /  PAGE 049  /  POLICY OUTLOOK</w:t>
      </w:r>
    </w:p>
    <w:p>
      <w:pPr>
        <w:pStyle w:val="Title"/>
      </w:pPr>
      <w:r>
        <w:t>Policy Outlook</w:t>
      </w:r>
    </w:p>
    <w:p>
      <w:pPr>
        <w:spacing w:after="100" w:line="252" w:lineRule="auto"/>
      </w:pPr>
      <w:r>
        <w:t>Policy Outlook should be interpreted within China’s broader transition from property- and debt-intensive growth toward a more technology- and manufacturing-led model. In the master series, China Policy Rate was 3.00 in 2025 (-0.10 versus 2024); Real Policy Rate was 3.00 in 2025 (-0.20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China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Real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13  /  PAGE 050  /  FINANCIAL CONDITIONS</w:t>
      </w:r>
    </w:p>
    <w:p>
      <w:pPr>
        <w:pStyle w:val="Title"/>
      </w:pPr>
      <w:r>
        <w:t>Financial Conditions</w:t>
      </w:r>
    </w:p>
    <w:p>
      <w:pPr>
        <w:spacing w:after="100" w:line="252" w:lineRule="auto"/>
      </w:pPr>
      <w:r>
        <w:t>Financial Conditions should be interpreted within China’s broader transition from property- and debt-intensive growth toward a more technology- and manufacturing-led model. In the master series, Credit Growth was 8.30 in 2025 (+0.30 versus 2024); Bank Capital Ratio was 15.46 in 2025 (-0.28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Bank Capital Ratio (%)</w:t>
            </w:r>
          </w:p>
        </w:tc>
        <w:tc>
          <w:tcPr>
            <w:tcW w:type="dxa" w:w="3485"/>
            <w:vAlign w:val="center"/>
          </w:tcPr>
          <w:p>
            <w:pPr>
              <w:jc w:val="center"/>
            </w:pPr>
            <w:r/>
            <w:r>
              <w:rPr>
                <w:b w:val="0"/>
                <w:sz w:val="14"/>
              </w:rPr>
              <w:t>15.46</w:t>
            </w:r>
          </w:p>
        </w:tc>
        <w:tc>
          <w:tcPr>
            <w:tcW w:type="dxa" w:w="3485"/>
            <w:vAlign w:val="center"/>
          </w:tcPr>
          <w:p>
            <w:pPr>
              <w:jc w:val="center"/>
            </w:pPr>
            <w:r/>
            <w:r>
              <w:rPr>
                <w:b w:val="0"/>
                <w:sz w:val="14"/>
              </w:rPr>
              <w:t>-0.28</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13  /  PAGE 051  /  GOVERNMENT BOND YIELD CURVE</w:t>
      </w:r>
    </w:p>
    <w:p>
      <w:pPr>
        <w:pStyle w:val="Title"/>
      </w:pPr>
      <w:r>
        <w:t>Government Bond Yield Curve</w:t>
      </w:r>
    </w:p>
    <w:p>
      <w:pPr>
        <w:spacing w:after="100" w:line="252" w:lineRule="auto"/>
      </w:pPr>
      <w:r>
        <w:t>Government Bond Yield Curve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17" name="Picture 17"/>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13  /  PAGE 052  /  CREDIT SPREADS &amp; FUNDING</w:t>
      </w:r>
    </w:p>
    <w:p>
      <w:pPr>
        <w:pStyle w:val="Title"/>
      </w:pPr>
      <w:r>
        <w:t>Credit Spreads &amp; Funding</w:t>
      </w:r>
    </w:p>
    <w:p>
      <w:pPr>
        <w:spacing w:after="100" w:line="252" w:lineRule="auto"/>
      </w:pPr>
      <w:r>
        <w:t>Credit Spreads &amp; Funding should be interpreted within China’s broader transition from property- and debt-intensive growth toward a more technology- and manufacturing-led model. In the master series, Credit Growth was 8.30 in 2025 (+0.30 versus 2024); Bank Capital Ratio was 15.46 in 2025 (-0.28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Bank Capital Ratio (%)</w:t>
            </w:r>
          </w:p>
        </w:tc>
        <w:tc>
          <w:tcPr>
            <w:tcW w:type="dxa" w:w="3485"/>
            <w:vAlign w:val="center"/>
          </w:tcPr>
          <w:p>
            <w:pPr>
              <w:jc w:val="center"/>
            </w:pPr>
            <w:r/>
            <w:r>
              <w:rPr>
                <w:b w:val="0"/>
                <w:sz w:val="14"/>
              </w:rPr>
              <w:t>15.46</w:t>
            </w:r>
          </w:p>
        </w:tc>
        <w:tc>
          <w:tcPr>
            <w:tcW w:type="dxa" w:w="3485"/>
            <w:vAlign w:val="center"/>
          </w:tcPr>
          <w:p>
            <w:pPr>
              <w:jc w:val="center"/>
            </w:pPr>
            <w:r/>
            <w:r>
              <w:rPr>
                <w:b w:val="0"/>
                <w:sz w:val="14"/>
              </w:rPr>
              <w:t>-0.28</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13  /  PAGE 053  /  EQUITY &amp; MARKET CONDITIONS</w:t>
      </w:r>
    </w:p>
    <w:p>
      <w:pPr>
        <w:pStyle w:val="Title"/>
      </w:pPr>
      <w:r>
        <w:t>Equity &amp; Market Conditions</w:t>
      </w:r>
    </w:p>
    <w:p>
      <w:pPr>
        <w:spacing w:after="100" w:line="252" w:lineRule="auto"/>
      </w:pPr>
      <w:r>
        <w:t>Equity &amp; Market Conditions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13  /  PAGE 054  /  LIQUIDITY &amp; GROWTH</w:t>
      </w:r>
    </w:p>
    <w:p>
      <w:pPr>
        <w:pStyle w:val="Title"/>
      </w:pPr>
      <w:r>
        <w:t>Liquidity &amp; Growth</w:t>
      </w:r>
    </w:p>
    <w:p>
      <w:pPr>
        <w:spacing w:after="100" w:line="252" w:lineRule="auto"/>
      </w:pPr>
      <w:r>
        <w:t>Liquidity &amp; Growth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18" name="Picture 18"/>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13  /  PAGE 055  /  FINANCIAL CONDITIONS OUTLOOK</w:t>
      </w:r>
    </w:p>
    <w:p>
      <w:pPr>
        <w:pStyle w:val="Title"/>
      </w:pPr>
      <w:r>
        <w:t>Financial Conditions Outlook</w:t>
      </w:r>
    </w:p>
    <w:p>
      <w:pPr>
        <w:spacing w:after="100" w:line="252" w:lineRule="auto"/>
      </w:pPr>
      <w:r>
        <w:t>Financial Conditions Outlook should be interpreted within China’s broader transition from property- and debt-intensive growth toward a more technology- and manufacturing-led model. In the master series, Credit Growth was 8.30 in 2025 (+0.30 versus 2024); Bank Capital Ratio was 15.46 in 2025 (-0.28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Bank Capital Ratio (%)</w:t>
            </w:r>
          </w:p>
        </w:tc>
        <w:tc>
          <w:tcPr>
            <w:tcW w:type="dxa" w:w="3485"/>
            <w:vAlign w:val="center"/>
          </w:tcPr>
          <w:p>
            <w:pPr>
              <w:jc w:val="center"/>
            </w:pPr>
            <w:r/>
            <w:r>
              <w:rPr>
                <w:b w:val="0"/>
                <w:sz w:val="14"/>
              </w:rPr>
              <w:t>15.46</w:t>
            </w:r>
          </w:p>
        </w:tc>
        <w:tc>
          <w:tcPr>
            <w:tcW w:type="dxa" w:w="3485"/>
            <w:vAlign w:val="center"/>
          </w:tcPr>
          <w:p>
            <w:pPr>
              <w:jc w:val="center"/>
            </w:pPr>
            <w:r/>
            <w:r>
              <w:rPr>
                <w:b w:val="0"/>
                <w:sz w:val="14"/>
              </w:rPr>
              <w:t>-0.28</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14  /  PAGE 056  /  BANK CAPITAL &amp; RESILIENCE</w:t>
      </w:r>
    </w:p>
    <w:p>
      <w:pPr>
        <w:pStyle w:val="Title"/>
      </w:pPr>
      <w:r>
        <w:t>Bank Capital &amp; Resilience</w:t>
      </w:r>
    </w:p>
    <w:p>
      <w:pPr>
        <w:spacing w:after="100" w:line="252" w:lineRule="auto"/>
      </w:pPr>
      <w:r>
        <w:t>Bank Capital &amp; Resilience should be interpreted within China’s broader transition from property- and debt-intensive growth toward a more technology- and manufacturing-led model. In the master series, Credit Growth was 8.30 in 2025 (+0.30 versus 2024); Bank Capital Ratio was 15.46 in 2025 (-0.28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Bank Capital Ratio (%)</w:t>
            </w:r>
          </w:p>
        </w:tc>
        <w:tc>
          <w:tcPr>
            <w:tcW w:type="dxa" w:w="3485"/>
            <w:vAlign w:val="center"/>
          </w:tcPr>
          <w:p>
            <w:pPr>
              <w:jc w:val="center"/>
            </w:pPr>
            <w:r/>
            <w:r>
              <w:rPr>
                <w:b w:val="0"/>
                <w:sz w:val="14"/>
              </w:rPr>
              <w:t>15.46</w:t>
            </w:r>
          </w:p>
        </w:tc>
        <w:tc>
          <w:tcPr>
            <w:tcW w:type="dxa" w:w="3485"/>
            <w:vAlign w:val="center"/>
          </w:tcPr>
          <w:p>
            <w:pPr>
              <w:jc w:val="center"/>
            </w:pPr>
            <w:r/>
            <w:r>
              <w:rPr>
                <w:b w:val="0"/>
                <w:sz w:val="14"/>
              </w:rPr>
              <w:t>-0.28</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14  /  PAGE 057  /  CREDIT GROWTH</w:t>
      </w:r>
    </w:p>
    <w:p>
      <w:pPr>
        <w:pStyle w:val="Title"/>
      </w:pPr>
      <w:r>
        <w:t>Credit Growth</w:t>
      </w:r>
    </w:p>
    <w:p>
      <w:pPr>
        <w:spacing w:after="100" w:line="252" w:lineRule="auto"/>
      </w:pPr>
      <w:r>
        <w:t>Credit Growth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19" name="Picture 19"/>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14  /  PAGE 058  /  ASSET QUALITY &amp; PROPERTY EXPOSURE</w:t>
      </w:r>
    </w:p>
    <w:p>
      <w:pPr>
        <w:pStyle w:val="Title"/>
      </w:pPr>
      <w:r>
        <w:t>Asset Quality &amp; Property Exposure</w:t>
      </w:r>
    </w:p>
    <w:p>
      <w:pPr>
        <w:spacing w:after="100" w:line="252" w:lineRule="auto"/>
      </w:pPr>
      <w:r>
        <w:t>Asset Quality &amp; Property Exposure should be interpreted within China’s broader transition from property- and debt-intensive growth toward a more technology- and manufacturing-led model. In the master series, Private Investment Growth was -6.40 in 2025 (-6.30 versus 2024); Credit Growth was 8.30 in 2025 (+0.30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14  /  PAGE 059  /  BANKING RISK MATRIX</w:t>
      </w:r>
    </w:p>
    <w:p>
      <w:pPr>
        <w:pStyle w:val="Title"/>
      </w:pPr>
      <w:r>
        <w:t>Banking Risk Matrix</w:t>
      </w:r>
    </w:p>
    <w:p>
      <w:pPr>
        <w:spacing w:after="100" w:line="252" w:lineRule="auto"/>
      </w:pPr>
      <w:r>
        <w:t>Banking Risk Matrix should be interpreted within China’s broader transition from property- and debt-intensive growth toward a more technology- and manufacturing-led model. In the master series, Credit Growth was 8.30 in 2025 (+0.30 versus 2024); Bank Capital Ratio was 15.46 in 2025 (-0.28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Bank Capital Ratio (%)</w:t>
            </w:r>
          </w:p>
        </w:tc>
        <w:tc>
          <w:tcPr>
            <w:tcW w:type="dxa" w:w="3485"/>
            <w:vAlign w:val="center"/>
          </w:tcPr>
          <w:p>
            <w:pPr>
              <w:jc w:val="center"/>
            </w:pPr>
            <w:r/>
            <w:r>
              <w:rPr>
                <w:b w:val="0"/>
                <w:sz w:val="14"/>
              </w:rPr>
              <w:t>15.46</w:t>
            </w:r>
          </w:p>
        </w:tc>
        <w:tc>
          <w:tcPr>
            <w:tcW w:type="dxa" w:w="3485"/>
            <w:vAlign w:val="center"/>
          </w:tcPr>
          <w:p>
            <w:pPr>
              <w:jc w:val="center"/>
            </w:pPr>
            <w:r/>
            <w:r>
              <w:rPr>
                <w:b w:val="0"/>
                <w:sz w:val="14"/>
              </w:rPr>
              <w:t>-0.28</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15  /  PAGE 060  /  PROPERTY MARKET OVERVIEW</w:t>
      </w:r>
    </w:p>
    <w:p>
      <w:pPr>
        <w:pStyle w:val="Title"/>
      </w:pPr>
      <w:r>
        <w:t>Property Market Overview</w:t>
      </w:r>
    </w:p>
    <w:p>
      <w:pPr>
        <w:spacing w:after="100" w:line="252" w:lineRule="auto"/>
      </w:pPr>
      <w:r>
        <w:t>Property Market Overview should be interpreted within China’s broader transition from property- and debt-intensive growth toward a more technology- and manufacturing-led model. In the master series, Private Investment Growth was -6.40 in 2025 (-6.30 versus 2024); Credit Growth was 8.30 in 2025 (+0.30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20" name="Picture 20"/>
            <wp:cNvGraphicFramePr>
              <a:graphicFrameLocks noChangeAspect="1"/>
            </wp:cNvGraphicFramePr>
            <a:graphic>
              <a:graphicData uri="http://schemas.openxmlformats.org/drawingml/2006/picture">
                <pic:pic>
                  <pic:nvPicPr>
                    <pic:cNvPr id="0" name="private.png"/>
                    <pic:cNvPicPr/>
                  </pic:nvPicPr>
                  <pic:blipFill>
                    <a:blip r:embed="rId13"/>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15  /  PAGE 061  /  PROPERTY INVESTMENT</w:t>
      </w:r>
    </w:p>
    <w:p>
      <w:pPr>
        <w:pStyle w:val="Title"/>
      </w:pPr>
      <w:r>
        <w:t>Property Investment</w:t>
      </w:r>
    </w:p>
    <w:p>
      <w:pPr>
        <w:spacing w:after="100" w:line="252" w:lineRule="auto"/>
      </w:pPr>
      <w:r>
        <w:t>Property Investment should be interpreted within China’s broader transition from property- and debt-intensive growth toward a more technology- and manufacturing-led model. In the master series, Private Investment Growth was -6.40 in 2025 (-6.30 versus 2024); Real Consumption Growth was 4.60 in 2025 (+0.70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Real Consumption Growth (%)</w:t>
            </w:r>
          </w:p>
        </w:tc>
        <w:tc>
          <w:tcPr>
            <w:tcW w:type="dxa" w:w="3485"/>
            <w:vAlign w:val="center"/>
          </w:tcPr>
          <w:p>
            <w:pPr>
              <w:jc w:val="center"/>
            </w:pPr>
            <w:r/>
            <w:r>
              <w:rPr>
                <w:b w:val="0"/>
                <w:sz w:val="14"/>
              </w:rPr>
              <w:t>4.60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15  /  PAGE 062  /  HOUSING PRICES &amp; SALES</w:t>
      </w:r>
    </w:p>
    <w:p>
      <w:pPr>
        <w:pStyle w:val="Title"/>
      </w:pPr>
      <w:r>
        <w:t>Housing Prices &amp; Sales</w:t>
      </w:r>
    </w:p>
    <w:p>
      <w:pPr>
        <w:spacing w:after="100" w:line="252" w:lineRule="auto"/>
      </w:pPr>
      <w:r>
        <w:t>Housing Prices &amp; Sales should be interpreted within China’s broader transition from property- and debt-intensive growth toward a more technology- and manufacturing-led model. In the master series, Headline CPI Inflation was 0.10 in 2025 (-0.10 versus 2024); Core CPI Inflation was 0.70 in 2025 (+0.20 versus 2024); PPI Inflation was -2.60 in 2025 (-0.40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Headline CPI Inflation (%)</w:t>
            </w:r>
          </w:p>
        </w:tc>
        <w:tc>
          <w:tcPr>
            <w:tcW w:type="dxa" w:w="3485"/>
            <w:vAlign w:val="center"/>
          </w:tcPr>
          <w:p>
            <w:pPr>
              <w:jc w:val="center"/>
            </w:pPr>
            <w:r/>
            <w:r>
              <w:rPr>
                <w:b w:val="0"/>
                <w:sz w:val="14"/>
              </w:rPr>
              <w:t>0.10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PPI Inflation (%)</w:t>
            </w:r>
          </w:p>
        </w:tc>
        <w:tc>
          <w:tcPr>
            <w:tcW w:type="dxa" w:w="3485"/>
            <w:vAlign w:val="center"/>
          </w:tcPr>
          <w:p>
            <w:pPr>
              <w:jc w:val="center"/>
            </w:pPr>
            <w:r/>
            <w:r>
              <w:rPr>
                <w:b w:val="0"/>
                <w:sz w:val="14"/>
              </w:rPr>
              <w:t>-2.60</w:t>
            </w:r>
          </w:p>
        </w:tc>
        <w:tc>
          <w:tcPr>
            <w:tcW w:type="dxa" w:w="3485"/>
            <w:vAlign w:val="center"/>
          </w:tcPr>
          <w:p>
            <w:pPr>
              <w:jc w:val="center"/>
            </w:pPr>
            <w:r/>
            <w:r>
              <w:rPr>
                <w:b w:val="0"/>
                <w:sz w:val="14"/>
              </w:rPr>
              <w:t>-0.40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15  /  PAGE 063  /  DEVELOPER FUNDING</w:t>
      </w:r>
    </w:p>
    <w:p>
      <w:pPr>
        <w:pStyle w:val="Title"/>
      </w:pPr>
      <w:r>
        <w:t>Developer Funding</w:t>
      </w:r>
    </w:p>
    <w:p>
      <w:pPr>
        <w:spacing w:after="100" w:line="252" w:lineRule="auto"/>
      </w:pPr>
      <w:r>
        <w:t>Developer Funding should be interpreted within China’s broader transition from property- and debt-intensive growth toward a more technology- and manufacturing-led model. In the master series, Private Investment Growth was -6.40 in 2025 (-6.30 versus 2024); Credit Growth was 8.30 in 2025 (+0.30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21" name="Picture 21"/>
            <wp:cNvGraphicFramePr>
              <a:graphicFrameLocks noChangeAspect="1"/>
            </wp:cNvGraphicFramePr>
            <a:graphic>
              <a:graphicData uri="http://schemas.openxmlformats.org/drawingml/2006/picture">
                <pic:pic>
                  <pic:nvPicPr>
                    <pic:cNvPr id="0" name="private.png"/>
                    <pic:cNvPicPr/>
                  </pic:nvPicPr>
                  <pic:blipFill>
                    <a:blip r:embed="rId13"/>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15  /  PAGE 064  /  PROPERTY–LGFV–BANK LINKAGE</w:t>
      </w:r>
    </w:p>
    <w:p>
      <w:pPr>
        <w:pStyle w:val="Title"/>
      </w:pPr>
      <w:r>
        <w:t>Property–LGFV–Bank Linkage</w:t>
      </w:r>
    </w:p>
    <w:p>
      <w:pPr>
        <w:spacing w:after="100" w:line="252" w:lineRule="auto"/>
      </w:pPr>
      <w:r>
        <w:t>Property–LGFV–Bank Linkage should be interpreted within China’s broader transition from property- and debt-intensive growth toward a more technology- and manufacturing-led model. In the master series, Government Debt / GDP was 68.40 in 2025 (+7.50 versus 2024); Interest Expenses / Revenue was 9.20 in 2025 (+0.50 versus 2024); Fiscal Deficit / GDP was -7.40 in 2025 (-0.70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15  /  PAGE 065  /  PROPERTY OUTLOOK</w:t>
      </w:r>
    </w:p>
    <w:p>
      <w:pPr>
        <w:pStyle w:val="Title"/>
      </w:pPr>
      <w:r>
        <w:t>Property Outlook</w:t>
      </w:r>
    </w:p>
    <w:p>
      <w:pPr>
        <w:spacing w:after="100" w:line="252" w:lineRule="auto"/>
      </w:pPr>
      <w:r>
        <w:t>Property Outlook should be interpreted within China’s broader transition from property- and debt-intensive growth toward a more technology- and manufacturing-led model. In the master series, Private Investment Growth was -6.40 in 2025 (-6.30 versus 2024); Credit Growth was 8.30 in 2025 (+0.30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16  /  PAGE 066  /  FISCAL POSITION</w:t>
      </w:r>
    </w:p>
    <w:p>
      <w:pPr>
        <w:pStyle w:val="Title"/>
      </w:pPr>
      <w:r>
        <w:t>Fiscal Position</w:t>
      </w:r>
    </w:p>
    <w:p>
      <w:pPr>
        <w:spacing w:after="100" w:line="252" w:lineRule="auto"/>
      </w:pPr>
      <w:r>
        <w:t>Fiscal Position should be interpreted within China’s broader transition from property- and debt-intensive growth toward a more technology- and manufacturing-led model. In the master series, Government Debt / GDP was 68.40 in 2025 (+7.50 versus 2024); Fiscal Deficit / GDP was -7.40 in 2025 (-0.70 versus 2024); Interest Expenses / Revenue was 9.20 in 2025 (+0.50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22" name="Picture 22"/>
            <wp:cNvGraphicFramePr>
              <a:graphicFrameLocks noChangeAspect="1"/>
            </wp:cNvGraphicFramePr>
            <a:graphic>
              <a:graphicData uri="http://schemas.openxmlformats.org/drawingml/2006/picture">
                <pic:pic>
                  <pic:nvPicPr>
                    <pic:cNvPr id="0" name="fiscal.png"/>
                    <pic:cNvPicPr/>
                  </pic:nvPicPr>
                  <pic:blipFill>
                    <a:blip r:embed="rId16"/>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16  /  PAGE 067  /  GOVERNMENT REVENUE</w:t>
      </w:r>
    </w:p>
    <w:p>
      <w:pPr>
        <w:pStyle w:val="Title"/>
      </w:pPr>
      <w:r>
        <w:t>Government Revenue</w:t>
      </w:r>
    </w:p>
    <w:p>
      <w:pPr>
        <w:spacing w:after="100" w:line="252" w:lineRule="auto"/>
      </w:pPr>
      <w:r>
        <w:t>Government Revenue should be interpreted within China’s broader transition from property- and debt-intensive growth toward a more technology- and manufacturing-led model. In the master series, Government Debt / GDP was 68.40 in 2025 (+7.50 versus 2024); Fiscal Deficit / GDP was -7.40 in 2025 (-0.70 versus 2024); Interest Expenses / Revenue was 9.20 in 2025 (+0.50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16  /  PAGE 068  /  GOVERNMENT EXPENDITURE</w:t>
      </w:r>
    </w:p>
    <w:p>
      <w:pPr>
        <w:pStyle w:val="Title"/>
      </w:pPr>
      <w:r>
        <w:t>Government Expenditure</w:t>
      </w:r>
    </w:p>
    <w:p>
      <w:pPr>
        <w:spacing w:after="100" w:line="252" w:lineRule="auto"/>
      </w:pPr>
      <w:r>
        <w:t>Government Expenditure should be interpreted within China’s broader transition from property- and debt-intensive growth toward a more technology- and manufacturing-led model. In the master series, Government Debt / GDP was 68.40 in 2025 (+7.50 versus 2024); Fiscal Deficit / GDP was -7.40 in 2025 (-0.70 versus 2024); Interest Expenses / Revenue was 9.20 in 2025 (+0.50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16  /  PAGE 069  /  FISCAL DEFICIT</w:t>
      </w:r>
    </w:p>
    <w:p>
      <w:pPr>
        <w:pStyle w:val="Title"/>
      </w:pPr>
      <w:r>
        <w:t>Fiscal Deficit</w:t>
      </w:r>
    </w:p>
    <w:p>
      <w:pPr>
        <w:spacing w:after="100" w:line="252" w:lineRule="auto"/>
      </w:pPr>
      <w:r>
        <w:t>Fiscal Deficit should be interpreted within China’s broader transition from property- and debt-intensive growth toward a more technology- and manufacturing-led model. In the master series, Government Debt / GDP was 68.40 in 2025 (+7.50 versus 2024); Fiscal Deficit / GDP was -7.40 in 2025 (-0.70 versus 2024); Interest Expenses / Revenue was 9.20 in 2025 (+0.50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23" name="Picture 23"/>
            <wp:cNvGraphicFramePr>
              <a:graphicFrameLocks noChangeAspect="1"/>
            </wp:cNvGraphicFramePr>
            <a:graphic>
              <a:graphicData uri="http://schemas.openxmlformats.org/drawingml/2006/picture">
                <pic:pic>
                  <pic:nvPicPr>
                    <pic:cNvPr id="0" name="fiscal.png"/>
                    <pic:cNvPicPr/>
                  </pic:nvPicPr>
                  <pic:blipFill>
                    <a:blip r:embed="rId16"/>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16  /  PAGE 070  /  PRIMARY BALANCE</w:t>
      </w:r>
    </w:p>
    <w:p>
      <w:pPr>
        <w:pStyle w:val="Title"/>
      </w:pPr>
      <w:r>
        <w:t>Primary Balance</w:t>
      </w:r>
    </w:p>
    <w:p>
      <w:pPr>
        <w:spacing w:after="100" w:line="252" w:lineRule="auto"/>
      </w:pPr>
      <w:r>
        <w:t>Primary Balance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16  /  PAGE 071  /  INTEREST BURDEN</w:t>
      </w:r>
    </w:p>
    <w:p>
      <w:pPr>
        <w:pStyle w:val="Title"/>
      </w:pPr>
      <w:r>
        <w:t>Interest Burden</w:t>
      </w:r>
    </w:p>
    <w:p>
      <w:pPr>
        <w:spacing w:after="100" w:line="252" w:lineRule="auto"/>
      </w:pPr>
      <w:r>
        <w:t>Interest Burden should be interpreted within China’s broader transition from property- and debt-intensive growth toward a more technology- and manufacturing-led model. In the master series, Government Debt / GDP was 68.40 in 2025 (+7.50 versus 2024); Fiscal Deficit / GDP was -7.40 in 2025 (-0.70 versus 2024); Interest Expenses / Revenue was 9.20 in 2025 (+0.50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16  /  PAGE 072  /  FISCAL OUTLOOK</w:t>
      </w:r>
    </w:p>
    <w:p>
      <w:pPr>
        <w:pStyle w:val="Title"/>
      </w:pPr>
      <w:r>
        <w:t>Fiscal Outlook</w:t>
      </w:r>
    </w:p>
    <w:p>
      <w:pPr>
        <w:spacing w:after="100" w:line="252" w:lineRule="auto"/>
      </w:pPr>
      <w:r>
        <w:t>Fiscal Outlook should be interpreted within China’s broader transition from property- and debt-intensive growth toward a more technology- and manufacturing-led model. In the master series, Government Debt / GDP was 68.40 in 2025 (+7.50 versus 2024); Fiscal Deficit / GDP was -7.40 in 2025 (-0.70 versus 2024); Interest Expenses / Revenue was 9.20 in 2025 (+0.50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24" name="Picture 24"/>
            <wp:cNvGraphicFramePr>
              <a:graphicFrameLocks noChangeAspect="1"/>
            </wp:cNvGraphicFramePr>
            <a:graphic>
              <a:graphicData uri="http://schemas.openxmlformats.org/drawingml/2006/picture">
                <pic:pic>
                  <pic:nvPicPr>
                    <pic:cNvPr id="0" name="fiscal.png"/>
                    <pic:cNvPicPr/>
                  </pic:nvPicPr>
                  <pic:blipFill>
                    <a:blip r:embed="rId16"/>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17  /  PAGE 073  /  GOVERNMENT DEBT</w:t>
      </w:r>
    </w:p>
    <w:p>
      <w:pPr>
        <w:pStyle w:val="Title"/>
      </w:pPr>
      <w:r>
        <w:t>Government Debt</w:t>
      </w:r>
    </w:p>
    <w:p>
      <w:pPr>
        <w:spacing w:after="100" w:line="252" w:lineRule="auto"/>
      </w:pPr>
      <w:r>
        <w:t>Government Debt should be interpreted within China’s broader transition from property- and debt-intensive growth toward a more technology- and manufacturing-led model. In the master series, Government Debt / GDP was 68.40 in 2025 (+7.50 versus 2024); Interest Expenses / Revenue was 9.20 in 2025 (+0.50 versus 2024); Fiscal Deficit / GDP was -7.40 in 2025 (-0.70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17  /  PAGE 074  /  CENTRAL VS LOCAL DEBT</w:t>
      </w:r>
    </w:p>
    <w:p>
      <w:pPr>
        <w:pStyle w:val="Title"/>
      </w:pPr>
      <w:r>
        <w:t>Central vs Local Debt</w:t>
      </w:r>
    </w:p>
    <w:p>
      <w:pPr>
        <w:spacing w:after="100" w:line="252" w:lineRule="auto"/>
      </w:pPr>
      <w:r>
        <w:t>Central vs Local Debt should be interpreted within China’s broader transition from property- and debt-intensive growth toward a more technology- and manufacturing-led model. In the master series, Government Debt / GDP was 68.40 in 2025 (+7.50 versus 2024); Interest Expenses / Revenue was 9.20 in 2025 (+0.50 versus 2024); Fiscal Deficit / GDP was -7.40 in 2025 (-0.70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17  /  PAGE 075  /  LGFV RISK</w:t>
      </w:r>
    </w:p>
    <w:p>
      <w:pPr>
        <w:pStyle w:val="Title"/>
      </w:pPr>
      <w:r>
        <w:t>LGFV Risk</w:t>
      </w:r>
    </w:p>
    <w:p>
      <w:pPr>
        <w:spacing w:after="100" w:line="252" w:lineRule="auto"/>
      </w:pPr>
      <w:r>
        <w:t>LGFV Risk should be interpreted within China’s broader transition from property- and debt-intensive growth toward a more technology- and manufacturing-led model. In the master series, Government Debt / GDP was 68.40 in 2025 (+7.50 versus 2024); Interest Expenses / Revenue was 9.20 in 2025 (+0.50 versus 2024); Fiscal Deficit / GDP was -7.40 in 2025 (-0.70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25" name="Picture 25"/>
            <wp:cNvGraphicFramePr>
              <a:graphicFrameLocks noChangeAspect="1"/>
            </wp:cNvGraphicFramePr>
            <a:graphic>
              <a:graphicData uri="http://schemas.openxmlformats.org/drawingml/2006/picture">
                <pic:pic>
                  <pic:nvPicPr>
                    <pic:cNvPr id="0" name="fiscal.png"/>
                    <pic:cNvPicPr/>
                  </pic:nvPicPr>
                  <pic:blipFill>
                    <a:blip r:embed="rId16"/>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17  /  PAGE 076  /  LAND-SALE REVENUE</w:t>
      </w:r>
    </w:p>
    <w:p>
      <w:pPr>
        <w:pStyle w:val="Title"/>
      </w:pPr>
      <w:r>
        <w:t>Land-Sale Revenue</w:t>
      </w:r>
    </w:p>
    <w:p>
      <w:pPr>
        <w:spacing w:after="100" w:line="252" w:lineRule="auto"/>
      </w:pPr>
      <w:r>
        <w:t>Land-Sale Revenue should be interpreted within China’s broader transition from property- and debt-intensive growth toward a more technology- and manufacturing-led model. In the master series, Government Debt / GDP was 68.40 in 2025 (+7.50 versus 2024); Fiscal Deficit / GDP was -7.40 in 2025 (-0.70 versus 2024); Interest Expenses / Revenue was 9.20 in 2025 (+0.50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17  /  PAGE 077  /  REFINANCING &amp; DEBT SWAPS</w:t>
      </w:r>
    </w:p>
    <w:p>
      <w:pPr>
        <w:pStyle w:val="Title"/>
      </w:pPr>
      <w:r>
        <w:t>Refinancing &amp; Debt Swaps</w:t>
      </w:r>
    </w:p>
    <w:p>
      <w:pPr>
        <w:spacing w:after="100" w:line="252" w:lineRule="auto"/>
      </w:pPr>
      <w:r>
        <w:t>Refinancing &amp; Debt Swaps should be interpreted within China’s broader transition from property- and debt-intensive growth toward a more technology- and manufacturing-led model. In the master series, Government Debt / GDP was 68.40 in 2025 (+7.50 versus 2024); Interest Expenses / Revenue was 9.20 in 2025 (+0.50 versus 2024); Fiscal Deficit / GDP was -7.40 in 2025 (-0.70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17  /  PAGE 078  /  DEBT SUSTAINABILITY</w:t>
      </w:r>
    </w:p>
    <w:p>
      <w:pPr>
        <w:pStyle w:val="Title"/>
      </w:pPr>
      <w:r>
        <w:t>Debt Sustainability</w:t>
      </w:r>
    </w:p>
    <w:p>
      <w:pPr>
        <w:spacing w:after="100" w:line="252" w:lineRule="auto"/>
      </w:pPr>
      <w:r>
        <w:t>Debt Sustainability should be interpreted within China’s broader transition from property- and debt-intensive growth toward a more technology- and manufacturing-led model. In the master series, Government Debt / GDP was 68.40 in 2025 (+7.50 versus 2024); Interest Expenses / Revenue was 9.20 in 2025 (+0.50 versus 2024); Fiscal Deficit / GDP was -7.40 in 2025 (-0.70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26" name="Picture 26"/>
            <wp:cNvGraphicFramePr>
              <a:graphicFrameLocks noChangeAspect="1"/>
            </wp:cNvGraphicFramePr>
            <a:graphic>
              <a:graphicData uri="http://schemas.openxmlformats.org/drawingml/2006/picture">
                <pic:pic>
                  <pic:nvPicPr>
                    <pic:cNvPr id="0" name="fiscal.png"/>
                    <pic:cNvPicPr/>
                  </pic:nvPicPr>
                  <pic:blipFill>
                    <a:blip r:embed="rId16"/>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18  /  PAGE 079  /  TRADE STRUCTURE</w:t>
      </w:r>
    </w:p>
    <w:p>
      <w:pPr>
        <w:pStyle w:val="Title"/>
      </w:pPr>
      <w:r>
        <w:t>Trade Structure</w:t>
      </w:r>
    </w:p>
    <w:p>
      <w:pPr>
        <w:spacing w:after="100" w:line="252" w:lineRule="auto"/>
      </w:pPr>
      <w:r>
        <w:t>Trade Structure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Current Account / GDP (%)</w:t>
            </w:r>
          </w:p>
        </w:tc>
        <w:tc>
          <w:tcPr>
            <w:tcW w:type="dxa" w:w="3485"/>
            <w:vAlign w:val="center"/>
          </w:tcPr>
          <w:p>
            <w:pPr>
              <w:jc w:val="center"/>
            </w:pPr>
            <w:r/>
            <w:r>
              <w:rPr>
                <w:b w:val="0"/>
                <w:sz w:val="14"/>
              </w:rPr>
              <w:t>3.77</w:t>
            </w:r>
          </w:p>
        </w:tc>
        <w:tc>
          <w:tcPr>
            <w:tcW w:type="dxa" w:w="3485"/>
            <w:vAlign w:val="center"/>
          </w:tcPr>
          <w:p>
            <w:pPr>
              <w:jc w:val="center"/>
            </w:pPr>
            <w:r/>
            <w:r>
              <w:rPr>
                <w:b w:val="0"/>
                <w:sz w:val="14"/>
              </w:rPr>
              <w:t>+1.30</w:t>
            </w:r>
          </w:p>
        </w:tc>
      </w:tr>
      <w:tr>
        <w:tc>
          <w:tcPr>
            <w:tcW w:type="dxa" w:w="3485"/>
            <w:vAlign w:val="center"/>
          </w:tcPr>
          <w:p>
            <w:pPr>
              <w:jc w:val="center"/>
            </w:pPr>
            <w:r/>
            <w:r>
              <w:rPr>
                <w:b w:val="0"/>
                <w:sz w:val="14"/>
              </w:rPr>
              <w:t>Trade Balance / GDP (%)</w:t>
            </w:r>
          </w:p>
        </w:tc>
        <w:tc>
          <w:tcPr>
            <w:tcW w:type="dxa" w:w="3485"/>
            <w:vAlign w:val="center"/>
          </w:tcPr>
          <w:p>
            <w:pPr>
              <w:jc w:val="center"/>
            </w:pPr>
            <w:r/>
            <w:r>
              <w:rPr>
                <w:b w:val="0"/>
                <w:sz w:val="14"/>
              </w:rPr>
              <w:t>4.14</w:t>
            </w:r>
          </w:p>
        </w:tc>
        <w:tc>
          <w:tcPr>
            <w:tcW w:type="dxa" w:w="3485"/>
            <w:vAlign w:val="center"/>
          </w:tcPr>
          <w:p>
            <w:pPr>
              <w:jc w:val="center"/>
            </w:pPr>
            <w:r/>
            <w:r>
              <w:rPr>
                <w:b w:val="0"/>
                <w:sz w:val="14"/>
              </w:rPr>
              <w:t>+1.43</w:t>
            </w:r>
          </w:p>
        </w:tc>
      </w:tr>
      <w:tr>
        <w:tc>
          <w:tcPr>
            <w:tcW w:type="dxa" w:w="3485"/>
            <w:vAlign w:val="center"/>
          </w:tcPr>
          <w:p>
            <w:pPr>
              <w:jc w:val="center"/>
            </w:pPr>
            <w:r/>
            <w:r>
              <w:rPr>
                <w:b w:val="0"/>
                <w:sz w:val="14"/>
              </w:rPr>
              <w:t>External Debt / GDP (%)</w:t>
            </w:r>
          </w:p>
        </w:tc>
        <w:tc>
          <w:tcPr>
            <w:tcW w:type="dxa" w:w="3485"/>
            <w:vAlign w:val="center"/>
          </w:tcPr>
          <w:p>
            <w:pPr>
              <w:jc w:val="center"/>
            </w:pPr>
            <w:r/>
            <w:r>
              <w:rPr>
                <w:b w:val="0"/>
                <w:sz w:val="14"/>
              </w:rPr>
              <w:t>11.90</w:t>
            </w:r>
          </w:p>
        </w:tc>
        <w:tc>
          <w:tcPr>
            <w:tcW w:type="dxa" w:w="3485"/>
            <w:vAlign w:val="center"/>
          </w:tcPr>
          <w:p>
            <w:pPr>
              <w:jc w:val="center"/>
            </w:pPr>
            <w:r/>
            <w:r>
              <w:rPr>
                <w:b w:val="0"/>
                <w:sz w:val="14"/>
              </w:rPr>
              <w:t>-0.90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18  /  PAGE 080  /  EXPORTS</w:t>
      </w:r>
    </w:p>
    <w:p>
      <w:pPr>
        <w:pStyle w:val="Title"/>
      </w:pPr>
      <w:r>
        <w:t>Exports</w:t>
      </w:r>
    </w:p>
    <w:p>
      <w:pPr>
        <w:spacing w:after="100" w:line="252" w:lineRule="auto"/>
      </w:pPr>
      <w:r>
        <w:t>Exports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Current Account / GDP (%)</w:t>
            </w:r>
          </w:p>
        </w:tc>
        <w:tc>
          <w:tcPr>
            <w:tcW w:type="dxa" w:w="3485"/>
            <w:vAlign w:val="center"/>
          </w:tcPr>
          <w:p>
            <w:pPr>
              <w:jc w:val="center"/>
            </w:pPr>
            <w:r/>
            <w:r>
              <w:rPr>
                <w:b w:val="0"/>
                <w:sz w:val="14"/>
              </w:rPr>
              <w:t>3.77</w:t>
            </w:r>
          </w:p>
        </w:tc>
        <w:tc>
          <w:tcPr>
            <w:tcW w:type="dxa" w:w="3485"/>
            <w:vAlign w:val="center"/>
          </w:tcPr>
          <w:p>
            <w:pPr>
              <w:jc w:val="center"/>
            </w:pPr>
            <w:r/>
            <w:r>
              <w:rPr>
                <w:b w:val="0"/>
                <w:sz w:val="14"/>
              </w:rPr>
              <w:t>+1.30</w:t>
            </w:r>
          </w:p>
        </w:tc>
      </w:tr>
      <w:tr>
        <w:tc>
          <w:tcPr>
            <w:tcW w:type="dxa" w:w="3485"/>
            <w:vAlign w:val="center"/>
          </w:tcPr>
          <w:p>
            <w:pPr>
              <w:jc w:val="center"/>
            </w:pPr>
            <w:r/>
            <w:r>
              <w:rPr>
                <w:b w:val="0"/>
                <w:sz w:val="14"/>
              </w:rPr>
              <w:t>Trade Balance / GDP (%)</w:t>
            </w:r>
          </w:p>
        </w:tc>
        <w:tc>
          <w:tcPr>
            <w:tcW w:type="dxa" w:w="3485"/>
            <w:vAlign w:val="center"/>
          </w:tcPr>
          <w:p>
            <w:pPr>
              <w:jc w:val="center"/>
            </w:pPr>
            <w:r/>
            <w:r>
              <w:rPr>
                <w:b w:val="0"/>
                <w:sz w:val="14"/>
              </w:rPr>
              <w:t>4.14</w:t>
            </w:r>
          </w:p>
        </w:tc>
        <w:tc>
          <w:tcPr>
            <w:tcW w:type="dxa" w:w="3485"/>
            <w:vAlign w:val="center"/>
          </w:tcPr>
          <w:p>
            <w:pPr>
              <w:jc w:val="center"/>
            </w:pPr>
            <w:r/>
            <w:r>
              <w:rPr>
                <w:b w:val="0"/>
                <w:sz w:val="14"/>
              </w:rPr>
              <w:t>+1.43</w:t>
            </w:r>
          </w:p>
        </w:tc>
      </w:tr>
      <w:tr>
        <w:tc>
          <w:tcPr>
            <w:tcW w:type="dxa" w:w="3485"/>
            <w:vAlign w:val="center"/>
          </w:tcPr>
          <w:p>
            <w:pPr>
              <w:jc w:val="center"/>
            </w:pPr>
            <w:r/>
            <w:r>
              <w:rPr>
                <w:b w:val="0"/>
                <w:sz w:val="14"/>
              </w:rPr>
              <w:t>External Debt / GDP (%)</w:t>
            </w:r>
          </w:p>
        </w:tc>
        <w:tc>
          <w:tcPr>
            <w:tcW w:type="dxa" w:w="3485"/>
            <w:vAlign w:val="center"/>
          </w:tcPr>
          <w:p>
            <w:pPr>
              <w:jc w:val="center"/>
            </w:pPr>
            <w:r/>
            <w:r>
              <w:rPr>
                <w:b w:val="0"/>
                <w:sz w:val="14"/>
              </w:rPr>
              <w:t>11.90</w:t>
            </w:r>
          </w:p>
        </w:tc>
        <w:tc>
          <w:tcPr>
            <w:tcW w:type="dxa" w:w="3485"/>
            <w:vAlign w:val="center"/>
          </w:tcPr>
          <w:p>
            <w:pPr>
              <w:jc w:val="center"/>
            </w:pPr>
            <w:r/>
            <w:r>
              <w:rPr>
                <w:b w:val="0"/>
                <w:sz w:val="14"/>
              </w:rPr>
              <w:t>-0.90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18  /  PAGE 081  /  IMPORTS</w:t>
      </w:r>
    </w:p>
    <w:p>
      <w:pPr>
        <w:pStyle w:val="Title"/>
      </w:pPr>
      <w:r>
        <w:t>Imports</w:t>
      </w:r>
    </w:p>
    <w:p>
      <w:pPr>
        <w:spacing w:after="100" w:line="252" w:lineRule="auto"/>
      </w:pPr>
      <w:r>
        <w:t>Imports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27" name="Picture 27"/>
            <wp:cNvGraphicFramePr>
              <a:graphicFrameLocks noChangeAspect="1"/>
            </wp:cNvGraphicFramePr>
            <a:graphic>
              <a:graphicData uri="http://schemas.openxmlformats.org/drawingml/2006/picture">
                <pic:pic>
                  <pic:nvPicPr>
                    <pic:cNvPr id="0" name="external.png"/>
                    <pic:cNvPicPr/>
                  </pic:nvPicPr>
                  <pic:blipFill>
                    <a:blip r:embed="rId12"/>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18  /  PAGE 082  /  TRADE BALANCE</w:t>
      </w:r>
    </w:p>
    <w:p>
      <w:pPr>
        <w:pStyle w:val="Title"/>
      </w:pPr>
      <w:r>
        <w:t>Trade Balance</w:t>
      </w:r>
    </w:p>
    <w:p>
      <w:pPr>
        <w:spacing w:after="100" w:line="252" w:lineRule="auto"/>
      </w:pPr>
      <w:r>
        <w:t>Trade Balance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Current Account / GDP (%)</w:t>
            </w:r>
          </w:p>
        </w:tc>
        <w:tc>
          <w:tcPr>
            <w:tcW w:type="dxa" w:w="3485"/>
            <w:vAlign w:val="center"/>
          </w:tcPr>
          <w:p>
            <w:pPr>
              <w:jc w:val="center"/>
            </w:pPr>
            <w:r/>
            <w:r>
              <w:rPr>
                <w:b w:val="0"/>
                <w:sz w:val="14"/>
              </w:rPr>
              <w:t>3.77</w:t>
            </w:r>
          </w:p>
        </w:tc>
        <w:tc>
          <w:tcPr>
            <w:tcW w:type="dxa" w:w="3485"/>
            <w:vAlign w:val="center"/>
          </w:tcPr>
          <w:p>
            <w:pPr>
              <w:jc w:val="center"/>
            </w:pPr>
            <w:r/>
            <w:r>
              <w:rPr>
                <w:b w:val="0"/>
                <w:sz w:val="14"/>
              </w:rPr>
              <w:t>+1.30</w:t>
            </w:r>
          </w:p>
        </w:tc>
      </w:tr>
      <w:tr>
        <w:tc>
          <w:tcPr>
            <w:tcW w:type="dxa" w:w="3485"/>
            <w:vAlign w:val="center"/>
          </w:tcPr>
          <w:p>
            <w:pPr>
              <w:jc w:val="center"/>
            </w:pPr>
            <w:r/>
            <w:r>
              <w:rPr>
                <w:b w:val="0"/>
                <w:sz w:val="14"/>
              </w:rPr>
              <w:t>Trade Balance / GDP (%)</w:t>
            </w:r>
          </w:p>
        </w:tc>
        <w:tc>
          <w:tcPr>
            <w:tcW w:type="dxa" w:w="3485"/>
            <w:vAlign w:val="center"/>
          </w:tcPr>
          <w:p>
            <w:pPr>
              <w:jc w:val="center"/>
            </w:pPr>
            <w:r/>
            <w:r>
              <w:rPr>
                <w:b w:val="0"/>
                <w:sz w:val="14"/>
              </w:rPr>
              <w:t>4.14</w:t>
            </w:r>
          </w:p>
        </w:tc>
        <w:tc>
          <w:tcPr>
            <w:tcW w:type="dxa" w:w="3485"/>
            <w:vAlign w:val="center"/>
          </w:tcPr>
          <w:p>
            <w:pPr>
              <w:jc w:val="center"/>
            </w:pPr>
            <w:r/>
            <w:r>
              <w:rPr>
                <w:b w:val="0"/>
                <w:sz w:val="14"/>
              </w:rPr>
              <w:t>+1.43</w:t>
            </w:r>
          </w:p>
        </w:tc>
      </w:tr>
      <w:tr>
        <w:tc>
          <w:tcPr>
            <w:tcW w:type="dxa" w:w="3485"/>
            <w:vAlign w:val="center"/>
          </w:tcPr>
          <w:p>
            <w:pPr>
              <w:jc w:val="center"/>
            </w:pPr>
            <w:r/>
            <w:r>
              <w:rPr>
                <w:b w:val="0"/>
                <w:sz w:val="14"/>
              </w:rPr>
              <w:t>External Debt / GDP (%)</w:t>
            </w:r>
          </w:p>
        </w:tc>
        <w:tc>
          <w:tcPr>
            <w:tcW w:type="dxa" w:w="3485"/>
            <w:vAlign w:val="center"/>
          </w:tcPr>
          <w:p>
            <w:pPr>
              <w:jc w:val="center"/>
            </w:pPr>
            <w:r/>
            <w:r>
              <w:rPr>
                <w:b w:val="0"/>
                <w:sz w:val="14"/>
              </w:rPr>
              <w:t>11.90</w:t>
            </w:r>
          </w:p>
        </w:tc>
        <w:tc>
          <w:tcPr>
            <w:tcW w:type="dxa" w:w="3485"/>
            <w:vAlign w:val="center"/>
          </w:tcPr>
          <w:p>
            <w:pPr>
              <w:jc w:val="center"/>
            </w:pPr>
            <w:r/>
            <w:r>
              <w:rPr>
                <w:b w:val="0"/>
                <w:sz w:val="14"/>
              </w:rPr>
              <w:t>-0.90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18  /  PAGE 083  /  CURRENT ACCOUNT</w:t>
      </w:r>
    </w:p>
    <w:p>
      <w:pPr>
        <w:pStyle w:val="Title"/>
      </w:pPr>
      <w:r>
        <w:t>Current Account</w:t>
      </w:r>
    </w:p>
    <w:p>
      <w:pPr>
        <w:spacing w:after="100" w:line="252" w:lineRule="auto"/>
      </w:pPr>
      <w:r>
        <w:t>Current Account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Current Account / GDP (%)</w:t>
            </w:r>
          </w:p>
        </w:tc>
        <w:tc>
          <w:tcPr>
            <w:tcW w:type="dxa" w:w="3485"/>
            <w:vAlign w:val="center"/>
          </w:tcPr>
          <w:p>
            <w:pPr>
              <w:jc w:val="center"/>
            </w:pPr>
            <w:r/>
            <w:r>
              <w:rPr>
                <w:b w:val="0"/>
                <w:sz w:val="14"/>
              </w:rPr>
              <w:t>3.77</w:t>
            </w:r>
          </w:p>
        </w:tc>
        <w:tc>
          <w:tcPr>
            <w:tcW w:type="dxa" w:w="3485"/>
            <w:vAlign w:val="center"/>
          </w:tcPr>
          <w:p>
            <w:pPr>
              <w:jc w:val="center"/>
            </w:pPr>
            <w:r/>
            <w:r>
              <w:rPr>
                <w:b w:val="0"/>
                <w:sz w:val="14"/>
              </w:rPr>
              <w:t>+1.30</w:t>
            </w:r>
          </w:p>
        </w:tc>
      </w:tr>
      <w:tr>
        <w:tc>
          <w:tcPr>
            <w:tcW w:type="dxa" w:w="3485"/>
            <w:vAlign w:val="center"/>
          </w:tcPr>
          <w:p>
            <w:pPr>
              <w:jc w:val="center"/>
            </w:pPr>
            <w:r/>
            <w:r>
              <w:rPr>
                <w:b w:val="0"/>
                <w:sz w:val="14"/>
              </w:rPr>
              <w:t>Trade Balance / GDP (%)</w:t>
            </w:r>
          </w:p>
        </w:tc>
        <w:tc>
          <w:tcPr>
            <w:tcW w:type="dxa" w:w="3485"/>
            <w:vAlign w:val="center"/>
          </w:tcPr>
          <w:p>
            <w:pPr>
              <w:jc w:val="center"/>
            </w:pPr>
            <w:r/>
            <w:r>
              <w:rPr>
                <w:b w:val="0"/>
                <w:sz w:val="14"/>
              </w:rPr>
              <w:t>4.14</w:t>
            </w:r>
          </w:p>
        </w:tc>
        <w:tc>
          <w:tcPr>
            <w:tcW w:type="dxa" w:w="3485"/>
            <w:vAlign w:val="center"/>
          </w:tcPr>
          <w:p>
            <w:pPr>
              <w:jc w:val="center"/>
            </w:pPr>
            <w:r/>
            <w:r>
              <w:rPr>
                <w:b w:val="0"/>
                <w:sz w:val="14"/>
              </w:rPr>
              <w:t>+1.43</w:t>
            </w:r>
          </w:p>
        </w:tc>
      </w:tr>
      <w:tr>
        <w:tc>
          <w:tcPr>
            <w:tcW w:type="dxa" w:w="3485"/>
            <w:vAlign w:val="center"/>
          </w:tcPr>
          <w:p>
            <w:pPr>
              <w:jc w:val="center"/>
            </w:pPr>
            <w:r/>
            <w:r>
              <w:rPr>
                <w:b w:val="0"/>
                <w:sz w:val="14"/>
              </w:rPr>
              <w:t>External Debt / GDP (%)</w:t>
            </w:r>
          </w:p>
        </w:tc>
        <w:tc>
          <w:tcPr>
            <w:tcW w:type="dxa" w:w="3485"/>
            <w:vAlign w:val="center"/>
          </w:tcPr>
          <w:p>
            <w:pPr>
              <w:jc w:val="center"/>
            </w:pPr>
            <w:r/>
            <w:r>
              <w:rPr>
                <w:b w:val="0"/>
                <w:sz w:val="14"/>
              </w:rPr>
              <w:t>11.90</w:t>
            </w:r>
          </w:p>
        </w:tc>
        <w:tc>
          <w:tcPr>
            <w:tcW w:type="dxa" w:w="3485"/>
            <w:vAlign w:val="center"/>
          </w:tcPr>
          <w:p>
            <w:pPr>
              <w:jc w:val="center"/>
            </w:pPr>
            <w:r/>
            <w:r>
              <w:rPr>
                <w:b w:val="0"/>
                <w:sz w:val="14"/>
              </w:rPr>
              <w:t>-0.90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18  /  PAGE 084  /  FDI</w:t>
      </w:r>
    </w:p>
    <w:p>
      <w:pPr>
        <w:pStyle w:val="Title"/>
      </w:pPr>
      <w:r>
        <w:t>FDI</w:t>
      </w:r>
    </w:p>
    <w:p>
      <w:pPr>
        <w:spacing w:after="100" w:line="252" w:lineRule="auto"/>
      </w:pPr>
      <w:r>
        <w:t>FDI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28" name="Picture 28"/>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18  /  PAGE 085  /  EXTERNAL DEBT</w:t>
      </w:r>
    </w:p>
    <w:p>
      <w:pPr>
        <w:pStyle w:val="Title"/>
      </w:pPr>
      <w:r>
        <w:t>External Debt</w:t>
      </w:r>
    </w:p>
    <w:p>
      <w:pPr>
        <w:spacing w:after="100" w:line="252" w:lineRule="auto"/>
      </w:pPr>
      <w:r>
        <w:t>External Debt should be interpreted within China’s broader transition from property- and debt-intensive growth toward a more technology- and manufacturing-led model. In the master series, Government Debt / GDP was 68.40 in 2025 (+7.50 versus 2024); Interest Expenses / Revenue was 9.20 in 2025 (+0.50 versus 2024); Fiscal Deficit / GDP was -7.40 in 2025 (-0.70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19  /  PAGE 086  /  USD/CNY &amp; RMB CYCLE</w:t>
      </w:r>
    </w:p>
    <w:p>
      <w:pPr>
        <w:pStyle w:val="Title"/>
      </w:pPr>
      <w:r>
        <w:t>USD/CNY &amp; RMB Cycle</w:t>
      </w:r>
    </w:p>
    <w:p>
      <w:pPr>
        <w:spacing w:after="100" w:line="252" w:lineRule="auto"/>
      </w:pPr>
      <w:r>
        <w:t>USD/CNY &amp; RMB Cycle should be interpreted within China’s broader transition from property- and debt-intensive growth toward a more technology- and manufacturing-led model. In the master series, REER Change was -4.16 in 2025 (-1.83 versus 2024); Current Account / GDP was 3.77 in 2025 (+1.30 versus 2024); Inward FDI / GDP was 0.40 in 2025 (+0.20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REER Change (%)</w:t>
            </w:r>
          </w:p>
        </w:tc>
        <w:tc>
          <w:tcPr>
            <w:tcW w:type="dxa" w:w="3485"/>
            <w:vAlign w:val="center"/>
          </w:tcPr>
          <w:p>
            <w:pPr>
              <w:jc w:val="center"/>
            </w:pPr>
            <w:r/>
            <w:r>
              <w:rPr>
                <w:b w:val="0"/>
                <w:sz w:val="14"/>
              </w:rPr>
              <w:t>-4.16</w:t>
            </w:r>
          </w:p>
        </w:tc>
        <w:tc>
          <w:tcPr>
            <w:tcW w:type="dxa" w:w="3485"/>
            <w:vAlign w:val="center"/>
          </w:tcPr>
          <w:p>
            <w:pPr>
              <w:jc w:val="center"/>
            </w:pPr>
            <w:r/>
            <w:r>
              <w:rPr>
                <w:b w:val="0"/>
                <w:sz w:val="14"/>
              </w:rPr>
              <w:t>-1.83</w:t>
            </w:r>
          </w:p>
        </w:tc>
      </w:tr>
      <w:tr>
        <w:tc>
          <w:tcPr>
            <w:tcW w:type="dxa" w:w="3485"/>
            <w:vAlign w:val="center"/>
          </w:tcPr>
          <w:p>
            <w:pPr>
              <w:jc w:val="center"/>
            </w:pPr>
            <w:r/>
            <w:r>
              <w:rPr>
                <w:b w:val="0"/>
                <w:sz w:val="14"/>
              </w:rPr>
              <w:t>Current Account / GDP (%)</w:t>
            </w:r>
          </w:p>
        </w:tc>
        <w:tc>
          <w:tcPr>
            <w:tcW w:type="dxa" w:w="3485"/>
            <w:vAlign w:val="center"/>
          </w:tcPr>
          <w:p>
            <w:pPr>
              <w:jc w:val="center"/>
            </w:pPr>
            <w:r/>
            <w:r>
              <w:rPr>
                <w:b w:val="0"/>
                <w:sz w:val="14"/>
              </w:rPr>
              <w:t>3.77</w:t>
            </w:r>
          </w:p>
        </w:tc>
        <w:tc>
          <w:tcPr>
            <w:tcW w:type="dxa" w:w="3485"/>
            <w:vAlign w:val="center"/>
          </w:tcPr>
          <w:p>
            <w:pPr>
              <w:jc w:val="center"/>
            </w:pPr>
            <w:r/>
            <w:r>
              <w:rPr>
                <w:b w:val="0"/>
                <w:sz w:val="14"/>
              </w:rPr>
              <w:t>+1.30</w:t>
            </w:r>
          </w:p>
        </w:tc>
      </w:tr>
      <w:tr>
        <w:tc>
          <w:tcPr>
            <w:tcW w:type="dxa" w:w="3485"/>
            <w:vAlign w:val="center"/>
          </w:tcPr>
          <w:p>
            <w:pPr>
              <w:jc w:val="center"/>
            </w:pPr>
            <w:r/>
            <w:r>
              <w:rPr>
                <w:b w:val="0"/>
                <w:sz w:val="14"/>
              </w:rPr>
              <w:t>Inward FDI / GDP (%)</w:t>
            </w:r>
          </w:p>
        </w:tc>
        <w:tc>
          <w:tcPr>
            <w:tcW w:type="dxa" w:w="3485"/>
            <w:vAlign w:val="center"/>
          </w:tcPr>
          <w:p>
            <w:pPr>
              <w:jc w:val="center"/>
            </w:pPr>
            <w:r/>
            <w:r>
              <w:rPr>
                <w:b w:val="0"/>
                <w:sz w:val="14"/>
              </w:rPr>
              <w:t>0.40</w:t>
            </w:r>
          </w:p>
        </w:tc>
        <w:tc>
          <w:tcPr>
            <w:tcW w:type="dxa" w:w="3485"/>
            <w:vAlign w:val="center"/>
          </w:tcPr>
          <w:p>
            <w:pPr>
              <w:jc w:val="center"/>
            </w:pPr>
            <w:r/>
            <w:r>
              <w:rPr>
                <w:b w:val="0"/>
                <w:sz w:val="14"/>
              </w:rPr>
              <w:t>+0.20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19  /  PAGE 087  /  REER &amp; COMPETITIVENESS</w:t>
      </w:r>
    </w:p>
    <w:p>
      <w:pPr>
        <w:pStyle w:val="Title"/>
      </w:pPr>
      <w:r>
        <w:t>REER &amp; Competitiveness</w:t>
      </w:r>
    </w:p>
    <w:p>
      <w:pPr>
        <w:spacing w:after="100" w:line="252" w:lineRule="auto"/>
      </w:pPr>
      <w:r>
        <w:t>REER &amp; Competitiveness should be interpreted within China’s broader transition from property- and debt-intensive growth toward a more technology- and manufacturing-led model. In the master series, REER Change was -4.16 in 2025 (-1.83 versus 2024); Current Account / GDP was 3.77 in 2025 (+1.30 versus 2024); Inward FDI / GDP was 0.40 in 2025 (+0.20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29" name="Picture 29"/>
            <wp:cNvGraphicFramePr>
              <a:graphicFrameLocks noChangeAspect="1"/>
            </wp:cNvGraphicFramePr>
            <a:graphic>
              <a:graphicData uri="http://schemas.openxmlformats.org/drawingml/2006/picture">
                <pic:pic>
                  <pic:nvPicPr>
                    <pic:cNvPr id="0" name="fdi.png"/>
                    <pic:cNvPicPr/>
                  </pic:nvPicPr>
                  <pic:blipFill>
                    <a:blip r:embed="rId17"/>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19  /  PAGE 088  /  FX RESERVES &amp; CAPITAL FLOWS</w:t>
      </w:r>
    </w:p>
    <w:p>
      <w:pPr>
        <w:pStyle w:val="Title"/>
      </w:pPr>
      <w:r>
        <w:t>FX Reserves &amp; Capital Flows</w:t>
      </w:r>
    </w:p>
    <w:p>
      <w:pPr>
        <w:spacing w:after="100" w:line="252" w:lineRule="auto"/>
      </w:pPr>
      <w:r>
        <w:t>FX Reserves &amp; Capital Flows should be interpreted within China’s broader transition from property- and debt-intensive growth toward a more technology- and manufacturing-led model. In the master series, REER Change was -4.16 in 2025 (-1.83 versus 2024); Current Account / GDP was 3.77 in 2025 (+1.30 versus 2024); Inward FDI / GDP was 0.40 in 2025 (+0.20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REER Change (%)</w:t>
            </w:r>
          </w:p>
        </w:tc>
        <w:tc>
          <w:tcPr>
            <w:tcW w:type="dxa" w:w="3485"/>
            <w:vAlign w:val="center"/>
          </w:tcPr>
          <w:p>
            <w:pPr>
              <w:jc w:val="center"/>
            </w:pPr>
            <w:r/>
            <w:r>
              <w:rPr>
                <w:b w:val="0"/>
                <w:sz w:val="14"/>
              </w:rPr>
              <w:t>-4.16</w:t>
            </w:r>
          </w:p>
        </w:tc>
        <w:tc>
          <w:tcPr>
            <w:tcW w:type="dxa" w:w="3485"/>
            <w:vAlign w:val="center"/>
          </w:tcPr>
          <w:p>
            <w:pPr>
              <w:jc w:val="center"/>
            </w:pPr>
            <w:r/>
            <w:r>
              <w:rPr>
                <w:b w:val="0"/>
                <w:sz w:val="14"/>
              </w:rPr>
              <w:t>-1.83</w:t>
            </w:r>
          </w:p>
        </w:tc>
      </w:tr>
      <w:tr>
        <w:tc>
          <w:tcPr>
            <w:tcW w:type="dxa" w:w="3485"/>
            <w:vAlign w:val="center"/>
          </w:tcPr>
          <w:p>
            <w:pPr>
              <w:jc w:val="center"/>
            </w:pPr>
            <w:r/>
            <w:r>
              <w:rPr>
                <w:b w:val="0"/>
                <w:sz w:val="14"/>
              </w:rPr>
              <w:t>Current Account / GDP (%)</w:t>
            </w:r>
          </w:p>
        </w:tc>
        <w:tc>
          <w:tcPr>
            <w:tcW w:type="dxa" w:w="3485"/>
            <w:vAlign w:val="center"/>
          </w:tcPr>
          <w:p>
            <w:pPr>
              <w:jc w:val="center"/>
            </w:pPr>
            <w:r/>
            <w:r>
              <w:rPr>
                <w:b w:val="0"/>
                <w:sz w:val="14"/>
              </w:rPr>
              <w:t>3.77</w:t>
            </w:r>
          </w:p>
        </w:tc>
        <w:tc>
          <w:tcPr>
            <w:tcW w:type="dxa" w:w="3485"/>
            <w:vAlign w:val="center"/>
          </w:tcPr>
          <w:p>
            <w:pPr>
              <w:jc w:val="center"/>
            </w:pPr>
            <w:r/>
            <w:r>
              <w:rPr>
                <w:b w:val="0"/>
                <w:sz w:val="14"/>
              </w:rPr>
              <w:t>+1.30</w:t>
            </w:r>
          </w:p>
        </w:tc>
      </w:tr>
      <w:tr>
        <w:tc>
          <w:tcPr>
            <w:tcW w:type="dxa" w:w="3485"/>
            <w:vAlign w:val="center"/>
          </w:tcPr>
          <w:p>
            <w:pPr>
              <w:jc w:val="center"/>
            </w:pPr>
            <w:r/>
            <w:r>
              <w:rPr>
                <w:b w:val="0"/>
                <w:sz w:val="14"/>
              </w:rPr>
              <w:t>Inward FDI / GDP (%)</w:t>
            </w:r>
          </w:p>
        </w:tc>
        <w:tc>
          <w:tcPr>
            <w:tcW w:type="dxa" w:w="3485"/>
            <w:vAlign w:val="center"/>
          </w:tcPr>
          <w:p>
            <w:pPr>
              <w:jc w:val="center"/>
            </w:pPr>
            <w:r/>
            <w:r>
              <w:rPr>
                <w:b w:val="0"/>
                <w:sz w:val="14"/>
              </w:rPr>
              <w:t>0.40</w:t>
            </w:r>
          </w:p>
        </w:tc>
        <w:tc>
          <w:tcPr>
            <w:tcW w:type="dxa" w:w="3485"/>
            <w:vAlign w:val="center"/>
          </w:tcPr>
          <w:p>
            <w:pPr>
              <w:jc w:val="center"/>
            </w:pPr>
            <w:r/>
            <w:r>
              <w:rPr>
                <w:b w:val="0"/>
                <w:sz w:val="14"/>
              </w:rPr>
              <w:t>+0.20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19  /  PAGE 089  /  RMB OUTLOOK</w:t>
      </w:r>
    </w:p>
    <w:p>
      <w:pPr>
        <w:pStyle w:val="Title"/>
      </w:pPr>
      <w:r>
        <w:t>RMB Outlook</w:t>
      </w:r>
    </w:p>
    <w:p>
      <w:pPr>
        <w:spacing w:after="100" w:line="252" w:lineRule="auto"/>
      </w:pPr>
      <w:r>
        <w:t>RMB Outlook should be interpreted within China’s broader transition from property- and debt-intensive growth toward a more technology- and manufacturing-led model. In the master series, REER Change was -4.16 in 2025 (-1.83 versus 2024); Current Account / GDP was 3.77 in 2025 (+1.30 versus 2024); Inward FDI / GDP was 0.40 in 2025 (+0.20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REER Change (%)</w:t>
            </w:r>
          </w:p>
        </w:tc>
        <w:tc>
          <w:tcPr>
            <w:tcW w:type="dxa" w:w="3485"/>
            <w:vAlign w:val="center"/>
          </w:tcPr>
          <w:p>
            <w:pPr>
              <w:jc w:val="center"/>
            </w:pPr>
            <w:r/>
            <w:r>
              <w:rPr>
                <w:b w:val="0"/>
                <w:sz w:val="14"/>
              </w:rPr>
              <w:t>-4.16</w:t>
            </w:r>
          </w:p>
        </w:tc>
        <w:tc>
          <w:tcPr>
            <w:tcW w:type="dxa" w:w="3485"/>
            <w:vAlign w:val="center"/>
          </w:tcPr>
          <w:p>
            <w:pPr>
              <w:jc w:val="center"/>
            </w:pPr>
            <w:r/>
            <w:r>
              <w:rPr>
                <w:b w:val="0"/>
                <w:sz w:val="14"/>
              </w:rPr>
              <w:t>-1.83</w:t>
            </w:r>
          </w:p>
        </w:tc>
      </w:tr>
      <w:tr>
        <w:tc>
          <w:tcPr>
            <w:tcW w:type="dxa" w:w="3485"/>
            <w:vAlign w:val="center"/>
          </w:tcPr>
          <w:p>
            <w:pPr>
              <w:jc w:val="center"/>
            </w:pPr>
            <w:r/>
            <w:r>
              <w:rPr>
                <w:b w:val="0"/>
                <w:sz w:val="14"/>
              </w:rPr>
              <w:t>Current Account / GDP (%)</w:t>
            </w:r>
          </w:p>
        </w:tc>
        <w:tc>
          <w:tcPr>
            <w:tcW w:type="dxa" w:w="3485"/>
            <w:vAlign w:val="center"/>
          </w:tcPr>
          <w:p>
            <w:pPr>
              <w:jc w:val="center"/>
            </w:pPr>
            <w:r/>
            <w:r>
              <w:rPr>
                <w:b w:val="0"/>
                <w:sz w:val="14"/>
              </w:rPr>
              <w:t>3.77</w:t>
            </w:r>
          </w:p>
        </w:tc>
        <w:tc>
          <w:tcPr>
            <w:tcW w:type="dxa" w:w="3485"/>
            <w:vAlign w:val="center"/>
          </w:tcPr>
          <w:p>
            <w:pPr>
              <w:jc w:val="center"/>
            </w:pPr>
            <w:r/>
            <w:r>
              <w:rPr>
                <w:b w:val="0"/>
                <w:sz w:val="14"/>
              </w:rPr>
              <w:t>+1.30</w:t>
            </w:r>
          </w:p>
        </w:tc>
      </w:tr>
      <w:tr>
        <w:tc>
          <w:tcPr>
            <w:tcW w:type="dxa" w:w="3485"/>
            <w:vAlign w:val="center"/>
          </w:tcPr>
          <w:p>
            <w:pPr>
              <w:jc w:val="center"/>
            </w:pPr>
            <w:r/>
            <w:r>
              <w:rPr>
                <w:b w:val="0"/>
                <w:sz w:val="14"/>
              </w:rPr>
              <w:t>Inward FDI / GDP (%)</w:t>
            </w:r>
          </w:p>
        </w:tc>
        <w:tc>
          <w:tcPr>
            <w:tcW w:type="dxa" w:w="3485"/>
            <w:vAlign w:val="center"/>
          </w:tcPr>
          <w:p>
            <w:pPr>
              <w:jc w:val="center"/>
            </w:pPr>
            <w:r/>
            <w:r>
              <w:rPr>
                <w:b w:val="0"/>
                <w:sz w:val="14"/>
              </w:rPr>
              <w:t>0.40</w:t>
            </w:r>
          </w:p>
        </w:tc>
        <w:tc>
          <w:tcPr>
            <w:tcW w:type="dxa" w:w="3485"/>
            <w:vAlign w:val="center"/>
          </w:tcPr>
          <w:p>
            <w:pPr>
              <w:jc w:val="center"/>
            </w:pPr>
            <w:r/>
            <w:r>
              <w:rPr>
                <w:b w:val="0"/>
                <w:sz w:val="14"/>
              </w:rPr>
              <w:t>+0.20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20  /  PAGE 090  /  EMPLOYMENT &amp; UNEMPLOYMENT</w:t>
      </w:r>
    </w:p>
    <w:p>
      <w:pPr>
        <w:pStyle w:val="Title"/>
      </w:pPr>
      <w:r>
        <w:t>Employment &amp; Unemployment</w:t>
      </w:r>
    </w:p>
    <w:p>
      <w:pPr>
        <w:spacing w:after="100" w:line="252" w:lineRule="auto"/>
      </w:pPr>
      <w:r>
        <w:t>Employment &amp; Unemployment should be interpreted within China’s broader transition from property- and debt-intensive growth toward a more technology- and manufacturing-led model. In the master series, Unemployment Rate was 4.60 in 2025 (+0.03 versus 2024); Labor Force Participation Rate was 64.60 in 2025 (-0.30 versus 2024); Real Wage Growth was 4.20 in 2025 (+1.60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0" name="Picture 30"/>
            <wp:cNvGraphicFramePr>
              <a:graphicFrameLocks noChangeAspect="1"/>
            </wp:cNvGraphicFramePr>
            <a:graphic>
              <a:graphicData uri="http://schemas.openxmlformats.org/drawingml/2006/picture">
                <pic:pic>
                  <pic:nvPicPr>
                    <pic:cNvPr id="0" name="labor.png"/>
                    <pic:cNvPicPr/>
                  </pic:nvPicPr>
                  <pic:blipFill>
                    <a:blip r:embed="rId18"/>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20  /  PAGE 091  /  LABOR FORCE PARTICIPATION</w:t>
      </w:r>
    </w:p>
    <w:p>
      <w:pPr>
        <w:pStyle w:val="Title"/>
      </w:pPr>
      <w:r>
        <w:t>Labor Force Participation</w:t>
      </w:r>
    </w:p>
    <w:p>
      <w:pPr>
        <w:spacing w:after="100" w:line="252" w:lineRule="auto"/>
      </w:pPr>
      <w:r>
        <w:t>Labor Force Participation should be interpreted within China’s broader transition from property- and debt-intensive growth toward a more technology- and manufacturing-led model. In the master series, Unemployment Rate was 4.60 in 2025 (+0.03 versus 2024); Labor Force Participation Rate was 64.60 in 2025 (-0.30 versus 2024); Real Wage Growth was 4.20 in 2025 (+1.60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Unemployment Rate (%)</w:t>
            </w:r>
          </w:p>
        </w:tc>
        <w:tc>
          <w:tcPr>
            <w:tcW w:type="dxa" w:w="3485"/>
            <w:vAlign w:val="center"/>
          </w:tcPr>
          <w:p>
            <w:pPr>
              <w:jc w:val="center"/>
            </w:pPr>
            <w:r/>
            <w:r>
              <w:rPr>
                <w:b w:val="0"/>
                <w:sz w:val="14"/>
              </w:rPr>
              <w:t>4.60</w:t>
            </w:r>
          </w:p>
        </w:tc>
        <w:tc>
          <w:tcPr>
            <w:tcW w:type="dxa" w:w="3485"/>
            <w:vAlign w:val="center"/>
          </w:tcPr>
          <w:p>
            <w:pPr>
              <w:jc w:val="center"/>
            </w:pPr>
            <w:r/>
            <w:r>
              <w:rPr>
                <w:b w:val="0"/>
                <w:sz w:val="14"/>
              </w:rPr>
              <w:t>+0.03</w:t>
            </w:r>
          </w:p>
        </w:tc>
      </w:tr>
      <w:tr>
        <w:tc>
          <w:tcPr>
            <w:tcW w:type="dxa" w:w="3485"/>
            <w:vAlign w:val="center"/>
          </w:tcPr>
          <w:p>
            <w:pPr>
              <w:jc w:val="center"/>
            </w:pPr>
            <w:r/>
            <w:r>
              <w:rPr>
                <w:b w:val="0"/>
                <w:sz w:val="14"/>
              </w:rPr>
              <w:t>Labor Force Participation Rate (%)</w:t>
            </w:r>
          </w:p>
        </w:tc>
        <w:tc>
          <w:tcPr>
            <w:tcW w:type="dxa" w:w="3485"/>
            <w:vAlign w:val="center"/>
          </w:tcPr>
          <w:p>
            <w:pPr>
              <w:jc w:val="center"/>
            </w:pPr>
            <w:r/>
            <w:r>
              <w:rPr>
                <w:b w:val="0"/>
                <w:sz w:val="14"/>
              </w:rPr>
              <w:t>64.60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Real Wage Growth (%)</w:t>
            </w:r>
          </w:p>
        </w:tc>
        <w:tc>
          <w:tcPr>
            <w:tcW w:type="dxa" w:w="3485"/>
            <w:vAlign w:val="center"/>
          </w:tcPr>
          <w:p>
            <w:pPr>
              <w:jc w:val="center"/>
            </w:pPr>
            <w:r/>
            <w:r>
              <w:rPr>
                <w:b w:val="0"/>
                <w:sz w:val="14"/>
              </w:rPr>
              <w:t>4.20</w:t>
            </w:r>
          </w:p>
        </w:tc>
        <w:tc>
          <w:tcPr>
            <w:tcW w:type="dxa" w:w="3485"/>
            <w:vAlign w:val="center"/>
          </w:tcPr>
          <w:p>
            <w:pPr>
              <w:jc w:val="center"/>
            </w:pPr>
            <w:r/>
            <w:r>
              <w:rPr>
                <w:b w:val="0"/>
                <w:sz w:val="14"/>
              </w:rPr>
              <w:t>+1.60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20  /  PAGE 092  /  REAL WAGE GROWTH</w:t>
      </w:r>
    </w:p>
    <w:p>
      <w:pPr>
        <w:pStyle w:val="Title"/>
      </w:pPr>
      <w:r>
        <w:t>Real Wage Growth</w:t>
      </w:r>
    </w:p>
    <w:p>
      <w:pPr>
        <w:spacing w:after="100" w:line="252" w:lineRule="auto"/>
      </w:pPr>
      <w:r>
        <w:t>Real Wage Growth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Output Gap (% Potential GDP)</w:t>
            </w:r>
          </w:p>
        </w:tc>
        <w:tc>
          <w:tcPr>
            <w:tcW w:type="dxa" w:w="3485"/>
            <w:vAlign w:val="center"/>
          </w:tcPr>
          <w:p>
            <w:pPr>
              <w:jc w:val="center"/>
            </w:pPr>
            <w:r/>
            <w:r>
              <w:rPr>
                <w:b w:val="0"/>
                <w:sz w:val="14"/>
              </w:rPr>
              <w:t>-1.00</w:t>
            </w:r>
          </w:p>
        </w:tc>
        <w:tc>
          <w:tcPr>
            <w:tcW w:type="dxa" w:w="3485"/>
            <w:vAlign w:val="center"/>
          </w:tcPr>
          <w:p>
            <w:pPr>
              <w:jc w:val="center"/>
            </w:pPr>
            <w:r/>
            <w:r>
              <w:rPr>
                <w:b w:val="0"/>
                <w:sz w:val="14"/>
              </w:rPr>
              <w:t>+0.60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20  /  PAGE 093  /  NEW URBAN JOBS</w:t>
      </w:r>
    </w:p>
    <w:p>
      <w:pPr>
        <w:pStyle w:val="Title"/>
      </w:pPr>
      <w:r>
        <w:t>New Urban Jobs</w:t>
      </w:r>
    </w:p>
    <w:p>
      <w:pPr>
        <w:spacing w:after="100" w:line="252" w:lineRule="auto"/>
      </w:pPr>
      <w:r>
        <w:t>New Urban Jobs should be interpreted within China’s broader transition from property- and debt-intensive growth toward a more technology- and manufacturing-led model. In the master series, Unemployment Rate was 4.60 in 2025 (+0.03 versus 2024); Labor Force Participation Rate was 64.60 in 2025 (-0.30 versus 2024); Real Wage Growth was 4.20 in 2025 (+1.60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1" name="Picture 31"/>
            <wp:cNvGraphicFramePr>
              <a:graphicFrameLocks noChangeAspect="1"/>
            </wp:cNvGraphicFramePr>
            <a:graphic>
              <a:graphicData uri="http://schemas.openxmlformats.org/drawingml/2006/picture">
                <pic:pic>
                  <pic:nvPicPr>
                    <pic:cNvPr id="0" name="labor.png"/>
                    <pic:cNvPicPr/>
                  </pic:nvPicPr>
                  <pic:blipFill>
                    <a:blip r:embed="rId18"/>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20  /  PAGE 094  /  WORKING-AGE POPULATION</w:t>
      </w:r>
    </w:p>
    <w:p>
      <w:pPr>
        <w:pStyle w:val="Title"/>
      </w:pPr>
      <w:r>
        <w:t>Working-Age Population</w:t>
      </w:r>
    </w:p>
    <w:p>
      <w:pPr>
        <w:spacing w:after="100" w:line="252" w:lineRule="auto"/>
      </w:pPr>
      <w:r>
        <w:t>Working-Age Population should be interpreted within China’s broader transition from property- and debt-intensive growth toward a more technology- and manufacturing-led model. In the master series, Unemployment Rate was 4.60 in 2025 (+0.03 versus 2024); Labor Force Participation Rate was 64.60 in 2025 (-0.30 versus 2024); Real Wage Growth was 4.20 in 2025 (+1.60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Unemployment Rate (%)</w:t>
            </w:r>
          </w:p>
        </w:tc>
        <w:tc>
          <w:tcPr>
            <w:tcW w:type="dxa" w:w="3485"/>
            <w:vAlign w:val="center"/>
          </w:tcPr>
          <w:p>
            <w:pPr>
              <w:jc w:val="center"/>
            </w:pPr>
            <w:r/>
            <w:r>
              <w:rPr>
                <w:b w:val="0"/>
                <w:sz w:val="14"/>
              </w:rPr>
              <w:t>4.60</w:t>
            </w:r>
          </w:p>
        </w:tc>
        <w:tc>
          <w:tcPr>
            <w:tcW w:type="dxa" w:w="3485"/>
            <w:vAlign w:val="center"/>
          </w:tcPr>
          <w:p>
            <w:pPr>
              <w:jc w:val="center"/>
            </w:pPr>
            <w:r/>
            <w:r>
              <w:rPr>
                <w:b w:val="0"/>
                <w:sz w:val="14"/>
              </w:rPr>
              <w:t>+0.03</w:t>
            </w:r>
          </w:p>
        </w:tc>
      </w:tr>
      <w:tr>
        <w:tc>
          <w:tcPr>
            <w:tcW w:type="dxa" w:w="3485"/>
            <w:vAlign w:val="center"/>
          </w:tcPr>
          <w:p>
            <w:pPr>
              <w:jc w:val="center"/>
            </w:pPr>
            <w:r/>
            <w:r>
              <w:rPr>
                <w:b w:val="0"/>
                <w:sz w:val="14"/>
              </w:rPr>
              <w:t>Labor Force Participation Rate (%)</w:t>
            </w:r>
          </w:p>
        </w:tc>
        <w:tc>
          <w:tcPr>
            <w:tcW w:type="dxa" w:w="3485"/>
            <w:vAlign w:val="center"/>
          </w:tcPr>
          <w:p>
            <w:pPr>
              <w:jc w:val="center"/>
            </w:pPr>
            <w:r/>
            <w:r>
              <w:rPr>
                <w:b w:val="0"/>
                <w:sz w:val="14"/>
              </w:rPr>
              <w:t>64.60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Real Wage Growth (%)</w:t>
            </w:r>
          </w:p>
        </w:tc>
        <w:tc>
          <w:tcPr>
            <w:tcW w:type="dxa" w:w="3485"/>
            <w:vAlign w:val="center"/>
          </w:tcPr>
          <w:p>
            <w:pPr>
              <w:jc w:val="center"/>
            </w:pPr>
            <w:r/>
            <w:r>
              <w:rPr>
                <w:b w:val="0"/>
                <w:sz w:val="14"/>
              </w:rPr>
              <w:t>4.20</w:t>
            </w:r>
          </w:p>
        </w:tc>
        <w:tc>
          <w:tcPr>
            <w:tcW w:type="dxa" w:w="3485"/>
            <w:vAlign w:val="center"/>
          </w:tcPr>
          <w:p>
            <w:pPr>
              <w:jc w:val="center"/>
            </w:pPr>
            <w:r/>
            <w:r>
              <w:rPr>
                <w:b w:val="0"/>
                <w:sz w:val="14"/>
              </w:rPr>
              <w:t>+1.60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20  /  PAGE 095  /  LABOR OUTLOOK</w:t>
      </w:r>
    </w:p>
    <w:p>
      <w:pPr>
        <w:pStyle w:val="Title"/>
      </w:pPr>
      <w:r>
        <w:t>Labor Outlook</w:t>
      </w:r>
    </w:p>
    <w:p>
      <w:pPr>
        <w:spacing w:after="100" w:line="252" w:lineRule="auto"/>
      </w:pPr>
      <w:r>
        <w:t>Labor Outlook should be interpreted within China’s broader transition from property- and debt-intensive growth toward a more technology- and manufacturing-led model. In the master series, Unemployment Rate was 4.60 in 2025 (+0.03 versus 2024); Labor Force Participation Rate was 64.60 in 2025 (-0.30 versus 2024); Real Wage Growth was 4.20 in 2025 (+1.60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Unemployment Rate (%)</w:t>
            </w:r>
          </w:p>
        </w:tc>
        <w:tc>
          <w:tcPr>
            <w:tcW w:type="dxa" w:w="3485"/>
            <w:vAlign w:val="center"/>
          </w:tcPr>
          <w:p>
            <w:pPr>
              <w:jc w:val="center"/>
            </w:pPr>
            <w:r/>
            <w:r>
              <w:rPr>
                <w:b w:val="0"/>
                <w:sz w:val="14"/>
              </w:rPr>
              <w:t>4.60</w:t>
            </w:r>
          </w:p>
        </w:tc>
        <w:tc>
          <w:tcPr>
            <w:tcW w:type="dxa" w:w="3485"/>
            <w:vAlign w:val="center"/>
          </w:tcPr>
          <w:p>
            <w:pPr>
              <w:jc w:val="center"/>
            </w:pPr>
            <w:r/>
            <w:r>
              <w:rPr>
                <w:b w:val="0"/>
                <w:sz w:val="14"/>
              </w:rPr>
              <w:t>+0.03</w:t>
            </w:r>
          </w:p>
        </w:tc>
      </w:tr>
      <w:tr>
        <w:tc>
          <w:tcPr>
            <w:tcW w:type="dxa" w:w="3485"/>
            <w:vAlign w:val="center"/>
          </w:tcPr>
          <w:p>
            <w:pPr>
              <w:jc w:val="center"/>
            </w:pPr>
            <w:r/>
            <w:r>
              <w:rPr>
                <w:b w:val="0"/>
                <w:sz w:val="14"/>
              </w:rPr>
              <w:t>Labor Force Participation Rate (%)</w:t>
            </w:r>
          </w:p>
        </w:tc>
        <w:tc>
          <w:tcPr>
            <w:tcW w:type="dxa" w:w="3485"/>
            <w:vAlign w:val="center"/>
          </w:tcPr>
          <w:p>
            <w:pPr>
              <w:jc w:val="center"/>
            </w:pPr>
            <w:r/>
            <w:r>
              <w:rPr>
                <w:b w:val="0"/>
                <w:sz w:val="14"/>
              </w:rPr>
              <w:t>64.60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Real Wage Growth (%)</w:t>
            </w:r>
          </w:p>
        </w:tc>
        <w:tc>
          <w:tcPr>
            <w:tcW w:type="dxa" w:w="3485"/>
            <w:vAlign w:val="center"/>
          </w:tcPr>
          <w:p>
            <w:pPr>
              <w:jc w:val="center"/>
            </w:pPr>
            <w:r/>
            <w:r>
              <w:rPr>
                <w:b w:val="0"/>
                <w:sz w:val="14"/>
              </w:rPr>
              <w:t>4.20</w:t>
            </w:r>
          </w:p>
        </w:tc>
        <w:tc>
          <w:tcPr>
            <w:tcW w:type="dxa" w:w="3485"/>
            <w:vAlign w:val="center"/>
          </w:tcPr>
          <w:p>
            <w:pPr>
              <w:jc w:val="center"/>
            </w:pPr>
            <w:r/>
            <w:r>
              <w:rPr>
                <w:b w:val="0"/>
                <w:sz w:val="14"/>
              </w:rPr>
              <w:t>+1.60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21  /  PAGE 096  /  LABOR PRODUCTIVITY</w:t>
      </w:r>
    </w:p>
    <w:p>
      <w:pPr>
        <w:pStyle w:val="Title"/>
      </w:pPr>
      <w:r>
        <w:t>Labor Productivity</w:t>
      </w:r>
    </w:p>
    <w:p>
      <w:pPr>
        <w:spacing w:after="100" w:line="252" w:lineRule="auto"/>
      </w:pPr>
      <w:r>
        <w:t>Labor Productivity should be interpreted within China’s broader transition from property- and debt-intensive growth toward a more technology- and manufacturing-led model. In the master series, Unemployment Rate was 4.60 in 2025 (+0.03 versus 2024); Labor Force Participation Rate was 64.60 in 2025 (-0.30 versus 2024); Real Wage Growth was 4.20 in 2025 (+1.60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2" name="Picture 32"/>
            <wp:cNvGraphicFramePr>
              <a:graphicFrameLocks noChangeAspect="1"/>
            </wp:cNvGraphicFramePr>
            <a:graphic>
              <a:graphicData uri="http://schemas.openxmlformats.org/drawingml/2006/picture">
                <pic:pic>
                  <pic:nvPicPr>
                    <pic:cNvPr id="0" name="labor.png"/>
                    <pic:cNvPicPr/>
                  </pic:nvPicPr>
                  <pic:blipFill>
                    <a:blip r:embed="rId18"/>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21  /  PAGE 097  /  POTENTIAL GDP GROWTH</w:t>
      </w:r>
    </w:p>
    <w:p>
      <w:pPr>
        <w:pStyle w:val="Title"/>
      </w:pPr>
      <w:r>
        <w:t>Potential GDP Growth</w:t>
      </w:r>
    </w:p>
    <w:p>
      <w:pPr>
        <w:spacing w:after="100" w:line="252" w:lineRule="auto"/>
      </w:pPr>
      <w:r>
        <w:t>Potential GDP Growth should be interpreted within China’s broader transition from property- and debt-intensive growth toward a more technology- and manufacturing-led model. In the master series, Real GDP Growth was 4.96 in 2025 (+0.00 versus 2024); Potential GDP Growth was 4.50 in 2025 (+0.00 versus 2024); Output Gap (% Potential GDP) was -1.00 in 2025 (+0.60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Output Gap (% Potential GDP)</w:t>
            </w:r>
          </w:p>
        </w:tc>
        <w:tc>
          <w:tcPr>
            <w:tcW w:type="dxa" w:w="3485"/>
            <w:vAlign w:val="center"/>
          </w:tcPr>
          <w:p>
            <w:pPr>
              <w:jc w:val="center"/>
            </w:pPr>
            <w:r/>
            <w:r>
              <w:rPr>
                <w:b w:val="0"/>
                <w:sz w:val="14"/>
              </w:rPr>
              <w:t>-1.00</w:t>
            </w:r>
          </w:p>
        </w:tc>
        <w:tc>
          <w:tcPr>
            <w:tcW w:type="dxa" w:w="3485"/>
            <w:vAlign w:val="center"/>
          </w:tcPr>
          <w:p>
            <w:pPr>
              <w:jc w:val="center"/>
            </w:pPr>
            <w:r/>
            <w:r>
              <w:rPr>
                <w:b w:val="0"/>
                <w:sz w:val="14"/>
              </w:rPr>
              <w:t>+0.60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21  /  PAGE 098  /  HUMAN CAPITAL</w:t>
      </w:r>
    </w:p>
    <w:p>
      <w:pPr>
        <w:pStyle w:val="Title"/>
      </w:pPr>
      <w:r>
        <w:t>Human Capital</w:t>
      </w:r>
    </w:p>
    <w:p>
      <w:pPr>
        <w:spacing w:after="100" w:line="252" w:lineRule="auto"/>
      </w:pPr>
      <w:r>
        <w:t>Human Capital should be interpreted within China’s broader transition from property- and debt-intensive growth toward a more technology- and manufacturing-led model. In the master series, Working-Age Population Growth was -0.88 in 2025 (-0.06 versus 2024); Human Capital Index (PWT) was 2.77 in 2025 (+0.01 versus 2024); Labor Force Participation Rate was 64.60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Working-Age Population Growth (%)</w:t>
            </w:r>
          </w:p>
        </w:tc>
        <w:tc>
          <w:tcPr>
            <w:tcW w:type="dxa" w:w="3485"/>
            <w:vAlign w:val="center"/>
          </w:tcPr>
          <w:p>
            <w:pPr>
              <w:jc w:val="center"/>
            </w:pPr>
            <w:r/>
            <w:r>
              <w:rPr>
                <w:b w:val="0"/>
                <w:sz w:val="14"/>
              </w:rPr>
              <w:t>-0.88</w:t>
            </w:r>
          </w:p>
        </w:tc>
        <w:tc>
          <w:tcPr>
            <w:tcW w:type="dxa" w:w="3485"/>
            <w:vAlign w:val="center"/>
          </w:tcPr>
          <w:p>
            <w:pPr>
              <w:jc w:val="center"/>
            </w:pPr>
            <w:r/>
            <w:r>
              <w:rPr>
                <w:b w:val="0"/>
                <w:sz w:val="14"/>
              </w:rPr>
              <w:t>-0.06</w:t>
            </w:r>
          </w:p>
        </w:tc>
      </w:tr>
      <w:tr>
        <w:tc>
          <w:tcPr>
            <w:tcW w:type="dxa" w:w="3485"/>
            <w:vAlign w:val="center"/>
          </w:tcPr>
          <w:p>
            <w:pPr>
              <w:jc w:val="center"/>
            </w:pPr>
            <w:r/>
            <w:r>
              <w:rPr>
                <w:b w:val="0"/>
                <w:sz w:val="14"/>
              </w:rPr>
              <w:t>Human Capital Index (PWT)</w:t>
            </w:r>
          </w:p>
        </w:tc>
        <w:tc>
          <w:tcPr>
            <w:tcW w:type="dxa" w:w="3485"/>
            <w:vAlign w:val="center"/>
          </w:tcPr>
          <w:p>
            <w:pPr>
              <w:jc w:val="center"/>
            </w:pPr>
            <w:r/>
            <w:r>
              <w:rPr>
                <w:b w:val="0"/>
                <w:sz w:val="14"/>
              </w:rPr>
              <w:t>2.77</w:t>
            </w:r>
          </w:p>
        </w:tc>
        <w:tc>
          <w:tcPr>
            <w:tcW w:type="dxa" w:w="3485"/>
            <w:vAlign w:val="center"/>
          </w:tcPr>
          <w:p>
            <w:pPr>
              <w:jc w:val="center"/>
            </w:pPr>
            <w:r/>
            <w:r>
              <w:rPr>
                <w:b w:val="0"/>
                <w:sz w:val="14"/>
              </w:rPr>
              <w:t>+0.01</w:t>
            </w:r>
          </w:p>
        </w:tc>
      </w:tr>
      <w:tr>
        <w:tc>
          <w:tcPr>
            <w:tcW w:type="dxa" w:w="3485"/>
            <w:vAlign w:val="center"/>
          </w:tcPr>
          <w:p>
            <w:pPr>
              <w:jc w:val="center"/>
            </w:pPr>
            <w:r/>
            <w:r>
              <w:rPr>
                <w:b w:val="0"/>
                <w:sz w:val="14"/>
              </w:rPr>
              <w:t>Labor Force Participation Rate (%)</w:t>
            </w:r>
          </w:p>
        </w:tc>
        <w:tc>
          <w:tcPr>
            <w:tcW w:type="dxa" w:w="3485"/>
            <w:vAlign w:val="center"/>
          </w:tcPr>
          <w:p>
            <w:pPr>
              <w:jc w:val="center"/>
            </w:pPr>
            <w:r/>
            <w:r>
              <w:rPr>
                <w:b w:val="0"/>
                <w:sz w:val="14"/>
              </w:rPr>
              <w:t>64.60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21  /  PAGE 099  /  PRODUCTIVITY OUTLOOK</w:t>
      </w:r>
    </w:p>
    <w:p>
      <w:pPr>
        <w:pStyle w:val="Title"/>
      </w:pPr>
      <w:r>
        <w:t>Productivity Outlook</w:t>
      </w:r>
    </w:p>
    <w:p>
      <w:pPr>
        <w:spacing w:after="100" w:line="252" w:lineRule="auto"/>
      </w:pPr>
      <w:r>
        <w:t>Productivity Outlook should be interpreted within China’s broader transition from property- and debt-intensive growth toward a more technology- and manufacturing-led model. In the master series, R&amp;D / GDP was 2.80 in 2025 (+0.11 versus 2024); Labor Productivity Growth was 6.10 in 2025 (+1.20 versus 2024); Potential GDP Growth was 4.50 in 2025 (+0.00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3" name="Picture 33"/>
            <wp:cNvGraphicFramePr>
              <a:graphicFrameLocks noChangeAspect="1"/>
            </wp:cNvGraphicFramePr>
            <a:graphic>
              <a:graphicData uri="http://schemas.openxmlformats.org/drawingml/2006/picture">
                <pic:pic>
                  <pic:nvPicPr>
                    <pic:cNvPr id="0" name="rd.png"/>
                    <pic:cNvPicPr/>
                  </pic:nvPicPr>
                  <pic:blipFill>
                    <a:blip r:embed="rId19"/>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22  /  PAGE 100  /  R&amp;D INTENSITY</w:t>
      </w:r>
    </w:p>
    <w:p>
      <w:pPr>
        <w:pStyle w:val="Title"/>
      </w:pPr>
      <w:r>
        <w:t>R&amp;D Intensity</w:t>
      </w:r>
    </w:p>
    <w:p>
      <w:pPr>
        <w:spacing w:after="100" w:line="252" w:lineRule="auto"/>
      </w:pPr>
      <w:r>
        <w:t>R&amp;D Intensity should be interpreted within China’s broader transition from property- and debt-intensive growth toward a more technology- and manufacturing-led model. In the master series, R&amp;D / GDP was 2.80 in 2025 (+0.11 versus 2024); Labor Productivity Growth was 6.10 in 2025 (+1.20 versus 2024); Potential GDP Growth was 4.50 in 2025 (+0.00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R&amp;D / GDP (%)</w:t>
            </w:r>
          </w:p>
        </w:tc>
        <w:tc>
          <w:tcPr>
            <w:tcW w:type="dxa" w:w="3485"/>
            <w:vAlign w:val="center"/>
          </w:tcPr>
          <w:p>
            <w:pPr>
              <w:jc w:val="center"/>
            </w:pPr>
            <w:r/>
            <w:r>
              <w:rPr>
                <w:b w:val="0"/>
                <w:sz w:val="14"/>
              </w:rPr>
              <w:t>2.80</w:t>
            </w:r>
          </w:p>
        </w:tc>
        <w:tc>
          <w:tcPr>
            <w:tcW w:type="dxa" w:w="3485"/>
            <w:vAlign w:val="center"/>
          </w:tcPr>
          <w:p>
            <w:pPr>
              <w:jc w:val="center"/>
            </w:pPr>
            <w:r/>
            <w:r>
              <w:rPr>
                <w:b w:val="0"/>
                <w:sz w:val="14"/>
              </w:rPr>
              <w:t>+0.11</w:t>
            </w:r>
          </w:p>
        </w:tc>
      </w:tr>
      <w:tr>
        <w:tc>
          <w:tcPr>
            <w:tcW w:type="dxa" w:w="3485"/>
            <w:vAlign w:val="center"/>
          </w:tcPr>
          <w:p>
            <w:pPr>
              <w:jc w:val="center"/>
            </w:pPr>
            <w:r/>
            <w:r>
              <w:rPr>
                <w:b w:val="0"/>
                <w:sz w:val="14"/>
              </w:rPr>
              <w:t>Labor Productivity Growth (%)</w:t>
            </w:r>
          </w:p>
        </w:tc>
        <w:tc>
          <w:tcPr>
            <w:tcW w:type="dxa" w:w="3485"/>
            <w:vAlign w:val="center"/>
          </w:tcPr>
          <w:p>
            <w:pPr>
              <w:jc w:val="center"/>
            </w:pPr>
            <w:r/>
            <w:r>
              <w:rPr>
                <w:b w:val="0"/>
                <w:sz w:val="14"/>
              </w:rPr>
              <w:t>6.10</w:t>
            </w:r>
          </w:p>
        </w:tc>
        <w:tc>
          <w:tcPr>
            <w:tcW w:type="dxa" w:w="3485"/>
            <w:vAlign w:val="center"/>
          </w:tcPr>
          <w:p>
            <w:pPr>
              <w:jc w:val="center"/>
            </w:pPr>
            <w:r/>
            <w:r>
              <w:rPr>
                <w:b w:val="0"/>
                <w:sz w:val="14"/>
              </w:rPr>
              <w:t>+1.20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22  /  PAGE 101  /  AI &amp; AUTOMATION</w:t>
      </w:r>
    </w:p>
    <w:p>
      <w:pPr>
        <w:pStyle w:val="Title"/>
      </w:pPr>
      <w:r>
        <w:t>AI &amp; Automation</w:t>
      </w:r>
    </w:p>
    <w:p>
      <w:pPr>
        <w:spacing w:after="100" w:line="252" w:lineRule="auto"/>
      </w:pPr>
      <w:r>
        <w:t>AI &amp; Automation should be interpreted within China’s broader transition from property- and debt-intensive growth toward a more technology- and manufacturing-led model. In the master series, R&amp;D / GDP was 2.80 in 2025 (+0.11 versus 2024); Labor Productivity Growth was 6.10 in 2025 (+1.20 versus 2024); Potential GDP Growth was 4.50 in 2025 (+0.00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R&amp;D / GDP (%)</w:t>
            </w:r>
          </w:p>
        </w:tc>
        <w:tc>
          <w:tcPr>
            <w:tcW w:type="dxa" w:w="3485"/>
            <w:vAlign w:val="center"/>
          </w:tcPr>
          <w:p>
            <w:pPr>
              <w:jc w:val="center"/>
            </w:pPr>
            <w:r/>
            <w:r>
              <w:rPr>
                <w:b w:val="0"/>
                <w:sz w:val="14"/>
              </w:rPr>
              <w:t>2.80</w:t>
            </w:r>
          </w:p>
        </w:tc>
        <w:tc>
          <w:tcPr>
            <w:tcW w:type="dxa" w:w="3485"/>
            <w:vAlign w:val="center"/>
          </w:tcPr>
          <w:p>
            <w:pPr>
              <w:jc w:val="center"/>
            </w:pPr>
            <w:r/>
            <w:r>
              <w:rPr>
                <w:b w:val="0"/>
                <w:sz w:val="14"/>
              </w:rPr>
              <w:t>+0.11</w:t>
            </w:r>
          </w:p>
        </w:tc>
      </w:tr>
      <w:tr>
        <w:tc>
          <w:tcPr>
            <w:tcW w:type="dxa" w:w="3485"/>
            <w:vAlign w:val="center"/>
          </w:tcPr>
          <w:p>
            <w:pPr>
              <w:jc w:val="center"/>
            </w:pPr>
            <w:r/>
            <w:r>
              <w:rPr>
                <w:b w:val="0"/>
                <w:sz w:val="14"/>
              </w:rPr>
              <w:t>Labor Productivity Growth (%)</w:t>
            </w:r>
          </w:p>
        </w:tc>
        <w:tc>
          <w:tcPr>
            <w:tcW w:type="dxa" w:w="3485"/>
            <w:vAlign w:val="center"/>
          </w:tcPr>
          <w:p>
            <w:pPr>
              <w:jc w:val="center"/>
            </w:pPr>
            <w:r/>
            <w:r>
              <w:rPr>
                <w:b w:val="0"/>
                <w:sz w:val="14"/>
              </w:rPr>
              <w:t>6.10</w:t>
            </w:r>
          </w:p>
        </w:tc>
        <w:tc>
          <w:tcPr>
            <w:tcW w:type="dxa" w:w="3485"/>
            <w:vAlign w:val="center"/>
          </w:tcPr>
          <w:p>
            <w:pPr>
              <w:jc w:val="center"/>
            </w:pPr>
            <w:r/>
            <w:r>
              <w:rPr>
                <w:b w:val="0"/>
                <w:sz w:val="14"/>
              </w:rPr>
              <w:t>+1.20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22  /  PAGE 102  /  SEMICONDUCTORS</w:t>
      </w:r>
    </w:p>
    <w:p>
      <w:pPr>
        <w:pStyle w:val="Title"/>
      </w:pPr>
      <w:r>
        <w:t>Semiconductors</w:t>
      </w:r>
    </w:p>
    <w:p>
      <w:pPr>
        <w:spacing w:after="100" w:line="252" w:lineRule="auto"/>
      </w:pPr>
      <w:r>
        <w:t>Semiconductors should be interpreted within China’s broader transition from property- and debt-intensive growth toward a more technology- and manufacturing-led model. In the master series, R&amp;D / GDP was 2.80 in 2025 (+0.11 versus 2024); Labor Productivity Growth was 6.10 in 2025 (+1.20 versus 2024); Potential GDP Growth was 4.50 in 2025 (+0.00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4" name="Picture 34"/>
            <wp:cNvGraphicFramePr>
              <a:graphicFrameLocks noChangeAspect="1"/>
            </wp:cNvGraphicFramePr>
            <a:graphic>
              <a:graphicData uri="http://schemas.openxmlformats.org/drawingml/2006/picture">
                <pic:pic>
                  <pic:nvPicPr>
                    <pic:cNvPr id="0" name="rd.png"/>
                    <pic:cNvPicPr/>
                  </pic:nvPicPr>
                  <pic:blipFill>
                    <a:blip r:embed="rId19"/>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22  /  PAGE 103  /  DIGITAL ECONOMY &amp; DATA CENTERS</w:t>
      </w:r>
    </w:p>
    <w:p>
      <w:pPr>
        <w:pStyle w:val="Title"/>
      </w:pPr>
      <w:r>
        <w:t>Digital Economy &amp; Data Centers</w:t>
      </w:r>
    </w:p>
    <w:p>
      <w:pPr>
        <w:spacing w:after="100" w:line="252" w:lineRule="auto"/>
      </w:pPr>
      <w:r>
        <w:t>Digital Economy &amp; Data Centers should be interpreted within China’s broader transition from property- and debt-intensive growth toward a more technology- and manufacturing-led model. In the master series, R&amp;D / GDP was 2.80 in 2025 (+0.11 versus 2024); Labor Productivity Growth was 6.10 in 2025 (+1.20 versus 2024); Potential GDP Growth was 4.50 in 2025 (+0.00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R&amp;D / GDP (%)</w:t>
            </w:r>
          </w:p>
        </w:tc>
        <w:tc>
          <w:tcPr>
            <w:tcW w:type="dxa" w:w="3485"/>
            <w:vAlign w:val="center"/>
          </w:tcPr>
          <w:p>
            <w:pPr>
              <w:jc w:val="center"/>
            </w:pPr>
            <w:r/>
            <w:r>
              <w:rPr>
                <w:b w:val="0"/>
                <w:sz w:val="14"/>
              </w:rPr>
              <w:t>2.80</w:t>
            </w:r>
          </w:p>
        </w:tc>
        <w:tc>
          <w:tcPr>
            <w:tcW w:type="dxa" w:w="3485"/>
            <w:vAlign w:val="center"/>
          </w:tcPr>
          <w:p>
            <w:pPr>
              <w:jc w:val="center"/>
            </w:pPr>
            <w:r/>
            <w:r>
              <w:rPr>
                <w:b w:val="0"/>
                <w:sz w:val="14"/>
              </w:rPr>
              <w:t>+0.11</w:t>
            </w:r>
          </w:p>
        </w:tc>
      </w:tr>
      <w:tr>
        <w:tc>
          <w:tcPr>
            <w:tcW w:type="dxa" w:w="3485"/>
            <w:vAlign w:val="center"/>
          </w:tcPr>
          <w:p>
            <w:pPr>
              <w:jc w:val="center"/>
            </w:pPr>
            <w:r/>
            <w:r>
              <w:rPr>
                <w:b w:val="0"/>
                <w:sz w:val="14"/>
              </w:rPr>
              <w:t>Labor Productivity Growth (%)</w:t>
            </w:r>
          </w:p>
        </w:tc>
        <w:tc>
          <w:tcPr>
            <w:tcW w:type="dxa" w:w="3485"/>
            <w:vAlign w:val="center"/>
          </w:tcPr>
          <w:p>
            <w:pPr>
              <w:jc w:val="center"/>
            </w:pPr>
            <w:r/>
            <w:r>
              <w:rPr>
                <w:b w:val="0"/>
                <w:sz w:val="14"/>
              </w:rPr>
              <w:t>6.10</w:t>
            </w:r>
          </w:p>
        </w:tc>
        <w:tc>
          <w:tcPr>
            <w:tcW w:type="dxa" w:w="3485"/>
            <w:vAlign w:val="center"/>
          </w:tcPr>
          <w:p>
            <w:pPr>
              <w:jc w:val="center"/>
            </w:pPr>
            <w:r/>
            <w:r>
              <w:rPr>
                <w:b w:val="0"/>
                <w:sz w:val="14"/>
              </w:rPr>
              <w:t>+1.20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22  /  PAGE 104  /  TECHNOLOGY OUTLOOK</w:t>
      </w:r>
    </w:p>
    <w:p>
      <w:pPr>
        <w:pStyle w:val="Title"/>
      </w:pPr>
      <w:r>
        <w:t>Technology Outlook</w:t>
      </w:r>
    </w:p>
    <w:p>
      <w:pPr>
        <w:spacing w:after="100" w:line="252" w:lineRule="auto"/>
      </w:pPr>
      <w:r>
        <w:t>Technology Outlook should be interpreted within China’s broader transition from property- and debt-intensive growth toward a more technology- and manufacturing-led model. In the master series, R&amp;D / GDP was 2.80 in 2025 (+0.11 versus 2024); Labor Productivity Growth was 6.10 in 2025 (+1.20 versus 2024); Potential GDP Growth was 4.50 in 2025 (+0.00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R&amp;D / GDP (%)</w:t>
            </w:r>
          </w:p>
        </w:tc>
        <w:tc>
          <w:tcPr>
            <w:tcW w:type="dxa" w:w="3485"/>
            <w:vAlign w:val="center"/>
          </w:tcPr>
          <w:p>
            <w:pPr>
              <w:jc w:val="center"/>
            </w:pPr>
            <w:r/>
            <w:r>
              <w:rPr>
                <w:b w:val="0"/>
                <w:sz w:val="14"/>
              </w:rPr>
              <w:t>2.80</w:t>
            </w:r>
          </w:p>
        </w:tc>
        <w:tc>
          <w:tcPr>
            <w:tcW w:type="dxa" w:w="3485"/>
            <w:vAlign w:val="center"/>
          </w:tcPr>
          <w:p>
            <w:pPr>
              <w:jc w:val="center"/>
            </w:pPr>
            <w:r/>
            <w:r>
              <w:rPr>
                <w:b w:val="0"/>
                <w:sz w:val="14"/>
              </w:rPr>
              <w:t>+0.11</w:t>
            </w:r>
          </w:p>
        </w:tc>
      </w:tr>
      <w:tr>
        <w:tc>
          <w:tcPr>
            <w:tcW w:type="dxa" w:w="3485"/>
            <w:vAlign w:val="center"/>
          </w:tcPr>
          <w:p>
            <w:pPr>
              <w:jc w:val="center"/>
            </w:pPr>
            <w:r/>
            <w:r>
              <w:rPr>
                <w:b w:val="0"/>
                <w:sz w:val="14"/>
              </w:rPr>
              <w:t>Labor Productivity Growth (%)</w:t>
            </w:r>
          </w:p>
        </w:tc>
        <w:tc>
          <w:tcPr>
            <w:tcW w:type="dxa" w:w="3485"/>
            <w:vAlign w:val="center"/>
          </w:tcPr>
          <w:p>
            <w:pPr>
              <w:jc w:val="center"/>
            </w:pPr>
            <w:r/>
            <w:r>
              <w:rPr>
                <w:b w:val="0"/>
                <w:sz w:val="14"/>
              </w:rPr>
              <w:t>6.10</w:t>
            </w:r>
          </w:p>
        </w:tc>
        <w:tc>
          <w:tcPr>
            <w:tcW w:type="dxa" w:w="3485"/>
            <w:vAlign w:val="center"/>
          </w:tcPr>
          <w:p>
            <w:pPr>
              <w:jc w:val="center"/>
            </w:pPr>
            <w:r/>
            <w:r>
              <w:rPr>
                <w:b w:val="0"/>
                <w:sz w:val="14"/>
              </w:rPr>
              <w:t>+1.20</w:t>
            </w:r>
          </w:p>
        </w:tc>
      </w:tr>
      <w:tr>
        <w:tc>
          <w:tcPr>
            <w:tcW w:type="dxa" w:w="3485"/>
            <w:vAlign w:val="center"/>
          </w:tcPr>
          <w:p>
            <w:pPr>
              <w:jc w:val="center"/>
            </w:pPr>
            <w:r/>
            <w:r>
              <w:rPr>
                <w:b w:val="0"/>
                <w:sz w:val="14"/>
              </w:rPr>
              <w:t>Potential GDP Growth (%)</w:t>
            </w:r>
          </w:p>
        </w:tc>
        <w:tc>
          <w:tcPr>
            <w:tcW w:type="dxa" w:w="3485"/>
            <w:vAlign w:val="center"/>
          </w:tcPr>
          <w:p>
            <w:pPr>
              <w:jc w:val="center"/>
            </w:pPr>
            <w:r/>
            <w:r>
              <w:rPr>
                <w:b w:val="0"/>
                <w:sz w:val="14"/>
              </w:rPr>
              <w:t>4.50</w:t>
            </w:r>
          </w:p>
        </w:tc>
        <w:tc>
          <w:tcPr>
            <w:tcW w:type="dxa" w:w="3485"/>
            <w:vAlign w:val="center"/>
          </w:tcPr>
          <w:p>
            <w:pPr>
              <w:jc w:val="center"/>
            </w:pPr>
            <w:r/>
            <w:r>
              <w:rPr>
                <w:b w:val="0"/>
                <w:sz w:val="14"/>
              </w:rPr>
              <w:t>+0.00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23  /  PAGE 105  /  ENERGY SELF-SUFFICIENCY</w:t>
      </w:r>
    </w:p>
    <w:p>
      <w:pPr>
        <w:pStyle w:val="Title"/>
      </w:pPr>
      <w:r>
        <w:t>Energy Self-Sufficiency</w:t>
      </w:r>
    </w:p>
    <w:p>
      <w:pPr>
        <w:spacing w:after="100" w:line="252" w:lineRule="auto"/>
      </w:pPr>
      <w:r>
        <w:t>Energy Self-Sufficiency should be interpreted within China’s broader transition from property- and debt-intensive growth toward a more technology- and manufacturing-led model. In the master series, Energy Self-Sufficiency was 83.10 in 2025 (+6.40 versus 2024); Infrastructure Investment Growth was -2.20 in 2025 (-6.60 versus 2024); PPI Inflation was -2.60 in 2025 (-0.40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5" name="Picture 35"/>
            <wp:cNvGraphicFramePr>
              <a:graphicFrameLocks noChangeAspect="1"/>
            </wp:cNvGraphicFramePr>
            <a:graphic>
              <a:graphicData uri="http://schemas.openxmlformats.org/drawingml/2006/picture">
                <pic:pic>
                  <pic:nvPicPr>
                    <pic:cNvPr id="0" name="rd.png"/>
                    <pic:cNvPicPr/>
                  </pic:nvPicPr>
                  <pic:blipFill>
                    <a:blip r:embed="rId19"/>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23  /  PAGE 106  /  COAL, OIL &amp; GAS EXPOSURE</w:t>
      </w:r>
    </w:p>
    <w:p>
      <w:pPr>
        <w:pStyle w:val="Title"/>
      </w:pPr>
      <w:r>
        <w:t>Coal, Oil &amp; Gas Exposure</w:t>
      </w:r>
    </w:p>
    <w:p>
      <w:pPr>
        <w:spacing w:after="100" w:line="252" w:lineRule="auto"/>
      </w:pPr>
      <w:r>
        <w:t>Coal, Oil &amp; Gas Exposure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23  /  PAGE 107  /  ELECTRICITY &amp; RENEWABLES</w:t>
      </w:r>
    </w:p>
    <w:p>
      <w:pPr>
        <w:pStyle w:val="Title"/>
      </w:pPr>
      <w:r>
        <w:t>Electricity &amp; Renewables</w:t>
      </w:r>
    </w:p>
    <w:p>
      <w:pPr>
        <w:spacing w:after="100" w:line="252" w:lineRule="auto"/>
      </w:pPr>
      <w:r>
        <w:t>Electricity &amp; Renewables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23  /  PAGE 108  /  ENERGY SHOCK TRANSMISSION</w:t>
      </w:r>
    </w:p>
    <w:p>
      <w:pPr>
        <w:pStyle w:val="Title"/>
      </w:pPr>
      <w:r>
        <w:t>Energy Shock Transmission</w:t>
      </w:r>
    </w:p>
    <w:p>
      <w:pPr>
        <w:spacing w:after="100" w:line="252" w:lineRule="auto"/>
      </w:pPr>
      <w:r>
        <w:t>Energy Shock Transmission should be interpreted within China’s broader transition from property- and debt-intensive growth toward a more technology- and manufacturing-led model. In the master series, Energy Self-Sufficiency was 83.10 in 2025 (+6.40 versus 2024); Infrastructure Investment Growth was -2.20 in 2025 (-6.60 versus 2024); PPI Inflation was -2.60 in 2025 (-0.40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6" name="Picture 36"/>
            <wp:cNvGraphicFramePr>
              <a:graphicFrameLocks noChangeAspect="1"/>
            </wp:cNvGraphicFramePr>
            <a:graphic>
              <a:graphicData uri="http://schemas.openxmlformats.org/drawingml/2006/picture">
                <pic:pic>
                  <pic:nvPicPr>
                    <pic:cNvPr id="0" name="rd.png"/>
                    <pic:cNvPicPr/>
                  </pic:nvPicPr>
                  <pic:blipFill>
                    <a:blip r:embed="rId19"/>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24  /  PAGE 109  /  POPULATION &amp; AGING</w:t>
      </w:r>
    </w:p>
    <w:p>
      <w:pPr>
        <w:pStyle w:val="Title"/>
      </w:pPr>
      <w:r>
        <w:t>Population &amp; Aging</w:t>
      </w:r>
    </w:p>
    <w:p>
      <w:pPr>
        <w:spacing w:after="100" w:line="252" w:lineRule="auto"/>
      </w:pPr>
      <w:r>
        <w:t>Population &amp; Aging should be interpreted within China’s broader transition from property- and debt-intensive growth toward a more technology- and manufacturing-led model. In the master series, Working-Age Population Growth was -0.88 in 2025 (-0.06 versus 2024); Human Capital Index (PWT) was 2.77 in 2025 (+0.01 versus 2024); Labor Force Participation Rate was 64.60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Working-Age Population Growth (%)</w:t>
            </w:r>
          </w:p>
        </w:tc>
        <w:tc>
          <w:tcPr>
            <w:tcW w:type="dxa" w:w="3485"/>
            <w:vAlign w:val="center"/>
          </w:tcPr>
          <w:p>
            <w:pPr>
              <w:jc w:val="center"/>
            </w:pPr>
            <w:r/>
            <w:r>
              <w:rPr>
                <w:b w:val="0"/>
                <w:sz w:val="14"/>
              </w:rPr>
              <w:t>-0.88</w:t>
            </w:r>
          </w:p>
        </w:tc>
        <w:tc>
          <w:tcPr>
            <w:tcW w:type="dxa" w:w="3485"/>
            <w:vAlign w:val="center"/>
          </w:tcPr>
          <w:p>
            <w:pPr>
              <w:jc w:val="center"/>
            </w:pPr>
            <w:r/>
            <w:r>
              <w:rPr>
                <w:b w:val="0"/>
                <w:sz w:val="14"/>
              </w:rPr>
              <w:t>-0.06</w:t>
            </w:r>
          </w:p>
        </w:tc>
      </w:tr>
      <w:tr>
        <w:tc>
          <w:tcPr>
            <w:tcW w:type="dxa" w:w="3485"/>
            <w:vAlign w:val="center"/>
          </w:tcPr>
          <w:p>
            <w:pPr>
              <w:jc w:val="center"/>
            </w:pPr>
            <w:r/>
            <w:r>
              <w:rPr>
                <w:b w:val="0"/>
                <w:sz w:val="14"/>
              </w:rPr>
              <w:t>Human Capital Index (PWT)</w:t>
            </w:r>
          </w:p>
        </w:tc>
        <w:tc>
          <w:tcPr>
            <w:tcW w:type="dxa" w:w="3485"/>
            <w:vAlign w:val="center"/>
          </w:tcPr>
          <w:p>
            <w:pPr>
              <w:jc w:val="center"/>
            </w:pPr>
            <w:r/>
            <w:r>
              <w:rPr>
                <w:b w:val="0"/>
                <w:sz w:val="14"/>
              </w:rPr>
              <w:t>2.77</w:t>
            </w:r>
          </w:p>
        </w:tc>
        <w:tc>
          <w:tcPr>
            <w:tcW w:type="dxa" w:w="3485"/>
            <w:vAlign w:val="center"/>
          </w:tcPr>
          <w:p>
            <w:pPr>
              <w:jc w:val="center"/>
            </w:pPr>
            <w:r/>
            <w:r>
              <w:rPr>
                <w:b w:val="0"/>
                <w:sz w:val="14"/>
              </w:rPr>
              <w:t>+0.01</w:t>
            </w:r>
          </w:p>
        </w:tc>
      </w:tr>
      <w:tr>
        <w:tc>
          <w:tcPr>
            <w:tcW w:type="dxa" w:w="3485"/>
            <w:vAlign w:val="center"/>
          </w:tcPr>
          <w:p>
            <w:pPr>
              <w:jc w:val="center"/>
            </w:pPr>
            <w:r/>
            <w:r>
              <w:rPr>
                <w:b w:val="0"/>
                <w:sz w:val="14"/>
              </w:rPr>
              <w:t>Labor Force Participation Rate (%)</w:t>
            </w:r>
          </w:p>
        </w:tc>
        <w:tc>
          <w:tcPr>
            <w:tcW w:type="dxa" w:w="3485"/>
            <w:vAlign w:val="center"/>
          </w:tcPr>
          <w:p>
            <w:pPr>
              <w:jc w:val="center"/>
            </w:pPr>
            <w:r/>
            <w:r>
              <w:rPr>
                <w:b w:val="0"/>
                <w:sz w:val="14"/>
              </w:rPr>
              <w:t>64.60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24  /  PAGE 110  /  WORKING-AGE POPULATION</w:t>
      </w:r>
    </w:p>
    <w:p>
      <w:pPr>
        <w:pStyle w:val="Title"/>
      </w:pPr>
      <w:r>
        <w:t>Working-Age Population</w:t>
      </w:r>
    </w:p>
    <w:p>
      <w:pPr>
        <w:spacing w:after="100" w:line="252" w:lineRule="auto"/>
      </w:pPr>
      <w:r>
        <w:t>Working-Age Population should be interpreted within China’s broader transition from property- and debt-intensive growth toward a more technology- and manufacturing-led model. In the master series, Unemployment Rate was 4.60 in 2025 (+0.03 versus 2024); Labor Force Participation Rate was 64.60 in 2025 (-0.30 versus 2024); Real Wage Growth was 4.20 in 2025 (+1.60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Unemployment Rate (%)</w:t>
            </w:r>
          </w:p>
        </w:tc>
        <w:tc>
          <w:tcPr>
            <w:tcW w:type="dxa" w:w="3485"/>
            <w:vAlign w:val="center"/>
          </w:tcPr>
          <w:p>
            <w:pPr>
              <w:jc w:val="center"/>
            </w:pPr>
            <w:r/>
            <w:r>
              <w:rPr>
                <w:b w:val="0"/>
                <w:sz w:val="14"/>
              </w:rPr>
              <w:t>4.60</w:t>
            </w:r>
          </w:p>
        </w:tc>
        <w:tc>
          <w:tcPr>
            <w:tcW w:type="dxa" w:w="3485"/>
            <w:vAlign w:val="center"/>
          </w:tcPr>
          <w:p>
            <w:pPr>
              <w:jc w:val="center"/>
            </w:pPr>
            <w:r/>
            <w:r>
              <w:rPr>
                <w:b w:val="0"/>
                <w:sz w:val="14"/>
              </w:rPr>
              <w:t>+0.03</w:t>
            </w:r>
          </w:p>
        </w:tc>
      </w:tr>
      <w:tr>
        <w:tc>
          <w:tcPr>
            <w:tcW w:type="dxa" w:w="3485"/>
            <w:vAlign w:val="center"/>
          </w:tcPr>
          <w:p>
            <w:pPr>
              <w:jc w:val="center"/>
            </w:pPr>
            <w:r/>
            <w:r>
              <w:rPr>
                <w:b w:val="0"/>
                <w:sz w:val="14"/>
              </w:rPr>
              <w:t>Labor Force Participation Rate (%)</w:t>
            </w:r>
          </w:p>
        </w:tc>
        <w:tc>
          <w:tcPr>
            <w:tcW w:type="dxa" w:w="3485"/>
            <w:vAlign w:val="center"/>
          </w:tcPr>
          <w:p>
            <w:pPr>
              <w:jc w:val="center"/>
            </w:pPr>
            <w:r/>
            <w:r>
              <w:rPr>
                <w:b w:val="0"/>
                <w:sz w:val="14"/>
              </w:rPr>
              <w:t>64.60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Real Wage Growth (%)</w:t>
            </w:r>
          </w:p>
        </w:tc>
        <w:tc>
          <w:tcPr>
            <w:tcW w:type="dxa" w:w="3485"/>
            <w:vAlign w:val="center"/>
          </w:tcPr>
          <w:p>
            <w:pPr>
              <w:jc w:val="center"/>
            </w:pPr>
            <w:r/>
            <w:r>
              <w:rPr>
                <w:b w:val="0"/>
                <w:sz w:val="14"/>
              </w:rPr>
              <w:t>4.20</w:t>
            </w:r>
          </w:p>
        </w:tc>
        <w:tc>
          <w:tcPr>
            <w:tcW w:type="dxa" w:w="3485"/>
            <w:vAlign w:val="center"/>
          </w:tcPr>
          <w:p>
            <w:pPr>
              <w:jc w:val="center"/>
            </w:pPr>
            <w:r/>
            <w:r>
              <w:rPr>
                <w:b w:val="0"/>
                <w:sz w:val="14"/>
              </w:rPr>
              <w:t>+1.60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24  /  PAGE 111  /  HUMAN CAPITAL &amp; URBANIZATION</w:t>
      </w:r>
    </w:p>
    <w:p>
      <w:pPr>
        <w:pStyle w:val="Title"/>
      </w:pPr>
      <w:r>
        <w:t>Human Capital &amp; Urbanization</w:t>
      </w:r>
    </w:p>
    <w:p>
      <w:pPr>
        <w:spacing w:after="100" w:line="252" w:lineRule="auto"/>
      </w:pPr>
      <w:r>
        <w:t>Human Capital &amp; Urbanization should be interpreted within China’s broader transition from property- and debt-intensive growth toward a more technology- and manufacturing-led model. In the master series, Working-Age Population Growth was -0.88 in 2025 (-0.06 versus 2024); Human Capital Index (PWT) was 2.77 in 2025 (+0.01 versus 2024); Labor Force Participation Rate was 64.60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7" name="Picture 37"/>
            <wp:cNvGraphicFramePr>
              <a:graphicFrameLocks noChangeAspect="1"/>
            </wp:cNvGraphicFramePr>
            <a:graphic>
              <a:graphicData uri="http://schemas.openxmlformats.org/drawingml/2006/picture">
                <pic:pic>
                  <pic:nvPicPr>
                    <pic:cNvPr id="0" name="demo.png"/>
                    <pic:cNvPicPr/>
                  </pic:nvPicPr>
                  <pic:blipFill>
                    <a:blip r:embed="rId2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25  /  PAGE 112  /  CLIMATE ECONOMIC RISK</w:t>
      </w:r>
    </w:p>
    <w:p>
      <w:pPr>
        <w:pStyle w:val="Title"/>
      </w:pPr>
      <w:r>
        <w:t>Climate Economic Risk</w:t>
      </w:r>
    </w:p>
    <w:p>
      <w:pPr>
        <w:spacing w:after="100" w:line="252" w:lineRule="auto"/>
      </w:pPr>
      <w:r>
        <w:t>Climate Economic Risk should be interpreted within China’s broader transition from property- and debt-intensive growth toward a more technology- and manufacturing-led model. In the master series, Economic Policy Uncertainty Index was 589.93 in 2025 (+388.49 versus 2024); Geopolitical Risk Exposure (GPRC_CHN) was 0.99 in 2025 (+0.12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Economic Policy Uncertainty Index</w:t>
            </w:r>
          </w:p>
        </w:tc>
        <w:tc>
          <w:tcPr>
            <w:tcW w:type="dxa" w:w="3485"/>
            <w:vAlign w:val="center"/>
          </w:tcPr>
          <w:p>
            <w:pPr>
              <w:jc w:val="center"/>
            </w:pPr>
            <w:r/>
            <w:r>
              <w:rPr>
                <w:b w:val="0"/>
                <w:sz w:val="14"/>
              </w:rPr>
              <w:t>589.93</w:t>
            </w:r>
          </w:p>
        </w:tc>
        <w:tc>
          <w:tcPr>
            <w:tcW w:type="dxa" w:w="3485"/>
            <w:vAlign w:val="center"/>
          </w:tcPr>
          <w:p>
            <w:pPr>
              <w:jc w:val="center"/>
            </w:pPr>
            <w:r/>
            <w:r>
              <w:rPr>
                <w:b w:val="0"/>
                <w:sz w:val="14"/>
              </w:rPr>
              <w:t>+388.49</w:t>
            </w:r>
          </w:p>
        </w:tc>
      </w:tr>
      <w:tr>
        <w:tc>
          <w:tcPr>
            <w:tcW w:type="dxa" w:w="3485"/>
            <w:vAlign w:val="center"/>
          </w:tcPr>
          <w:p>
            <w:pPr>
              <w:jc w:val="center"/>
            </w:pPr>
            <w:r/>
            <w:r>
              <w:rPr>
                <w:b w:val="0"/>
                <w:sz w:val="14"/>
              </w:rPr>
              <w:t>Geopolitical Risk Exposure (GPRC_CHN)</w:t>
            </w:r>
          </w:p>
        </w:tc>
        <w:tc>
          <w:tcPr>
            <w:tcW w:type="dxa" w:w="3485"/>
            <w:vAlign w:val="center"/>
          </w:tcPr>
          <w:p>
            <w:pPr>
              <w:jc w:val="center"/>
            </w:pPr>
            <w:r/>
            <w:r>
              <w:rPr>
                <w:b w:val="0"/>
                <w:sz w:val="14"/>
              </w:rPr>
              <w:t>0.99</w:t>
            </w:r>
          </w:p>
        </w:tc>
        <w:tc>
          <w:tcPr>
            <w:tcW w:type="dxa" w:w="3485"/>
            <w:vAlign w:val="center"/>
          </w:tcPr>
          <w:p>
            <w:pPr>
              <w:jc w:val="center"/>
            </w:pPr>
            <w:r/>
            <w:r>
              <w:rPr>
                <w:b w:val="0"/>
                <w:sz w:val="14"/>
              </w:rPr>
              <w:t>+0.12</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25  /  PAGE 113  /  FOOD &amp; PHYSICAL RISK</w:t>
      </w:r>
    </w:p>
    <w:p>
      <w:pPr>
        <w:pStyle w:val="Title"/>
      </w:pPr>
      <w:r>
        <w:t>Food &amp; Physical Risk</w:t>
      </w:r>
    </w:p>
    <w:p>
      <w:pPr>
        <w:spacing w:after="100" w:line="252" w:lineRule="auto"/>
      </w:pPr>
      <w:r>
        <w:t>Food &amp; Physical Risk should be interpreted within China’s broader transition from property- and debt-intensive growth toward a more technology- and manufacturing-led model. In the master series, Economic Policy Uncertainty Index was 589.93 in 2025 (+388.49 versus 2024); Geopolitical Risk Exposure (GPRC_CHN) was 0.99 in 2025 (+0.12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Economic Policy Uncertainty Index</w:t>
            </w:r>
          </w:p>
        </w:tc>
        <w:tc>
          <w:tcPr>
            <w:tcW w:type="dxa" w:w="3485"/>
            <w:vAlign w:val="center"/>
          </w:tcPr>
          <w:p>
            <w:pPr>
              <w:jc w:val="center"/>
            </w:pPr>
            <w:r/>
            <w:r>
              <w:rPr>
                <w:b w:val="0"/>
                <w:sz w:val="14"/>
              </w:rPr>
              <w:t>589.93</w:t>
            </w:r>
          </w:p>
        </w:tc>
        <w:tc>
          <w:tcPr>
            <w:tcW w:type="dxa" w:w="3485"/>
            <w:vAlign w:val="center"/>
          </w:tcPr>
          <w:p>
            <w:pPr>
              <w:jc w:val="center"/>
            </w:pPr>
            <w:r/>
            <w:r>
              <w:rPr>
                <w:b w:val="0"/>
                <w:sz w:val="14"/>
              </w:rPr>
              <w:t>+388.49</w:t>
            </w:r>
          </w:p>
        </w:tc>
      </w:tr>
      <w:tr>
        <w:tc>
          <w:tcPr>
            <w:tcW w:type="dxa" w:w="3485"/>
            <w:vAlign w:val="center"/>
          </w:tcPr>
          <w:p>
            <w:pPr>
              <w:jc w:val="center"/>
            </w:pPr>
            <w:r/>
            <w:r>
              <w:rPr>
                <w:b w:val="0"/>
                <w:sz w:val="14"/>
              </w:rPr>
              <w:t>Geopolitical Risk Exposure (GPRC_CHN)</w:t>
            </w:r>
          </w:p>
        </w:tc>
        <w:tc>
          <w:tcPr>
            <w:tcW w:type="dxa" w:w="3485"/>
            <w:vAlign w:val="center"/>
          </w:tcPr>
          <w:p>
            <w:pPr>
              <w:jc w:val="center"/>
            </w:pPr>
            <w:r/>
            <w:r>
              <w:rPr>
                <w:b w:val="0"/>
                <w:sz w:val="14"/>
              </w:rPr>
              <w:t>0.99</w:t>
            </w:r>
          </w:p>
        </w:tc>
        <w:tc>
          <w:tcPr>
            <w:tcW w:type="dxa" w:w="3485"/>
            <w:vAlign w:val="center"/>
          </w:tcPr>
          <w:p>
            <w:pPr>
              <w:jc w:val="center"/>
            </w:pPr>
            <w:r/>
            <w:r>
              <w:rPr>
                <w:b w:val="0"/>
                <w:sz w:val="14"/>
              </w:rPr>
              <w:t>+0.12</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25  /  PAGE 114  /  ENERGY TRANSITION RISK</w:t>
      </w:r>
    </w:p>
    <w:p>
      <w:pPr>
        <w:pStyle w:val="Title"/>
      </w:pPr>
      <w:r>
        <w:t>Energy Transition Risk</w:t>
      </w:r>
    </w:p>
    <w:p>
      <w:pPr>
        <w:spacing w:after="100" w:line="252" w:lineRule="auto"/>
      </w:pPr>
      <w:r>
        <w:t>Energy Transition Risk should be interpreted within China’s broader transition from property- and debt-intensive growth toward a more technology- and manufacturing-led model. In the master series, Economic Policy Uncertainty Index was 589.93 in 2025 (+388.49 versus 2024); Geopolitical Risk Exposure (GPRC_CHN) was 0.99 in 2025 (+0.12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8" name="Picture 38"/>
            <wp:cNvGraphicFramePr>
              <a:graphicFrameLocks noChangeAspect="1"/>
            </wp:cNvGraphicFramePr>
            <a:graphic>
              <a:graphicData uri="http://schemas.openxmlformats.org/drawingml/2006/picture">
                <pic:pic>
                  <pic:nvPicPr>
                    <pic:cNvPr id="0" name="epu.png"/>
                    <pic:cNvPicPr/>
                  </pic:nvPicPr>
                  <pic:blipFill>
                    <a:blip r:embed="rId21"/>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26  /  PAGE 115  /  ECONOMIC POLICY UNCERTAINTY</w:t>
      </w:r>
    </w:p>
    <w:p>
      <w:pPr>
        <w:pStyle w:val="Title"/>
      </w:pPr>
      <w:r>
        <w:t>Economic Policy Uncertainty</w:t>
      </w:r>
    </w:p>
    <w:p>
      <w:pPr>
        <w:spacing w:after="100" w:line="252" w:lineRule="auto"/>
      </w:pPr>
      <w:r>
        <w:t>Economic Policy Uncertainty should be interpreted within China’s broader transition from property- and debt-intensive growth toward a more technology- and manufacturing-led model. In the master series, China Policy Rate was 3.00 in 2025 (-0.10 versus 2024); Real Policy Rate was 3.00 in 2025 (-0.20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China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Real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26  /  PAGE 116  /  GEOPOLITICAL RISK EXPOSURE</w:t>
      </w:r>
    </w:p>
    <w:p>
      <w:pPr>
        <w:pStyle w:val="Title"/>
      </w:pPr>
      <w:r>
        <w:t>Geopolitical Risk Exposure</w:t>
      </w:r>
    </w:p>
    <w:p>
      <w:pPr>
        <w:spacing w:after="100" w:line="252" w:lineRule="auto"/>
      </w:pPr>
      <w:r>
        <w:t>Geopolitical Risk Exposure should be interpreted within China’s broader transition from property- and debt-intensive growth toward a more technology- and manufacturing-led model. In the master series, Economic Policy Uncertainty Index was 589.93 in 2025 (+388.49 versus 2024); Geopolitical Risk Exposure (GPRC_CHN) was 0.99 in 2025 (+0.12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Economic Policy Uncertainty Index</w:t>
            </w:r>
          </w:p>
        </w:tc>
        <w:tc>
          <w:tcPr>
            <w:tcW w:type="dxa" w:w="3485"/>
            <w:vAlign w:val="center"/>
          </w:tcPr>
          <w:p>
            <w:pPr>
              <w:jc w:val="center"/>
            </w:pPr>
            <w:r/>
            <w:r>
              <w:rPr>
                <w:b w:val="0"/>
                <w:sz w:val="14"/>
              </w:rPr>
              <w:t>589.93</w:t>
            </w:r>
          </w:p>
        </w:tc>
        <w:tc>
          <w:tcPr>
            <w:tcW w:type="dxa" w:w="3485"/>
            <w:vAlign w:val="center"/>
          </w:tcPr>
          <w:p>
            <w:pPr>
              <w:jc w:val="center"/>
            </w:pPr>
            <w:r/>
            <w:r>
              <w:rPr>
                <w:b w:val="0"/>
                <w:sz w:val="14"/>
              </w:rPr>
              <w:t>+388.49</w:t>
            </w:r>
          </w:p>
        </w:tc>
      </w:tr>
      <w:tr>
        <w:tc>
          <w:tcPr>
            <w:tcW w:type="dxa" w:w="3485"/>
            <w:vAlign w:val="center"/>
          </w:tcPr>
          <w:p>
            <w:pPr>
              <w:jc w:val="center"/>
            </w:pPr>
            <w:r/>
            <w:r>
              <w:rPr>
                <w:b w:val="0"/>
                <w:sz w:val="14"/>
              </w:rPr>
              <w:t>Geopolitical Risk Exposure (GPRC_CHN)</w:t>
            </w:r>
          </w:p>
        </w:tc>
        <w:tc>
          <w:tcPr>
            <w:tcW w:type="dxa" w:w="3485"/>
            <w:vAlign w:val="center"/>
          </w:tcPr>
          <w:p>
            <w:pPr>
              <w:jc w:val="center"/>
            </w:pPr>
            <w:r/>
            <w:r>
              <w:rPr>
                <w:b w:val="0"/>
                <w:sz w:val="14"/>
              </w:rPr>
              <w:t>0.99</w:t>
            </w:r>
          </w:p>
        </w:tc>
        <w:tc>
          <w:tcPr>
            <w:tcW w:type="dxa" w:w="3485"/>
            <w:vAlign w:val="center"/>
          </w:tcPr>
          <w:p>
            <w:pPr>
              <w:jc w:val="center"/>
            </w:pPr>
            <w:r/>
            <w:r>
              <w:rPr>
                <w:b w:val="0"/>
                <w:sz w:val="14"/>
              </w:rPr>
              <w:t>+0.12</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26  /  PAGE 117  /  TRADE &amp; TECHNOLOGY RESTRICTIONS</w:t>
      </w:r>
    </w:p>
    <w:p>
      <w:pPr>
        <w:pStyle w:val="Title"/>
      </w:pPr>
      <w:r>
        <w:t>Trade &amp; Technology Restrictions</w:t>
      </w:r>
    </w:p>
    <w:p>
      <w:pPr>
        <w:spacing w:after="100" w:line="252" w:lineRule="auto"/>
      </w:pPr>
      <w:r>
        <w:t>Trade &amp; Technology Restrictions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39" name="Picture 39"/>
            <wp:cNvGraphicFramePr>
              <a:graphicFrameLocks noChangeAspect="1"/>
            </wp:cNvGraphicFramePr>
            <a:graphic>
              <a:graphicData uri="http://schemas.openxmlformats.org/drawingml/2006/picture">
                <pic:pic>
                  <pic:nvPicPr>
                    <pic:cNvPr id="0" name="external.png"/>
                    <pic:cNvPicPr/>
                  </pic:nvPicPr>
                  <pic:blipFill>
                    <a:blip r:embed="rId12"/>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26  /  PAGE 118  /  POLICY RISK OUTLOOK</w:t>
      </w:r>
    </w:p>
    <w:p>
      <w:pPr>
        <w:pStyle w:val="Title"/>
      </w:pPr>
      <w:r>
        <w:t>Policy Risk Outlook</w:t>
      </w:r>
    </w:p>
    <w:p>
      <w:pPr>
        <w:spacing w:after="100" w:line="252" w:lineRule="auto"/>
      </w:pPr>
      <w:r>
        <w:t>Policy Risk Outlook should be interpreted within China’s broader transition from property- and debt-intensive growth toward a more technology- and manufacturing-led model. In the master series, China Policy Rate was 3.00 in 2025 (-0.10 versus 2024); Real Policy Rate was 3.00 in 2025 (-0.20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China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Real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27  /  PAGE 119  /  COUNTRY RISK ARCHITECTURE</w:t>
      </w:r>
    </w:p>
    <w:p>
      <w:pPr>
        <w:pStyle w:val="Title"/>
      </w:pPr>
      <w:r>
        <w:t>Country Risk Architecture</w:t>
      </w:r>
    </w:p>
    <w:p>
      <w:pPr>
        <w:spacing w:after="100" w:line="252" w:lineRule="auto"/>
      </w:pPr>
      <w:r>
        <w:t>Country Risk Architecture should be interpreted within China’s broader transition from property- and debt-intensive growth toward a more technology- and manufacturing-led model. In the master series, Economic Policy Uncertainty Index was 589.93 in 2025 (+388.49 versus 2024); Geopolitical Risk Exposure (GPRC_CHN) was 0.99 in 2025 (+0.12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Economic Policy Uncertainty Index</w:t>
            </w:r>
          </w:p>
        </w:tc>
        <w:tc>
          <w:tcPr>
            <w:tcW w:type="dxa" w:w="3485"/>
            <w:vAlign w:val="center"/>
          </w:tcPr>
          <w:p>
            <w:pPr>
              <w:jc w:val="center"/>
            </w:pPr>
            <w:r/>
            <w:r>
              <w:rPr>
                <w:b w:val="0"/>
                <w:sz w:val="14"/>
              </w:rPr>
              <w:t>589.93</w:t>
            </w:r>
          </w:p>
        </w:tc>
        <w:tc>
          <w:tcPr>
            <w:tcW w:type="dxa" w:w="3485"/>
            <w:vAlign w:val="center"/>
          </w:tcPr>
          <w:p>
            <w:pPr>
              <w:jc w:val="center"/>
            </w:pPr>
            <w:r/>
            <w:r>
              <w:rPr>
                <w:b w:val="0"/>
                <w:sz w:val="14"/>
              </w:rPr>
              <w:t>+388.49</w:t>
            </w:r>
          </w:p>
        </w:tc>
      </w:tr>
      <w:tr>
        <w:tc>
          <w:tcPr>
            <w:tcW w:type="dxa" w:w="3485"/>
            <w:vAlign w:val="center"/>
          </w:tcPr>
          <w:p>
            <w:pPr>
              <w:jc w:val="center"/>
            </w:pPr>
            <w:r/>
            <w:r>
              <w:rPr>
                <w:b w:val="0"/>
                <w:sz w:val="14"/>
              </w:rPr>
              <w:t>Geopolitical Risk Exposure (GPRC_CHN)</w:t>
            </w:r>
          </w:p>
        </w:tc>
        <w:tc>
          <w:tcPr>
            <w:tcW w:type="dxa" w:w="3485"/>
            <w:vAlign w:val="center"/>
          </w:tcPr>
          <w:p>
            <w:pPr>
              <w:jc w:val="center"/>
            </w:pPr>
            <w:r/>
            <w:r>
              <w:rPr>
                <w:b w:val="0"/>
                <w:sz w:val="14"/>
              </w:rPr>
              <w:t>0.99</w:t>
            </w:r>
          </w:p>
        </w:tc>
        <w:tc>
          <w:tcPr>
            <w:tcW w:type="dxa" w:w="3485"/>
            <w:vAlign w:val="center"/>
          </w:tcPr>
          <w:p>
            <w:pPr>
              <w:jc w:val="center"/>
            </w:pPr>
            <w:r/>
            <w:r>
              <w:rPr>
                <w:b w:val="0"/>
                <w:sz w:val="14"/>
              </w:rPr>
              <w:t>+0.12</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27  /  PAGE 120  /  GOVERNANCE INDICATORS</w:t>
      </w:r>
    </w:p>
    <w:p>
      <w:pPr>
        <w:pStyle w:val="Title"/>
      </w:pPr>
      <w:r>
        <w:t>Governance Indicators</w:t>
      </w:r>
    </w:p>
    <w:p>
      <w:pPr>
        <w:spacing w:after="100" w:line="252" w:lineRule="auto"/>
      </w:pPr>
      <w:r>
        <w:t>Governance Indicators should be interpreted within China’s broader transition from property- and debt-intensive growth toward a more technology- and manufacturing-led model. In the master series, Economic Policy Uncertainty Index was 589.93 in 2025 (+388.49 versus 2024); Geopolitical Risk Exposure (GPRC_CHN) was 0.99 in 2025 (+0.12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40" name="Picture 40"/>
            <wp:cNvGraphicFramePr>
              <a:graphicFrameLocks noChangeAspect="1"/>
            </wp:cNvGraphicFramePr>
            <a:graphic>
              <a:graphicData uri="http://schemas.openxmlformats.org/drawingml/2006/picture">
                <pic:pic>
                  <pic:nvPicPr>
                    <pic:cNvPr id="0" name="epu.png"/>
                    <pic:cNvPicPr/>
                  </pic:nvPicPr>
                  <pic:blipFill>
                    <a:blip r:embed="rId21"/>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27  /  PAGE 121  /  EXTERNAL RESILIENCE</w:t>
      </w:r>
    </w:p>
    <w:p>
      <w:pPr>
        <w:pStyle w:val="Title"/>
      </w:pPr>
      <w:r>
        <w:t>External Resilience</w:t>
      </w:r>
    </w:p>
    <w:p>
      <w:pPr>
        <w:spacing w:after="100" w:line="252" w:lineRule="auto"/>
      </w:pPr>
      <w:r>
        <w:t>External Resilience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Current Account / GDP (%)</w:t>
            </w:r>
          </w:p>
        </w:tc>
        <w:tc>
          <w:tcPr>
            <w:tcW w:type="dxa" w:w="3485"/>
            <w:vAlign w:val="center"/>
          </w:tcPr>
          <w:p>
            <w:pPr>
              <w:jc w:val="center"/>
            </w:pPr>
            <w:r/>
            <w:r>
              <w:rPr>
                <w:b w:val="0"/>
                <w:sz w:val="14"/>
              </w:rPr>
              <w:t>3.77</w:t>
            </w:r>
          </w:p>
        </w:tc>
        <w:tc>
          <w:tcPr>
            <w:tcW w:type="dxa" w:w="3485"/>
            <w:vAlign w:val="center"/>
          </w:tcPr>
          <w:p>
            <w:pPr>
              <w:jc w:val="center"/>
            </w:pPr>
            <w:r/>
            <w:r>
              <w:rPr>
                <w:b w:val="0"/>
                <w:sz w:val="14"/>
              </w:rPr>
              <w:t>+1.30</w:t>
            </w:r>
          </w:p>
        </w:tc>
      </w:tr>
      <w:tr>
        <w:tc>
          <w:tcPr>
            <w:tcW w:type="dxa" w:w="3485"/>
            <w:vAlign w:val="center"/>
          </w:tcPr>
          <w:p>
            <w:pPr>
              <w:jc w:val="center"/>
            </w:pPr>
            <w:r/>
            <w:r>
              <w:rPr>
                <w:b w:val="0"/>
                <w:sz w:val="14"/>
              </w:rPr>
              <w:t>Trade Balance / GDP (%)</w:t>
            </w:r>
          </w:p>
        </w:tc>
        <w:tc>
          <w:tcPr>
            <w:tcW w:type="dxa" w:w="3485"/>
            <w:vAlign w:val="center"/>
          </w:tcPr>
          <w:p>
            <w:pPr>
              <w:jc w:val="center"/>
            </w:pPr>
            <w:r/>
            <w:r>
              <w:rPr>
                <w:b w:val="0"/>
                <w:sz w:val="14"/>
              </w:rPr>
              <w:t>4.14</w:t>
            </w:r>
          </w:p>
        </w:tc>
        <w:tc>
          <w:tcPr>
            <w:tcW w:type="dxa" w:w="3485"/>
            <w:vAlign w:val="center"/>
          </w:tcPr>
          <w:p>
            <w:pPr>
              <w:jc w:val="center"/>
            </w:pPr>
            <w:r/>
            <w:r>
              <w:rPr>
                <w:b w:val="0"/>
                <w:sz w:val="14"/>
              </w:rPr>
              <w:t>+1.43</w:t>
            </w:r>
          </w:p>
        </w:tc>
      </w:tr>
      <w:tr>
        <w:tc>
          <w:tcPr>
            <w:tcW w:type="dxa" w:w="3485"/>
            <w:vAlign w:val="center"/>
          </w:tcPr>
          <w:p>
            <w:pPr>
              <w:jc w:val="center"/>
            </w:pPr>
            <w:r/>
            <w:r>
              <w:rPr>
                <w:b w:val="0"/>
                <w:sz w:val="14"/>
              </w:rPr>
              <w:t>External Debt / GDP (%)</w:t>
            </w:r>
          </w:p>
        </w:tc>
        <w:tc>
          <w:tcPr>
            <w:tcW w:type="dxa" w:w="3485"/>
            <w:vAlign w:val="center"/>
          </w:tcPr>
          <w:p>
            <w:pPr>
              <w:jc w:val="center"/>
            </w:pPr>
            <w:r/>
            <w:r>
              <w:rPr>
                <w:b w:val="0"/>
                <w:sz w:val="14"/>
              </w:rPr>
              <w:t>11.90</w:t>
            </w:r>
          </w:p>
        </w:tc>
        <w:tc>
          <w:tcPr>
            <w:tcW w:type="dxa" w:w="3485"/>
            <w:vAlign w:val="center"/>
          </w:tcPr>
          <w:p>
            <w:pPr>
              <w:jc w:val="center"/>
            </w:pPr>
            <w:r/>
            <w:r>
              <w:rPr>
                <w:b w:val="0"/>
                <w:sz w:val="14"/>
              </w:rPr>
              <w:t>-0.90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27  /  PAGE 122  /  FISCAL &amp; FINANCIAL RISK</w:t>
      </w:r>
    </w:p>
    <w:p>
      <w:pPr>
        <w:pStyle w:val="Title"/>
      </w:pPr>
      <w:r>
        <w:t>Fiscal &amp; Financial Risk</w:t>
      </w:r>
    </w:p>
    <w:p>
      <w:pPr>
        <w:spacing w:after="100" w:line="252" w:lineRule="auto"/>
      </w:pPr>
      <w:r>
        <w:t>Fiscal &amp; Financial Risk should be interpreted within China’s broader transition from property- and debt-intensive growth toward a more technology- and manufacturing-led model. In the master series, Government Debt / GDP was 68.40 in 2025 (+7.50 versus 2024); Fiscal Deficit / GDP was -7.40 in 2025 (-0.70 versus 2024); Interest Expenses / Revenue was 9.20 in 2025 (+0.50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27  /  PAGE 123  /  STRUCTURAL RISK</w:t>
      </w:r>
    </w:p>
    <w:p>
      <w:pPr>
        <w:pStyle w:val="Title"/>
      </w:pPr>
      <w:r>
        <w:t>Structural Risk</w:t>
      </w:r>
    </w:p>
    <w:p>
      <w:pPr>
        <w:spacing w:after="100" w:line="252" w:lineRule="auto"/>
      </w:pPr>
      <w:r>
        <w:t>Structural Risk should be interpreted within China’s broader transition from property- and debt-intensive growth toward a more technology- and manufacturing-led model. In the master series, Economic Policy Uncertainty Index was 589.93 in 2025 (+388.49 versus 2024); Geopolitical Risk Exposure (GPRC_CHN) was 0.99 in 2025 (+0.12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41" name="Picture 41"/>
            <wp:cNvGraphicFramePr>
              <a:graphicFrameLocks noChangeAspect="1"/>
            </wp:cNvGraphicFramePr>
            <a:graphic>
              <a:graphicData uri="http://schemas.openxmlformats.org/drawingml/2006/picture">
                <pic:pic>
                  <pic:nvPicPr>
                    <pic:cNvPr id="0" name="epu.png"/>
                    <pic:cNvPicPr/>
                  </pic:nvPicPr>
                  <pic:blipFill>
                    <a:blip r:embed="rId21"/>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28  /  PAGE 124  /  PBOC SHOCK TRANSMISSION</w:t>
      </w:r>
    </w:p>
    <w:p>
      <w:pPr>
        <w:pStyle w:val="Title"/>
      </w:pPr>
      <w:r>
        <w:t>PBOC Shock Transmission</w:t>
      </w:r>
    </w:p>
    <w:p>
      <w:pPr>
        <w:spacing w:after="100" w:line="252" w:lineRule="auto"/>
      </w:pPr>
      <w:r>
        <w:t>PBOC Shock Transmission should be interpreted within China’s broader transition from property- and debt-intensive growth toward a more technology- and manufacturing-led model. In the master series, China Policy Rate was 3.00 in 2025 (-0.10 versus 2024); Real Policy Rate was 3.00 in 2025 (-0.20 versus 2024); 10Y–2Y Spread (pp) was 0.46 in 2025 (-0.01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China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-0.10</w:t>
            </w:r>
          </w:p>
        </w:tc>
      </w:tr>
      <w:tr>
        <w:tc>
          <w:tcPr>
            <w:tcW w:type="dxa" w:w="3485"/>
            <w:vAlign w:val="center"/>
          </w:tcPr>
          <w:p>
            <w:pPr>
              <w:jc w:val="center"/>
            </w:pPr>
            <w:r/>
            <w:r>
              <w:rPr>
                <w:b w:val="0"/>
                <w:sz w:val="14"/>
              </w:rPr>
              <w:t>Real Policy Rate (%)</w:t>
            </w:r>
          </w:p>
        </w:tc>
        <w:tc>
          <w:tcPr>
            <w:tcW w:type="dxa" w:w="3485"/>
            <w:vAlign w:val="center"/>
          </w:tcPr>
          <w:p>
            <w:pPr>
              <w:jc w:val="center"/>
            </w:pPr>
            <w:r/>
            <w:r>
              <w:rPr>
                <w:b w:val="0"/>
                <w:sz w:val="14"/>
              </w:rPr>
              <w:t>3.00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10Y–2Y Spread (pp)</w:t>
            </w:r>
          </w:p>
        </w:tc>
        <w:tc>
          <w:tcPr>
            <w:tcW w:type="dxa" w:w="3485"/>
            <w:vAlign w:val="center"/>
          </w:tcPr>
          <w:p>
            <w:pPr>
              <w:jc w:val="center"/>
            </w:pPr>
            <w:r/>
            <w:r>
              <w:rPr>
                <w:b w:val="0"/>
                <w:sz w:val="14"/>
              </w:rPr>
              <w:t>0.46</w:t>
            </w:r>
          </w:p>
        </w:tc>
        <w:tc>
          <w:tcPr>
            <w:tcW w:type="dxa" w:w="3485"/>
            <w:vAlign w:val="center"/>
          </w:tcPr>
          <w:p>
            <w:pPr>
              <w:jc w:val="center"/>
            </w:pPr>
            <w:r/>
            <w:r>
              <w:rPr>
                <w:b w:val="0"/>
                <w:sz w:val="14"/>
              </w:rPr>
              <w:t>-0.01</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28  /  PAGE 125  /  PROPERTY SHOCK TRANSMISSION</w:t>
      </w:r>
    </w:p>
    <w:p>
      <w:pPr>
        <w:pStyle w:val="Title"/>
      </w:pPr>
      <w:r>
        <w:t>Property Shock Transmission</w:t>
      </w:r>
    </w:p>
    <w:p>
      <w:pPr>
        <w:spacing w:after="100" w:line="252" w:lineRule="auto"/>
      </w:pPr>
      <w:r>
        <w:t>Property Shock Transmission should be interpreted within China’s broader transition from property- and debt-intensive growth toward a more technology- and manufacturing-led model. In the master series, Private Investment Growth was -6.40 in 2025 (-6.30 versus 2024); Credit Growth was 8.30 in 2025 (+0.30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Private Investment Growth (%)</w:t>
            </w:r>
          </w:p>
        </w:tc>
        <w:tc>
          <w:tcPr>
            <w:tcW w:type="dxa" w:w="3485"/>
            <w:vAlign w:val="center"/>
          </w:tcPr>
          <w:p>
            <w:pPr>
              <w:jc w:val="center"/>
            </w:pPr>
            <w:r/>
            <w:r>
              <w:rPr>
                <w:b w:val="0"/>
                <w:sz w:val="14"/>
              </w:rPr>
              <w:t>-6.40</w:t>
            </w:r>
          </w:p>
        </w:tc>
        <w:tc>
          <w:tcPr>
            <w:tcW w:type="dxa" w:w="3485"/>
            <w:vAlign w:val="center"/>
          </w:tcPr>
          <w:p>
            <w:pPr>
              <w:jc w:val="center"/>
            </w:pPr>
            <w:r/>
            <w:r>
              <w:rPr>
                <w:b w:val="0"/>
                <w:sz w:val="14"/>
              </w:rPr>
              <w:t>-6.30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28  /  PAGE 126  /  EXPORT SHOCK TRANSMISSION</w:t>
      </w:r>
    </w:p>
    <w:p>
      <w:pPr>
        <w:pStyle w:val="Title"/>
      </w:pPr>
      <w:r>
        <w:t>Export Shock Transmission</w:t>
      </w:r>
    </w:p>
    <w:p>
      <w:pPr>
        <w:spacing w:after="100" w:line="252" w:lineRule="auto"/>
      </w:pPr>
      <w:r>
        <w:t>Export Shock Transmission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42" name="Picture 42"/>
            <wp:cNvGraphicFramePr>
              <a:graphicFrameLocks noChangeAspect="1"/>
            </wp:cNvGraphicFramePr>
            <a:graphic>
              <a:graphicData uri="http://schemas.openxmlformats.org/drawingml/2006/picture">
                <pic:pic>
                  <pic:nvPicPr>
                    <pic:cNvPr id="0" name="external.png"/>
                    <pic:cNvPicPr/>
                  </pic:nvPicPr>
                  <pic:blipFill>
                    <a:blip r:embed="rId12"/>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28  /  PAGE 127  /  DEMOGRAPHIC TRANSMISSION</w:t>
      </w:r>
    </w:p>
    <w:p>
      <w:pPr>
        <w:pStyle w:val="Title"/>
      </w:pPr>
      <w:r>
        <w:t>Demographic Transmission</w:t>
      </w:r>
    </w:p>
    <w:p>
      <w:pPr>
        <w:spacing w:after="100" w:line="252" w:lineRule="auto"/>
      </w:pPr>
      <w:r>
        <w:t>Demographic Transmission should be interpreted within China’s broader transition from property- and debt-intensive growth toward a more technology- and manufacturing-led model. In the master series, Working-Age Population Growth was -0.88 in 2025 (-0.06 versus 2024); Human Capital Index (PWT) was 2.77 in 2025 (+0.01 versus 2024); Labor Force Participation Rate was 64.60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Working-Age Population Growth (%)</w:t>
            </w:r>
          </w:p>
        </w:tc>
        <w:tc>
          <w:tcPr>
            <w:tcW w:type="dxa" w:w="3485"/>
            <w:vAlign w:val="center"/>
          </w:tcPr>
          <w:p>
            <w:pPr>
              <w:jc w:val="center"/>
            </w:pPr>
            <w:r/>
            <w:r>
              <w:rPr>
                <w:b w:val="0"/>
                <w:sz w:val="14"/>
              </w:rPr>
              <w:t>-0.88</w:t>
            </w:r>
          </w:p>
        </w:tc>
        <w:tc>
          <w:tcPr>
            <w:tcW w:type="dxa" w:w="3485"/>
            <w:vAlign w:val="center"/>
          </w:tcPr>
          <w:p>
            <w:pPr>
              <w:jc w:val="center"/>
            </w:pPr>
            <w:r/>
            <w:r>
              <w:rPr>
                <w:b w:val="0"/>
                <w:sz w:val="14"/>
              </w:rPr>
              <w:t>-0.06</w:t>
            </w:r>
          </w:p>
        </w:tc>
      </w:tr>
      <w:tr>
        <w:tc>
          <w:tcPr>
            <w:tcW w:type="dxa" w:w="3485"/>
            <w:vAlign w:val="center"/>
          </w:tcPr>
          <w:p>
            <w:pPr>
              <w:jc w:val="center"/>
            </w:pPr>
            <w:r/>
            <w:r>
              <w:rPr>
                <w:b w:val="0"/>
                <w:sz w:val="14"/>
              </w:rPr>
              <w:t>Human Capital Index (PWT)</w:t>
            </w:r>
          </w:p>
        </w:tc>
        <w:tc>
          <w:tcPr>
            <w:tcW w:type="dxa" w:w="3485"/>
            <w:vAlign w:val="center"/>
          </w:tcPr>
          <w:p>
            <w:pPr>
              <w:jc w:val="center"/>
            </w:pPr>
            <w:r/>
            <w:r>
              <w:rPr>
                <w:b w:val="0"/>
                <w:sz w:val="14"/>
              </w:rPr>
              <w:t>2.77</w:t>
            </w:r>
          </w:p>
        </w:tc>
        <w:tc>
          <w:tcPr>
            <w:tcW w:type="dxa" w:w="3485"/>
            <w:vAlign w:val="center"/>
          </w:tcPr>
          <w:p>
            <w:pPr>
              <w:jc w:val="center"/>
            </w:pPr>
            <w:r/>
            <w:r>
              <w:rPr>
                <w:b w:val="0"/>
                <w:sz w:val="14"/>
              </w:rPr>
              <w:t>+0.01</w:t>
            </w:r>
          </w:p>
        </w:tc>
      </w:tr>
      <w:tr>
        <w:tc>
          <w:tcPr>
            <w:tcW w:type="dxa" w:w="3485"/>
            <w:vAlign w:val="center"/>
          </w:tcPr>
          <w:p>
            <w:pPr>
              <w:jc w:val="center"/>
            </w:pPr>
            <w:r/>
            <w:r>
              <w:rPr>
                <w:b w:val="0"/>
                <w:sz w:val="14"/>
              </w:rPr>
              <w:t>Labor Force Participation Rate (%)</w:t>
            </w:r>
          </w:p>
        </w:tc>
        <w:tc>
          <w:tcPr>
            <w:tcW w:type="dxa" w:w="3485"/>
            <w:vAlign w:val="center"/>
          </w:tcPr>
          <w:p>
            <w:pPr>
              <w:jc w:val="center"/>
            </w:pPr>
            <w:r/>
            <w:r>
              <w:rPr>
                <w:b w:val="0"/>
                <w:sz w:val="14"/>
              </w:rPr>
              <w:t>64.60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29  /  PAGE 128  /  BASE CASE</w:t>
      </w:r>
    </w:p>
    <w:p>
      <w:pPr>
        <w:pStyle w:val="Title"/>
      </w:pPr>
      <w:r>
        <w:t>Base Case</w:t>
      </w:r>
    </w:p>
    <w:p>
      <w:pPr>
        <w:spacing w:after="100" w:line="252" w:lineRule="auto"/>
      </w:pPr>
      <w:r>
        <w:t>Base Case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29  /  PAGE 129  /  UPSIDE CASE</w:t>
      </w:r>
    </w:p>
    <w:p>
      <w:pPr>
        <w:pStyle w:val="Title"/>
      </w:pPr>
      <w:r>
        <w:t>Upside Case</w:t>
      </w:r>
    </w:p>
    <w:p>
      <w:pPr>
        <w:spacing w:after="100" w:line="252" w:lineRule="auto"/>
      </w:pPr>
      <w:r>
        <w:t>Upside Case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43" name="Picture 43"/>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29  /  PAGE 130  /  DOWNSIDE CASE</w:t>
      </w:r>
    </w:p>
    <w:p>
      <w:pPr>
        <w:pStyle w:val="Title"/>
      </w:pPr>
      <w:r>
        <w:t>Downside Case</w:t>
      </w:r>
    </w:p>
    <w:p>
      <w:pPr>
        <w:spacing w:after="100" w:line="252" w:lineRule="auto"/>
      </w:pPr>
      <w:r>
        <w:t>Downside Case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29  /  PAGE 131  /  PROPERTY / LGFV STRESS CASE</w:t>
      </w:r>
    </w:p>
    <w:p>
      <w:pPr>
        <w:pStyle w:val="Title"/>
      </w:pPr>
      <w:r>
        <w:t>Property / LGFV Stress Case</w:t>
      </w:r>
    </w:p>
    <w:p>
      <w:pPr>
        <w:spacing w:after="100" w:line="252" w:lineRule="auto"/>
      </w:pPr>
      <w:r>
        <w:t>Property / LGFV Stress Case should be interpreted within China’s broader transition from property- and debt-intensive growth toward a more technology- and manufacturing-led model. In the master series, Government Debt / GDP was 68.40 in 2025 (+7.50 versus 2024); Interest Expenses / Revenue was 9.20 in 2025 (+0.50 versus 2024); Fiscal Deficit / GDP was -7.40 in 2025 (-0.70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Government Debt / GDP (%)</w:t>
            </w:r>
          </w:p>
        </w:tc>
        <w:tc>
          <w:tcPr>
            <w:tcW w:type="dxa" w:w="3485"/>
            <w:vAlign w:val="center"/>
          </w:tcPr>
          <w:p>
            <w:pPr>
              <w:jc w:val="center"/>
            </w:pPr>
            <w:r/>
            <w:r>
              <w:rPr>
                <w:b w:val="0"/>
                <w:sz w:val="14"/>
              </w:rPr>
              <w:t>68.40</w:t>
            </w:r>
          </w:p>
        </w:tc>
        <w:tc>
          <w:tcPr>
            <w:tcW w:type="dxa" w:w="3485"/>
            <w:vAlign w:val="center"/>
          </w:tcPr>
          <w:p>
            <w:pPr>
              <w:jc w:val="center"/>
            </w:pPr>
            <w:r/>
            <w:r>
              <w:rPr>
                <w:b w:val="0"/>
                <w:sz w:val="14"/>
              </w:rPr>
              <w:t>+7.50</w:t>
            </w:r>
          </w:p>
        </w:tc>
      </w:tr>
      <w:tr>
        <w:tc>
          <w:tcPr>
            <w:tcW w:type="dxa" w:w="3485"/>
            <w:vAlign w:val="center"/>
          </w:tcPr>
          <w:p>
            <w:pPr>
              <w:jc w:val="center"/>
            </w:pPr>
            <w:r/>
            <w:r>
              <w:rPr>
                <w:b w:val="0"/>
                <w:sz w:val="14"/>
              </w:rPr>
              <w:t>Interest Expenses / Revenue (%)</w:t>
            </w:r>
          </w:p>
        </w:tc>
        <w:tc>
          <w:tcPr>
            <w:tcW w:type="dxa" w:w="3485"/>
            <w:vAlign w:val="center"/>
          </w:tcPr>
          <w:p>
            <w:pPr>
              <w:jc w:val="center"/>
            </w:pPr>
            <w:r/>
            <w:r>
              <w:rPr>
                <w:b w:val="0"/>
                <w:sz w:val="14"/>
              </w:rPr>
              <w:t>9.20</w:t>
            </w:r>
          </w:p>
        </w:tc>
        <w:tc>
          <w:tcPr>
            <w:tcW w:type="dxa" w:w="3485"/>
            <w:vAlign w:val="center"/>
          </w:tcPr>
          <w:p>
            <w:pPr>
              <w:jc w:val="center"/>
            </w:pPr>
            <w:r/>
            <w:r>
              <w:rPr>
                <w:b w:val="0"/>
                <w:sz w:val="14"/>
              </w:rPr>
              <w:t>+0.50</w:t>
            </w:r>
          </w:p>
        </w:tc>
      </w:tr>
      <w:tr>
        <w:tc>
          <w:tcPr>
            <w:tcW w:type="dxa" w:w="3485"/>
            <w:vAlign w:val="center"/>
          </w:tcPr>
          <w:p>
            <w:pPr>
              <w:jc w:val="center"/>
            </w:pPr>
            <w:r/>
            <w:r>
              <w:rPr>
                <w:b w:val="0"/>
                <w:sz w:val="14"/>
              </w:rPr>
              <w:t>Fiscal Deficit / GDP (%)</w:t>
            </w:r>
          </w:p>
        </w:tc>
        <w:tc>
          <w:tcPr>
            <w:tcW w:type="dxa" w:w="3485"/>
            <w:vAlign w:val="center"/>
          </w:tcPr>
          <w:p>
            <w:pPr>
              <w:jc w:val="center"/>
            </w:pPr>
            <w:r/>
            <w:r>
              <w:rPr>
                <w:b w:val="0"/>
                <w:sz w:val="14"/>
              </w:rPr>
              <w:t>-7.40</w:t>
            </w:r>
          </w:p>
        </w:tc>
        <w:tc>
          <w:tcPr>
            <w:tcW w:type="dxa" w:w="3485"/>
            <w:vAlign w:val="center"/>
          </w:tcPr>
          <w:p>
            <w:pPr>
              <w:jc w:val="center"/>
            </w:pPr>
            <w:r/>
            <w:r>
              <w:rPr>
                <w:b w:val="0"/>
                <w:sz w:val="14"/>
              </w:rPr>
              <w:t>-0.70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29  /  PAGE 132  /  TRADE SHOCK CASE</w:t>
      </w:r>
    </w:p>
    <w:p>
      <w:pPr>
        <w:pStyle w:val="Title"/>
      </w:pPr>
      <w:r>
        <w:t>Trade Shock Case</w:t>
      </w:r>
    </w:p>
    <w:p>
      <w:pPr>
        <w:spacing w:after="100" w:line="252" w:lineRule="auto"/>
      </w:pPr>
      <w:r>
        <w:t>Trade Shock Case should be interpreted within China’s broader transition from property- and debt-intensive growth toward a more technology- and manufacturing-led model. In the master series, Current Account / GDP was 3.77 in 2025 (+1.30 versus 2024); Trade Balance / GDP was 4.14 in 2025 (+1.43 versus 2024); External Debt / GDP was 11.90 in 2025 (-0.90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44" name="Picture 44"/>
            <wp:cNvGraphicFramePr>
              <a:graphicFrameLocks noChangeAspect="1"/>
            </wp:cNvGraphicFramePr>
            <a:graphic>
              <a:graphicData uri="http://schemas.openxmlformats.org/drawingml/2006/picture">
                <pic:pic>
                  <pic:nvPicPr>
                    <pic:cNvPr id="0" name="external.png"/>
                    <pic:cNvPicPr/>
                  </pic:nvPicPr>
                  <pic:blipFill>
                    <a:blip r:embed="rId12"/>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30  /  PAGE 133  /  2026–27 FORECAST FRAMEWORK</w:t>
      </w:r>
    </w:p>
    <w:p>
      <w:pPr>
        <w:pStyle w:val="Title"/>
      </w:pPr>
      <w:r>
        <w:t>2026–27 Forecast Framework</w:t>
      </w:r>
    </w:p>
    <w:p>
      <w:pPr>
        <w:spacing w:after="100" w:line="252" w:lineRule="auto"/>
      </w:pPr>
      <w:r>
        <w:t>2026–27 Forecast Framework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30  /  PAGE 134  /  FORECAST COMPARISON</w:t>
      </w:r>
    </w:p>
    <w:p>
      <w:pPr>
        <w:pStyle w:val="Title"/>
      </w:pPr>
      <w:r>
        <w:t>Forecast Comparison</w:t>
      </w:r>
    </w:p>
    <w:p>
      <w:pPr>
        <w:spacing w:after="100" w:line="252" w:lineRule="auto"/>
      </w:pPr>
      <w:r>
        <w:t>Forecast Comparison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30  /  PAGE 135  /  BRANDESSENCE FORECAST DASHBOARD</w:t>
      </w:r>
    </w:p>
    <w:p>
      <w:pPr>
        <w:pStyle w:val="Title"/>
      </w:pPr>
      <w:r>
        <w:t>BrandEssence Forecast Dashboard</w:t>
      </w:r>
    </w:p>
    <w:p>
      <w:pPr>
        <w:spacing w:after="100" w:line="252" w:lineRule="auto"/>
      </w:pPr>
      <w:r>
        <w:t>BrandEssence Forecast Dashboard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45" name="Picture 45"/>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31  /  PAGE 136  /  BUSINESS IMPACT MATRIX</w:t>
      </w:r>
    </w:p>
    <w:p>
      <w:pPr>
        <w:pStyle w:val="Title"/>
      </w:pPr>
      <w:r>
        <w:t>Business Impact Matrix</w:t>
      </w:r>
    </w:p>
    <w:p>
      <w:pPr>
        <w:spacing w:after="100" w:line="252" w:lineRule="auto"/>
      </w:pPr>
      <w:r>
        <w:t>Business Impact Matrix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31  /  PAGE 137  /  SECTOR OPPORTUNITY MATRIX</w:t>
      </w:r>
    </w:p>
    <w:p>
      <w:pPr>
        <w:pStyle w:val="Title"/>
      </w:pPr>
      <w:r>
        <w:t>Sector Opportunity Matrix</w:t>
      </w:r>
    </w:p>
    <w:p>
      <w:pPr>
        <w:spacing w:after="100" w:line="252" w:lineRule="auto"/>
      </w:pPr>
      <w:r>
        <w:t>Sector Opportunity Matrix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31  /  PAGE 138  /  CAPITAL ALLOCATION &amp; FINANCING</w:t>
      </w:r>
    </w:p>
    <w:p>
      <w:pPr>
        <w:pStyle w:val="Title"/>
      </w:pPr>
      <w:r>
        <w:t>Capital Allocation &amp; Financing</w:t>
      </w:r>
    </w:p>
    <w:p>
      <w:pPr>
        <w:spacing w:after="100" w:line="252" w:lineRule="auto"/>
      </w:pPr>
      <w:r>
        <w:t>Capital Allocation &amp; Financing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46" name="Picture 46"/>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31  /  PAGE 139  /  MANAGEMENT ACTIONS</w:t>
      </w:r>
    </w:p>
    <w:p>
      <w:pPr>
        <w:pStyle w:val="Title"/>
      </w:pPr>
      <w:r>
        <w:t>Management Actions</w:t>
      </w:r>
    </w:p>
    <w:p>
      <w:pPr>
        <w:spacing w:after="100" w:line="252" w:lineRule="auto"/>
      </w:pPr>
      <w:r>
        <w:t>Management Actions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32  /  PAGE 140  /  MACRO RESILIENCE SCORECARD</w:t>
      </w:r>
    </w:p>
    <w:p>
      <w:pPr>
        <w:pStyle w:val="Title"/>
      </w:pPr>
      <w:r>
        <w:t>Macro Resilience Scorecard</w:t>
      </w:r>
    </w:p>
    <w:p>
      <w:pPr>
        <w:spacing w:after="100" w:line="252" w:lineRule="auto"/>
      </w:pPr>
      <w:r>
        <w:t>Macro Resilience Scorecard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32  /  PAGE 141  /  COUNTRY RISK SCORECARD</w:t>
      </w:r>
    </w:p>
    <w:p>
      <w:pPr>
        <w:pStyle w:val="Title"/>
      </w:pPr>
      <w:r>
        <w:t>Country Risk Scorecard</w:t>
      </w:r>
    </w:p>
    <w:p>
      <w:pPr>
        <w:spacing w:after="100" w:line="252" w:lineRule="auto"/>
      </w:pPr>
      <w:r>
        <w:t>Country Risk Scorecard should be interpreted within China’s broader transition from property- and debt-intensive growth toward a more technology- and manufacturing-led model. In the master series, Economic Policy Uncertainty Index was 589.93 in 2025 (+388.49 versus 2024); Geopolitical Risk Exposure (GPRC_CHN) was 0.99 in 2025 (+0.12 versus 2024); Government Debt / GDP was 68.40 in 2025 (+7.50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47" name="Picture 47"/>
            <wp:cNvGraphicFramePr>
              <a:graphicFrameLocks noChangeAspect="1"/>
            </wp:cNvGraphicFramePr>
            <a:graphic>
              <a:graphicData uri="http://schemas.openxmlformats.org/drawingml/2006/picture">
                <pic:pic>
                  <pic:nvPicPr>
                    <pic:cNvPr id="0" name="epu.png"/>
                    <pic:cNvPicPr/>
                  </pic:nvPicPr>
                  <pic:blipFill>
                    <a:blip r:embed="rId21"/>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32  /  PAGE 142  /  SCORECARD METHODOLOGY</w:t>
      </w:r>
    </w:p>
    <w:p>
      <w:pPr>
        <w:pStyle w:val="Title"/>
      </w:pPr>
      <w:r>
        <w:t>Scorecard Methodology</w:t>
      </w:r>
    </w:p>
    <w:p>
      <w:pPr>
        <w:spacing w:after="100" w:line="252" w:lineRule="auto"/>
      </w:pPr>
      <w:r>
        <w:t>Scorecard Methodology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33  /  PAGE 143  /  CHINA IN 12 INDICATORS</w:t>
      </w:r>
    </w:p>
    <w:p>
      <w:pPr>
        <w:pStyle w:val="Title"/>
      </w:pPr>
      <w:r>
        <w:t>China in 12 Indicators</w:t>
      </w:r>
    </w:p>
    <w:p>
      <w:pPr>
        <w:spacing w:after="100" w:line="252" w:lineRule="auto"/>
      </w:pPr>
      <w:r>
        <w:t>China in 12 Indicators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jc w:val="center"/>
            </w:pPr>
            <w:r>
              <w:rPr>
                <w:color w:val="FFFFFF"/>
              </w:rPr>
            </w:r>
            <w:r>
              <w:rPr>
                <w:b/>
                <w:color w:val="FFFFFF"/>
                <w:sz w:val="15"/>
              </w:rPr>
              <w:t>Indicator</w:t>
            </w:r>
          </w:p>
        </w:tc>
        <w:tc>
          <w:tcPr>
            <w:tcW w:type="dxa" w:w="3485"/>
            <w:vAlign w:val="center"/>
            <w:shd w:fill="1F4E79"/>
          </w:tcPr>
          <w:p>
            <w:pPr>
              <w:jc w:val="center"/>
            </w:pPr>
            <w:r>
              <w:rPr>
                <w:color w:val="FFFFFF"/>
              </w:rPr>
            </w:r>
            <w:r>
              <w:rPr>
                <w:b/>
                <w:color w:val="FFFFFF"/>
                <w:sz w:val="15"/>
              </w:rPr>
              <w:t>2025</w:t>
            </w:r>
          </w:p>
        </w:tc>
        <w:tc>
          <w:tcPr>
            <w:tcW w:type="dxa" w:w="3485"/>
            <w:vAlign w:val="center"/>
            <w:shd w:fill="1F4E79"/>
          </w:tcPr>
          <w:p>
            <w:pPr>
              <w:jc w:val="center"/>
            </w:pPr>
            <w:r>
              <w:rPr>
                <w:color w:val="FFFFFF"/>
              </w:rPr>
            </w:r>
            <w:r>
              <w:rPr>
                <w:b/>
                <w:color w:val="FFFFFF"/>
                <w:sz w:val="15"/>
              </w:rPr>
              <w:t>Change vs 2024</w:t>
            </w:r>
          </w:p>
        </w:tc>
      </w:tr>
      <w:tr>
        <w:tc>
          <w:tcPr>
            <w:tcW w:type="dxa" w:w="3485"/>
            <w:vAlign w:val="center"/>
          </w:tcPr>
          <w:p>
            <w:pPr>
              <w:jc w:val="center"/>
            </w:pPr>
            <w:r/>
            <w:r>
              <w:rPr>
                <w:b w:val="0"/>
                <w:sz w:val="14"/>
              </w:rPr>
              <w:t>Real GDP Growth (%)</w:t>
            </w:r>
          </w:p>
        </w:tc>
        <w:tc>
          <w:tcPr>
            <w:tcW w:type="dxa" w:w="3485"/>
            <w:vAlign w:val="center"/>
          </w:tcPr>
          <w:p>
            <w:pPr>
              <w:jc w:val="center"/>
            </w:pPr>
            <w:r/>
            <w:r>
              <w:rPr>
                <w:b w:val="0"/>
                <w:sz w:val="14"/>
              </w:rPr>
              <w:t>4.96</w:t>
            </w:r>
          </w:p>
        </w:tc>
        <w:tc>
          <w:tcPr>
            <w:tcW w:type="dxa" w:w="3485"/>
            <w:vAlign w:val="center"/>
          </w:tcPr>
          <w:p>
            <w:pPr>
              <w:jc w:val="center"/>
            </w:pPr>
            <w:r/>
            <w:r>
              <w:rPr>
                <w:b w:val="0"/>
                <w:sz w:val="14"/>
              </w:rPr>
              <w:t>+0.00</w:t>
            </w:r>
          </w:p>
        </w:tc>
      </w:tr>
      <w:tr>
        <w:tc>
          <w:tcPr>
            <w:tcW w:type="dxa" w:w="3485"/>
            <w:vAlign w:val="center"/>
          </w:tcPr>
          <w:p>
            <w:pPr>
              <w:jc w:val="center"/>
            </w:pPr>
            <w:r/>
            <w:r>
              <w:rPr>
                <w:b w:val="0"/>
                <w:sz w:val="14"/>
              </w:rPr>
              <w:t>Core CPI Inflation (%)</w:t>
            </w:r>
          </w:p>
        </w:tc>
        <w:tc>
          <w:tcPr>
            <w:tcW w:type="dxa" w:w="3485"/>
            <w:vAlign w:val="center"/>
          </w:tcPr>
          <w:p>
            <w:pPr>
              <w:jc w:val="center"/>
            </w:pPr>
            <w:r/>
            <w:r>
              <w:rPr>
                <w:b w:val="0"/>
                <w:sz w:val="14"/>
              </w:rPr>
              <w:t>0.70</w:t>
            </w:r>
          </w:p>
        </w:tc>
        <w:tc>
          <w:tcPr>
            <w:tcW w:type="dxa" w:w="3485"/>
            <w:vAlign w:val="center"/>
          </w:tcPr>
          <w:p>
            <w:pPr>
              <w:jc w:val="center"/>
            </w:pPr>
            <w:r/>
            <w:r>
              <w:rPr>
                <w:b w:val="0"/>
                <w:sz w:val="14"/>
              </w:rPr>
              <w:t>+0.20</w:t>
            </w:r>
          </w:p>
        </w:tc>
      </w:tr>
      <w:tr>
        <w:tc>
          <w:tcPr>
            <w:tcW w:type="dxa" w:w="3485"/>
            <w:vAlign w:val="center"/>
          </w:tcPr>
          <w:p>
            <w:pPr>
              <w:jc w:val="center"/>
            </w:pPr>
            <w:r/>
            <w:r>
              <w:rPr>
                <w:b w:val="0"/>
                <w:sz w:val="14"/>
              </w:rPr>
              <w:t>Credit Growth (%)</w:t>
            </w:r>
          </w:p>
        </w:tc>
        <w:tc>
          <w:tcPr>
            <w:tcW w:type="dxa" w:w="3485"/>
            <w:vAlign w:val="center"/>
          </w:tcPr>
          <w:p>
            <w:pPr>
              <w:jc w:val="center"/>
            </w:pPr>
            <w:r/>
            <w:r>
              <w:rPr>
                <w:b w:val="0"/>
                <w:sz w:val="14"/>
              </w:rPr>
              <w:t>8.30</w:t>
            </w:r>
          </w:p>
        </w:tc>
        <w:tc>
          <w:tcPr>
            <w:tcW w:type="dxa" w:w="3485"/>
            <w:vAlign w:val="center"/>
          </w:tcPr>
          <w:p>
            <w:pPr>
              <w:jc w:val="center"/>
            </w:pPr>
            <w:r/>
            <w:r>
              <w:rPr>
                <w:b w:val="0"/>
                <w:sz w:val="14"/>
              </w:rPr>
              <w:t>+0.30</w:t>
            </w:r>
          </w:p>
        </w:tc>
      </w:tr>
    </w:tbl>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33  /  PAGE 144  /  12-MONTH MACRO WATCHLIST</w:t>
      </w:r>
    </w:p>
    <w:p>
      <w:pPr>
        <w:pStyle w:val="Title"/>
      </w:pPr>
      <w:r>
        <w:t>12-Month Macro Watchlist</w:t>
      </w:r>
    </w:p>
    <w:p>
      <w:pPr>
        <w:spacing w:after="100" w:line="252" w:lineRule="auto"/>
      </w:pPr>
      <w:r>
        <w:t>12-Month Macro Watchlist should be interpreted within China’s broader transition from property- and debt-intensive growth toward a more technology- and manufacturing-led model. In the master series, Real GDP Growth was 4.96 in 2025 (+0.00 versus 2024); Core CPI Inflation was 0.70 in 2025 (+0.20 versus 2024); Credit Growth was 8.30 in 2025 (+0.30 versus 2024). The combination matters more than any single observation: weaker private-demand signals can coexist with resilient industrial activity, while easier policy can support liquidity without automatically generating a proportional increase in household or private-sector borrowing.</w:t>
      </w:r>
    </w:p>
    <w:p>
      <w:pPr>
        <w:pStyle w:val="Heading1"/>
      </w:pPr>
      <w:r>
        <w:t>Economic Impact</w:t>
      </w:r>
    </w:p>
    <w:p>
      <w:pPr>
        <w:spacing w:after="100" w:line="252" w:lineRule="auto"/>
      </w:pPr>
      <w:r>
        <w:t>The transmission channel runs through household confidence, corporate margins, financing costs, local-government capacity and external demand. A movement that supports near-term activity can still create medium-term trade-offs if it raises leverage, worsens resource allocation or delays balance-sheet adjustment.</w:t>
      </w:r>
    </w:p>
    <w:p>
      <w:pPr>
        <w:pStyle w:val="Heading1"/>
      </w:pPr>
      <w:r>
        <w:t>Business Impact</w:t>
      </w:r>
    </w:p>
    <w:p>
      <w:pPr>
        <w:spacing w:after="100" w:line="252" w:lineRule="auto"/>
      </w:pPr>
      <w:r>
        <w:t>Management should translate the macro signal into pricing power, revenue sensitivity, borrowing costs, working-capital needs, inventory, hiring and capital expenditure. Property-linked sectors, banks, construction materials and local-government-exposed businesses have different sensitivities from exporters, technology firms and consumer services.</w:t>
      </w:r>
    </w:p>
    <w:p>
      <w:pPr>
        <w:jc w:val="center"/>
      </w:pPr>
      <w:r>
        <w:drawing>
          <wp:inline xmlns:a="http://schemas.openxmlformats.org/drawingml/2006/main" xmlns:pic="http://schemas.openxmlformats.org/drawingml/2006/picture">
            <wp:extent cx="6675120" cy="2843357"/>
            <wp:docPr id="48" name="Picture 48"/>
            <wp:cNvGraphicFramePr>
              <a:graphicFrameLocks noChangeAspect="1"/>
            </wp:cNvGraphicFramePr>
            <a:graphic>
              <a:graphicData uri="http://schemas.openxmlformats.org/drawingml/2006/picture">
                <pic:pic>
                  <pic:nvPicPr>
                    <pic:cNvPr id="0" name="gdp.png"/>
                    <pic:cNvPicPr/>
                  </pic:nvPicPr>
                  <pic:blipFill>
                    <a:blip r:embed="rId10"/>
                    <a:stretch>
                      <a:fillRect/>
                    </a:stretch>
                  </pic:blipFill>
                  <pic:spPr>
                    <a:xfrm>
                      <a:off x="0" y="0"/>
                      <a:ext cx="6675120" cy="2843357"/>
                    </a:xfrm>
                    <a:prstGeom prst="rect"/>
                  </pic:spPr>
                </pic:pic>
              </a:graphicData>
            </a:graphic>
          </wp:inline>
        </w:drawing>
      </w:r>
    </w:p>
    <w:p>
      <w:pPr>
        <w:pStyle w:val="Heading1"/>
      </w:pPr>
      <w:r>
        <w:t>2026–27 Outlook</w:t>
      </w:r>
    </w:p>
    <w:p>
      <w:pPr>
        <w:spacing w:after="100" w:line="252" w:lineRule="auto"/>
      </w:pPr>
      <w:r>
        <w:t>For 2026–27, the central management question is whether policy support can stabilize domestic demand while the property adjustment continues and external trade conditions remain uncertain. The IMF’s July 2026 update projected China’s 2026 growth at 4.6%, while the World Bank’s July 2026 China Economic Update projected 4.4% for 2026 and 4.3% for 2027. These forecasts should be treated as dated external baselines rather than facts; the direction of consumption, property, private investment, exports and price conditions will determine whether outcomes move above or below those paths.</w:t>
      </w:r>
    </w:p>
    <w:p>
      <w:r>
        <w:br w:type="page"/>
      </w:r>
    </w:p>
    <w:p>
      <w:r>
        <w:rPr>
          <w:b/>
          <w:color w:val="595959"/>
          <w:sz w:val="16"/>
        </w:rPr>
        <w:t>CHAPTER 34  /  PAGE 145  /  GROWTH DATABASE</w:t>
      </w:r>
    </w:p>
    <w:p>
      <w:pPr>
        <w:pStyle w:val="Title"/>
      </w:pPr>
      <w:r>
        <w:t>Growth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Real GDP Growth (%)</w:t>
            </w:r>
          </w:p>
        </w:tc>
        <w:tc>
          <w:tcPr>
            <w:tcW w:type="dxa" w:w="2091"/>
            <w:vAlign w:val="center"/>
            <w:shd w:fill="1F4E79"/>
          </w:tcPr>
          <w:p>
            <w:pPr>
              <w:jc w:val="center"/>
            </w:pPr>
            <w:r>
              <w:rPr>
                <w:color w:val="FFFFFF"/>
              </w:rPr>
            </w:r>
            <w:r>
              <w:rPr>
                <w:b/>
                <w:color w:val="FFFFFF"/>
                <w:sz w:val="15"/>
              </w:rPr>
              <w:t>Potential GDP Growth (%)</w:t>
            </w:r>
          </w:p>
        </w:tc>
        <w:tc>
          <w:tcPr>
            <w:tcW w:type="dxa" w:w="2091"/>
            <w:vAlign w:val="center"/>
            <w:shd w:fill="1F4E79"/>
          </w:tcPr>
          <w:p>
            <w:pPr>
              <w:jc w:val="center"/>
            </w:pPr>
            <w:r>
              <w:rPr>
                <w:color w:val="FFFFFF"/>
              </w:rPr>
            </w:r>
            <w:r>
              <w:rPr>
                <w:b/>
                <w:color w:val="FFFFFF"/>
                <w:sz w:val="15"/>
              </w:rPr>
              <w:t>Output Gap (% Potential GDP)</w:t>
            </w:r>
          </w:p>
        </w:tc>
        <w:tc>
          <w:tcPr>
            <w:tcW w:type="dxa" w:w="2091"/>
            <w:vAlign w:val="center"/>
            <w:shd w:fill="1F4E79"/>
          </w:tcPr>
          <w:p>
            <w:pPr>
              <w:jc w:val="center"/>
            </w:pPr>
            <w:r>
              <w:rPr>
                <w:color w:val="FFFFFF"/>
              </w:rPr>
            </w:r>
            <w:r>
              <w:rPr>
                <w:b/>
                <w:color w:val="FFFFFF"/>
                <w:sz w:val="15"/>
              </w:rPr>
              <w:t>Core CPI Inflation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6.98</w:t>
            </w:r>
          </w:p>
        </w:tc>
        <w:tc>
          <w:tcPr>
            <w:tcW w:type="dxa" w:w="2091"/>
            <w:vAlign w:val="center"/>
          </w:tcPr>
          <w:p>
            <w:pPr>
              <w:jc w:val="center"/>
            </w:pPr>
            <w:r/>
            <w:r>
              <w:rPr>
                <w:b w:val="0"/>
                <w:sz w:val="14"/>
              </w:rPr>
              <w:t>7.30</w:t>
            </w:r>
          </w:p>
        </w:tc>
        <w:tc>
          <w:tcPr>
            <w:tcW w:type="dxa" w:w="2091"/>
            <w:vAlign w:val="center"/>
          </w:tcPr>
          <w:p>
            <w:pPr>
              <w:jc w:val="center"/>
            </w:pPr>
            <w:r/>
            <w:r>
              <w:rPr>
                <w:b w:val="0"/>
                <w:sz w:val="14"/>
              </w:rPr>
              <w:t>-0.70</w:t>
            </w:r>
          </w:p>
        </w:tc>
        <w:tc>
          <w:tcPr>
            <w:tcW w:type="dxa" w:w="2091"/>
            <w:vAlign w:val="center"/>
          </w:tcPr>
          <w:p>
            <w:pPr>
              <w:jc w:val="center"/>
            </w:pPr>
            <w:r/>
            <w:r>
              <w:rPr>
                <w:b w:val="0"/>
                <w:sz w:val="14"/>
              </w:rPr>
              <w:t>1.60</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6.77</w:t>
            </w:r>
          </w:p>
        </w:tc>
        <w:tc>
          <w:tcPr>
            <w:tcW w:type="dxa" w:w="2091"/>
            <w:vAlign w:val="center"/>
          </w:tcPr>
          <w:p>
            <w:pPr>
              <w:jc w:val="center"/>
            </w:pPr>
            <w:r/>
            <w:r>
              <w:rPr>
                <w:b w:val="0"/>
                <w:sz w:val="14"/>
              </w:rPr>
              <w:t>6.90</w:t>
            </w:r>
          </w:p>
        </w:tc>
        <w:tc>
          <w:tcPr>
            <w:tcW w:type="dxa" w:w="2091"/>
            <w:vAlign w:val="center"/>
          </w:tcPr>
          <w:p>
            <w:pPr>
              <w:jc w:val="center"/>
            </w:pPr>
            <w:r/>
            <w:r>
              <w:rPr>
                <w:b w:val="0"/>
                <w:sz w:val="14"/>
              </w:rPr>
              <w:t>-0.30</w:t>
            </w:r>
          </w:p>
        </w:tc>
        <w:tc>
          <w:tcPr>
            <w:tcW w:type="dxa" w:w="2091"/>
            <w:vAlign w:val="center"/>
          </w:tcPr>
          <w:p>
            <w:pPr>
              <w:jc w:val="center"/>
            </w:pPr>
            <w:r/>
            <w:r>
              <w:rPr>
                <w:b w:val="0"/>
                <w:sz w:val="14"/>
              </w:rPr>
              <w:t>1.60</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6.89</w:t>
            </w:r>
          </w:p>
        </w:tc>
        <w:tc>
          <w:tcPr>
            <w:tcW w:type="dxa" w:w="2091"/>
            <w:vAlign w:val="center"/>
          </w:tcPr>
          <w:p>
            <w:pPr>
              <w:jc w:val="center"/>
            </w:pPr>
            <w:r/>
            <w:r>
              <w:rPr>
                <w:b w:val="0"/>
                <w:sz w:val="14"/>
              </w:rPr>
              <w:t>6.40</w:t>
            </w:r>
          </w:p>
        </w:tc>
        <w:tc>
          <w:tcPr>
            <w:tcW w:type="dxa" w:w="2091"/>
            <w:vAlign w:val="center"/>
          </w:tcPr>
          <w:p>
            <w:pPr>
              <w:jc w:val="center"/>
            </w:pPr>
            <w:r/>
            <w:r>
              <w:rPr>
                <w:b w:val="0"/>
                <w:sz w:val="14"/>
              </w:rPr>
              <w:t>0.10</w:t>
            </w:r>
          </w:p>
        </w:tc>
        <w:tc>
          <w:tcPr>
            <w:tcW w:type="dxa" w:w="2091"/>
            <w:vAlign w:val="center"/>
          </w:tcPr>
          <w:p>
            <w:pPr>
              <w:jc w:val="center"/>
            </w:pPr>
            <w:r/>
            <w:r>
              <w:rPr>
                <w:b w:val="0"/>
                <w:sz w:val="14"/>
              </w:rPr>
              <w:t>2.20</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6.76</w:t>
            </w:r>
          </w:p>
        </w:tc>
        <w:tc>
          <w:tcPr>
            <w:tcW w:type="dxa" w:w="2091"/>
            <w:vAlign w:val="center"/>
          </w:tcPr>
          <w:p>
            <w:pPr>
              <w:jc w:val="center"/>
            </w:pPr>
            <w:r/>
            <w:r>
              <w:rPr>
                <w:b w:val="0"/>
                <w:sz w:val="14"/>
              </w:rPr>
              <w:t>5.90</w:t>
            </w:r>
          </w:p>
        </w:tc>
        <w:tc>
          <w:tcPr>
            <w:tcW w:type="dxa" w:w="2091"/>
            <w:vAlign w:val="center"/>
          </w:tcPr>
          <w:p>
            <w:pPr>
              <w:jc w:val="center"/>
            </w:pPr>
            <w:r/>
            <w:r>
              <w:rPr>
                <w:b w:val="0"/>
                <w:sz w:val="14"/>
              </w:rPr>
              <w:t>-0.50</w:t>
            </w:r>
          </w:p>
        </w:tc>
        <w:tc>
          <w:tcPr>
            <w:tcW w:type="dxa" w:w="2091"/>
            <w:vAlign w:val="center"/>
          </w:tcPr>
          <w:p>
            <w:pPr>
              <w:jc w:val="center"/>
            </w:pPr>
            <w:r/>
            <w:r>
              <w:rPr>
                <w:b w:val="0"/>
                <w:sz w:val="14"/>
              </w:rPr>
              <w:t>1.90</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6.07</w:t>
            </w:r>
          </w:p>
        </w:tc>
        <w:tc>
          <w:tcPr>
            <w:tcW w:type="dxa" w:w="2091"/>
            <w:vAlign w:val="center"/>
          </w:tcPr>
          <w:p>
            <w:pPr>
              <w:jc w:val="center"/>
            </w:pPr>
            <w:r/>
            <w:r>
              <w:rPr>
                <w:b w:val="0"/>
                <w:sz w:val="14"/>
              </w:rPr>
              <w:t>5.70</w:t>
            </w:r>
          </w:p>
        </w:tc>
        <w:tc>
          <w:tcPr>
            <w:tcW w:type="dxa" w:w="2091"/>
            <w:vAlign w:val="center"/>
          </w:tcPr>
          <w:p>
            <w:pPr>
              <w:jc w:val="center"/>
            </w:pPr>
            <w:r/>
            <w:r>
              <w:rPr>
                <w:b w:val="0"/>
                <w:sz w:val="14"/>
              </w:rPr>
              <w:t>-1.00</w:t>
            </w:r>
          </w:p>
        </w:tc>
        <w:tc>
          <w:tcPr>
            <w:tcW w:type="dxa" w:w="2091"/>
            <w:vAlign w:val="center"/>
          </w:tcPr>
          <w:p>
            <w:pPr>
              <w:jc w:val="center"/>
            </w:pPr>
            <w:r/>
            <w:r>
              <w:rPr>
                <w:b w:val="0"/>
                <w:sz w:val="14"/>
              </w:rPr>
              <w:t>1.60</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2.34</w:t>
            </w:r>
          </w:p>
        </w:tc>
        <w:tc>
          <w:tcPr>
            <w:tcW w:type="dxa" w:w="2091"/>
            <w:vAlign w:val="center"/>
          </w:tcPr>
          <w:p>
            <w:pPr>
              <w:jc w:val="center"/>
            </w:pPr>
            <w:r/>
            <w:r>
              <w:rPr>
                <w:b w:val="0"/>
                <w:sz w:val="14"/>
              </w:rPr>
              <w:t>5.40</w:t>
            </w:r>
          </w:p>
        </w:tc>
        <w:tc>
          <w:tcPr>
            <w:tcW w:type="dxa" w:w="2091"/>
            <w:vAlign w:val="center"/>
          </w:tcPr>
          <w:p>
            <w:pPr>
              <w:jc w:val="center"/>
            </w:pPr>
            <w:r/>
            <w:r>
              <w:rPr>
                <w:b w:val="0"/>
                <w:sz w:val="14"/>
              </w:rPr>
              <w:t>-4.00</w:t>
            </w:r>
          </w:p>
        </w:tc>
        <w:tc>
          <w:tcPr>
            <w:tcW w:type="dxa" w:w="2091"/>
            <w:vAlign w:val="center"/>
          </w:tcPr>
          <w:p>
            <w:pPr>
              <w:jc w:val="center"/>
            </w:pPr>
            <w:r/>
            <w:r>
              <w:rPr>
                <w:b w:val="0"/>
                <w:sz w:val="14"/>
              </w:rPr>
              <w:t>0.80</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8.57</w:t>
            </w:r>
          </w:p>
        </w:tc>
        <w:tc>
          <w:tcPr>
            <w:tcW w:type="dxa" w:w="2091"/>
            <w:vAlign w:val="center"/>
          </w:tcPr>
          <w:p>
            <w:pPr>
              <w:jc w:val="center"/>
            </w:pPr>
            <w:r/>
            <w:r>
              <w:rPr>
                <w:b w:val="0"/>
                <w:sz w:val="14"/>
              </w:rPr>
              <w:t>5.20</w:t>
            </w:r>
          </w:p>
        </w:tc>
        <w:tc>
          <w:tcPr>
            <w:tcW w:type="dxa" w:w="2091"/>
            <w:vAlign w:val="center"/>
          </w:tcPr>
          <w:p>
            <w:pPr>
              <w:jc w:val="center"/>
            </w:pPr>
            <w:r/>
            <w:r>
              <w:rPr>
                <w:b w:val="0"/>
                <w:sz w:val="14"/>
              </w:rPr>
            </w:r>
          </w:p>
        </w:tc>
        <w:tc>
          <w:tcPr>
            <w:tcW w:type="dxa" w:w="2091"/>
            <w:vAlign w:val="center"/>
          </w:tcPr>
          <w:p>
            <w:pPr>
              <w:jc w:val="center"/>
            </w:pPr>
            <w:r/>
            <w:r>
              <w:rPr>
                <w:b w:val="0"/>
                <w:sz w:val="14"/>
              </w:rPr>
              <w:t>0.80</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3.13</w:t>
            </w:r>
          </w:p>
        </w:tc>
        <w:tc>
          <w:tcPr>
            <w:tcW w:type="dxa" w:w="2091"/>
            <w:vAlign w:val="center"/>
          </w:tcPr>
          <w:p>
            <w:pPr>
              <w:jc w:val="center"/>
            </w:pPr>
            <w:r/>
            <w:r>
              <w:rPr>
                <w:b w:val="0"/>
                <w:sz w:val="14"/>
              </w:rPr>
              <w:t>4.80</w:t>
            </w:r>
          </w:p>
        </w:tc>
        <w:tc>
          <w:tcPr>
            <w:tcW w:type="dxa" w:w="2091"/>
            <w:vAlign w:val="center"/>
          </w:tcPr>
          <w:p>
            <w:pPr>
              <w:jc w:val="center"/>
            </w:pPr>
            <w:r/>
            <w:r>
              <w:rPr>
                <w:b w:val="0"/>
                <w:sz w:val="14"/>
              </w:rPr>
              <w:t>-2.80</w:t>
            </w:r>
          </w:p>
        </w:tc>
        <w:tc>
          <w:tcPr>
            <w:tcW w:type="dxa" w:w="2091"/>
            <w:vAlign w:val="center"/>
          </w:tcPr>
          <w:p>
            <w:pPr>
              <w:jc w:val="center"/>
            </w:pPr>
            <w:r/>
            <w:r>
              <w:rPr>
                <w:b w:val="0"/>
                <w:sz w:val="14"/>
              </w:rPr>
              <w:t>0.90</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5.42</w:t>
            </w:r>
          </w:p>
        </w:tc>
        <w:tc>
          <w:tcPr>
            <w:tcW w:type="dxa" w:w="2091"/>
            <w:vAlign w:val="center"/>
          </w:tcPr>
          <w:p>
            <w:pPr>
              <w:jc w:val="center"/>
            </w:pPr>
            <w:r/>
            <w:r>
              <w:rPr>
                <w:b w:val="0"/>
                <w:sz w:val="14"/>
              </w:rPr>
              <w:t>4.50</w:t>
            </w:r>
          </w:p>
        </w:tc>
        <w:tc>
          <w:tcPr>
            <w:tcW w:type="dxa" w:w="2091"/>
            <w:vAlign w:val="center"/>
          </w:tcPr>
          <w:p>
            <w:pPr>
              <w:jc w:val="center"/>
            </w:pPr>
            <w:r/>
            <w:r>
              <w:rPr>
                <w:b w:val="0"/>
                <w:sz w:val="14"/>
              </w:rPr>
              <w:t>-2.10</w:t>
            </w:r>
          </w:p>
        </w:tc>
        <w:tc>
          <w:tcPr>
            <w:tcW w:type="dxa" w:w="2091"/>
            <w:vAlign w:val="center"/>
          </w:tcPr>
          <w:p>
            <w:pPr>
              <w:jc w:val="center"/>
            </w:pPr>
            <w:r/>
            <w:r>
              <w:rPr>
                <w:b w:val="0"/>
                <w:sz w:val="14"/>
              </w:rPr>
              <w:t>0.70</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4.96</w:t>
            </w:r>
          </w:p>
        </w:tc>
        <w:tc>
          <w:tcPr>
            <w:tcW w:type="dxa" w:w="2091"/>
            <w:vAlign w:val="center"/>
          </w:tcPr>
          <w:p>
            <w:pPr>
              <w:jc w:val="center"/>
            </w:pPr>
            <w:r/>
            <w:r>
              <w:rPr>
                <w:b w:val="0"/>
                <w:sz w:val="14"/>
              </w:rPr>
              <w:t>4.50</w:t>
            </w:r>
          </w:p>
        </w:tc>
        <w:tc>
          <w:tcPr>
            <w:tcW w:type="dxa" w:w="2091"/>
            <w:vAlign w:val="center"/>
          </w:tcPr>
          <w:p>
            <w:pPr>
              <w:jc w:val="center"/>
            </w:pPr>
            <w:r/>
            <w:r>
              <w:rPr>
                <w:b w:val="0"/>
                <w:sz w:val="14"/>
              </w:rPr>
              <w:t>-1.60</w:t>
            </w:r>
          </w:p>
        </w:tc>
        <w:tc>
          <w:tcPr>
            <w:tcW w:type="dxa" w:w="2091"/>
            <w:vAlign w:val="center"/>
          </w:tcPr>
          <w:p>
            <w:pPr>
              <w:jc w:val="center"/>
            </w:pPr>
            <w:r/>
            <w:r>
              <w:rPr>
                <w:b w:val="0"/>
                <w:sz w:val="14"/>
              </w:rPr>
              <w:t>0.50</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4.96</w:t>
            </w:r>
          </w:p>
        </w:tc>
        <w:tc>
          <w:tcPr>
            <w:tcW w:type="dxa" w:w="2091"/>
            <w:vAlign w:val="center"/>
          </w:tcPr>
          <w:p>
            <w:pPr>
              <w:jc w:val="center"/>
            </w:pPr>
            <w:r/>
            <w:r>
              <w:rPr>
                <w:b w:val="0"/>
                <w:sz w:val="14"/>
              </w:rPr>
              <w:t>4.50</w:t>
            </w:r>
          </w:p>
        </w:tc>
        <w:tc>
          <w:tcPr>
            <w:tcW w:type="dxa" w:w="2091"/>
            <w:vAlign w:val="center"/>
          </w:tcPr>
          <w:p>
            <w:pPr>
              <w:jc w:val="center"/>
            </w:pPr>
            <w:r/>
            <w:r>
              <w:rPr>
                <w:b w:val="0"/>
                <w:sz w:val="14"/>
              </w:rPr>
              <w:t>-1.00</w:t>
            </w:r>
          </w:p>
        </w:tc>
        <w:tc>
          <w:tcPr>
            <w:tcW w:type="dxa" w:w="2091"/>
            <w:vAlign w:val="center"/>
          </w:tcPr>
          <w:p>
            <w:pPr>
              <w:jc w:val="center"/>
            </w:pPr>
            <w:r/>
            <w:r>
              <w:rPr>
                <w:b w:val="0"/>
                <w:sz w:val="14"/>
              </w:rPr>
              <w:t>0.70</w:t>
            </w:r>
          </w:p>
        </w:tc>
      </w:tr>
    </w:tbl>
    <w:p>
      <w:pPr>
        <w:spacing w:after="100" w:line="252" w:lineRule="auto"/>
      </w:pPr>
      <w:r>
        <w:t>Status: historical series reproduced from the China master macro database used for this report. Definitions must remain consistent when the database is refreshed.</w:t>
      </w:r>
    </w:p>
    <w:p>
      <w:r>
        <w:br w:type="page"/>
      </w:r>
    </w:p>
    <w:p>
      <w:r>
        <w:rPr>
          <w:b/>
          <w:color w:val="595959"/>
          <w:sz w:val="16"/>
        </w:rPr>
        <w:t>CHAPTER 34  /  PAGE 146  /  INFLATION DATABASE</w:t>
      </w:r>
    </w:p>
    <w:p>
      <w:pPr>
        <w:pStyle w:val="Title"/>
      </w:pPr>
      <w:r>
        <w:t>Inflation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Headline CPI Inflation (%)</w:t>
            </w:r>
          </w:p>
        </w:tc>
        <w:tc>
          <w:tcPr>
            <w:tcW w:type="dxa" w:w="2091"/>
            <w:vAlign w:val="center"/>
            <w:shd w:fill="1F4E79"/>
          </w:tcPr>
          <w:p>
            <w:pPr>
              <w:jc w:val="center"/>
            </w:pPr>
            <w:r>
              <w:rPr>
                <w:color w:val="FFFFFF"/>
              </w:rPr>
            </w:r>
            <w:r>
              <w:rPr>
                <w:b/>
                <w:color w:val="FFFFFF"/>
                <w:sz w:val="15"/>
              </w:rPr>
              <w:t>Core CPI Inflation (%)</w:t>
            </w:r>
          </w:p>
        </w:tc>
        <w:tc>
          <w:tcPr>
            <w:tcW w:type="dxa" w:w="2091"/>
            <w:vAlign w:val="center"/>
            <w:shd w:fill="1F4E79"/>
          </w:tcPr>
          <w:p>
            <w:pPr>
              <w:jc w:val="center"/>
            </w:pPr>
            <w:r>
              <w:rPr>
                <w:color w:val="FFFFFF"/>
              </w:rPr>
            </w:r>
            <w:r>
              <w:rPr>
                <w:b/>
                <w:color w:val="FFFFFF"/>
                <w:sz w:val="15"/>
              </w:rPr>
              <w:t>PPI Inflation (%)</w:t>
            </w:r>
          </w:p>
        </w:tc>
        <w:tc>
          <w:tcPr>
            <w:tcW w:type="dxa" w:w="2091"/>
            <w:vAlign w:val="center"/>
            <w:shd w:fill="1F4E79"/>
          </w:tcPr>
          <w:p>
            <w:pPr>
              <w:jc w:val="center"/>
            </w:pPr>
            <w:r>
              <w:rPr>
                <w:color w:val="FFFFFF"/>
              </w:rPr>
            </w:r>
            <w:r>
              <w:rPr>
                <w:b/>
                <w:color w:val="FFFFFF"/>
                <w:sz w:val="15"/>
              </w:rPr>
              <w:t>Real GDP Growth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1.40</w:t>
            </w:r>
          </w:p>
        </w:tc>
        <w:tc>
          <w:tcPr>
            <w:tcW w:type="dxa" w:w="2091"/>
            <w:vAlign w:val="center"/>
          </w:tcPr>
          <w:p>
            <w:pPr>
              <w:jc w:val="center"/>
            </w:pPr>
            <w:r/>
            <w:r>
              <w:rPr>
                <w:b w:val="0"/>
                <w:sz w:val="14"/>
              </w:rPr>
              <w:t>1.60</w:t>
            </w:r>
          </w:p>
        </w:tc>
        <w:tc>
          <w:tcPr>
            <w:tcW w:type="dxa" w:w="2091"/>
            <w:vAlign w:val="center"/>
          </w:tcPr>
          <w:p>
            <w:pPr>
              <w:jc w:val="center"/>
            </w:pPr>
            <w:r/>
            <w:r>
              <w:rPr>
                <w:b w:val="0"/>
                <w:sz w:val="14"/>
              </w:rPr>
              <w:t>-3.60</w:t>
            </w:r>
          </w:p>
        </w:tc>
        <w:tc>
          <w:tcPr>
            <w:tcW w:type="dxa" w:w="2091"/>
            <w:vAlign w:val="center"/>
          </w:tcPr>
          <w:p>
            <w:pPr>
              <w:jc w:val="center"/>
            </w:pPr>
            <w:r/>
            <w:r>
              <w:rPr>
                <w:b w:val="0"/>
                <w:sz w:val="14"/>
              </w:rPr>
              <w:t>6.98</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2.00</w:t>
            </w:r>
          </w:p>
        </w:tc>
        <w:tc>
          <w:tcPr>
            <w:tcW w:type="dxa" w:w="2091"/>
            <w:vAlign w:val="center"/>
          </w:tcPr>
          <w:p>
            <w:pPr>
              <w:jc w:val="center"/>
            </w:pPr>
            <w:r/>
            <w:r>
              <w:rPr>
                <w:b w:val="0"/>
                <w:sz w:val="14"/>
              </w:rPr>
              <w:t>1.60</w:t>
            </w:r>
          </w:p>
        </w:tc>
        <w:tc>
          <w:tcPr>
            <w:tcW w:type="dxa" w:w="2091"/>
            <w:vAlign w:val="center"/>
          </w:tcPr>
          <w:p>
            <w:pPr>
              <w:jc w:val="center"/>
            </w:pPr>
            <w:r/>
            <w:r>
              <w:rPr>
                <w:b w:val="0"/>
                <w:sz w:val="14"/>
              </w:rPr>
              <w:t>-1.70</w:t>
            </w:r>
          </w:p>
        </w:tc>
        <w:tc>
          <w:tcPr>
            <w:tcW w:type="dxa" w:w="2091"/>
            <w:vAlign w:val="center"/>
          </w:tcPr>
          <w:p>
            <w:pPr>
              <w:jc w:val="center"/>
            </w:pPr>
            <w:r/>
            <w:r>
              <w:rPr>
                <w:b w:val="0"/>
                <w:sz w:val="14"/>
              </w:rPr>
              <w:t>6.77</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1.60</w:t>
            </w:r>
          </w:p>
        </w:tc>
        <w:tc>
          <w:tcPr>
            <w:tcW w:type="dxa" w:w="2091"/>
            <w:vAlign w:val="center"/>
          </w:tcPr>
          <w:p>
            <w:pPr>
              <w:jc w:val="center"/>
            </w:pPr>
            <w:r/>
            <w:r>
              <w:rPr>
                <w:b w:val="0"/>
                <w:sz w:val="14"/>
              </w:rPr>
              <w:t>2.20</w:t>
            </w:r>
          </w:p>
        </w:tc>
        <w:tc>
          <w:tcPr>
            <w:tcW w:type="dxa" w:w="2091"/>
            <w:vAlign w:val="center"/>
          </w:tcPr>
          <w:p>
            <w:pPr>
              <w:jc w:val="center"/>
            </w:pPr>
            <w:r/>
            <w:r>
              <w:rPr>
                <w:b w:val="0"/>
                <w:sz w:val="14"/>
              </w:rPr>
              <w:t>4.80</w:t>
            </w:r>
          </w:p>
        </w:tc>
        <w:tc>
          <w:tcPr>
            <w:tcW w:type="dxa" w:w="2091"/>
            <w:vAlign w:val="center"/>
          </w:tcPr>
          <w:p>
            <w:pPr>
              <w:jc w:val="center"/>
            </w:pPr>
            <w:r/>
            <w:r>
              <w:rPr>
                <w:b w:val="0"/>
                <w:sz w:val="14"/>
              </w:rPr>
              <w:t>6.89</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2.10</w:t>
            </w:r>
          </w:p>
        </w:tc>
        <w:tc>
          <w:tcPr>
            <w:tcW w:type="dxa" w:w="2091"/>
            <w:vAlign w:val="center"/>
          </w:tcPr>
          <w:p>
            <w:pPr>
              <w:jc w:val="center"/>
            </w:pPr>
            <w:r/>
            <w:r>
              <w:rPr>
                <w:b w:val="0"/>
                <w:sz w:val="14"/>
              </w:rPr>
              <w:t>1.90</w:t>
            </w:r>
          </w:p>
        </w:tc>
        <w:tc>
          <w:tcPr>
            <w:tcW w:type="dxa" w:w="2091"/>
            <w:vAlign w:val="center"/>
          </w:tcPr>
          <w:p>
            <w:pPr>
              <w:jc w:val="center"/>
            </w:pPr>
            <w:r/>
            <w:r>
              <w:rPr>
                <w:b w:val="0"/>
                <w:sz w:val="14"/>
              </w:rPr>
              <w:t>3.50</w:t>
            </w:r>
          </w:p>
        </w:tc>
        <w:tc>
          <w:tcPr>
            <w:tcW w:type="dxa" w:w="2091"/>
            <w:vAlign w:val="center"/>
          </w:tcPr>
          <w:p>
            <w:pPr>
              <w:jc w:val="center"/>
            </w:pPr>
            <w:r/>
            <w:r>
              <w:rPr>
                <w:b w:val="0"/>
                <w:sz w:val="14"/>
              </w:rPr>
              <w:t>6.76</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2.90</w:t>
            </w:r>
          </w:p>
        </w:tc>
        <w:tc>
          <w:tcPr>
            <w:tcW w:type="dxa" w:w="2091"/>
            <w:vAlign w:val="center"/>
          </w:tcPr>
          <w:p>
            <w:pPr>
              <w:jc w:val="center"/>
            </w:pPr>
            <w:r/>
            <w:r>
              <w:rPr>
                <w:b w:val="0"/>
                <w:sz w:val="14"/>
              </w:rPr>
              <w:t>1.60</w:t>
            </w:r>
          </w:p>
        </w:tc>
        <w:tc>
          <w:tcPr>
            <w:tcW w:type="dxa" w:w="2091"/>
            <w:vAlign w:val="center"/>
          </w:tcPr>
          <w:p>
            <w:pPr>
              <w:jc w:val="center"/>
            </w:pPr>
            <w:r/>
            <w:r>
              <w:rPr>
                <w:b w:val="0"/>
                <w:sz w:val="14"/>
              </w:rPr>
              <w:t>-0.30</w:t>
            </w:r>
          </w:p>
        </w:tc>
        <w:tc>
          <w:tcPr>
            <w:tcW w:type="dxa" w:w="2091"/>
            <w:vAlign w:val="center"/>
          </w:tcPr>
          <w:p>
            <w:pPr>
              <w:jc w:val="center"/>
            </w:pPr>
            <w:r/>
            <w:r>
              <w:rPr>
                <w:b w:val="0"/>
                <w:sz w:val="14"/>
              </w:rPr>
              <w:t>6.07</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2.50</w:t>
            </w:r>
          </w:p>
        </w:tc>
        <w:tc>
          <w:tcPr>
            <w:tcW w:type="dxa" w:w="2091"/>
            <w:vAlign w:val="center"/>
          </w:tcPr>
          <w:p>
            <w:pPr>
              <w:jc w:val="center"/>
            </w:pPr>
            <w:r/>
            <w:r>
              <w:rPr>
                <w:b w:val="0"/>
                <w:sz w:val="14"/>
              </w:rPr>
              <w:t>0.80</w:t>
            </w:r>
          </w:p>
        </w:tc>
        <w:tc>
          <w:tcPr>
            <w:tcW w:type="dxa" w:w="2091"/>
            <w:vAlign w:val="center"/>
          </w:tcPr>
          <w:p>
            <w:pPr>
              <w:jc w:val="center"/>
            </w:pPr>
            <w:r/>
            <w:r>
              <w:rPr>
                <w:b w:val="0"/>
                <w:sz w:val="14"/>
              </w:rPr>
              <w:t>-1.80</w:t>
            </w:r>
          </w:p>
        </w:tc>
        <w:tc>
          <w:tcPr>
            <w:tcW w:type="dxa" w:w="2091"/>
            <w:vAlign w:val="center"/>
          </w:tcPr>
          <w:p>
            <w:pPr>
              <w:jc w:val="center"/>
            </w:pPr>
            <w:r/>
            <w:r>
              <w:rPr>
                <w:b w:val="0"/>
                <w:sz w:val="14"/>
              </w:rPr>
              <w:t>2.34</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0.90</w:t>
            </w:r>
          </w:p>
        </w:tc>
        <w:tc>
          <w:tcPr>
            <w:tcW w:type="dxa" w:w="2091"/>
            <w:vAlign w:val="center"/>
          </w:tcPr>
          <w:p>
            <w:pPr>
              <w:jc w:val="center"/>
            </w:pPr>
            <w:r/>
            <w:r>
              <w:rPr>
                <w:b w:val="0"/>
                <w:sz w:val="14"/>
              </w:rPr>
              <w:t>0.80</w:t>
            </w:r>
          </w:p>
        </w:tc>
        <w:tc>
          <w:tcPr>
            <w:tcW w:type="dxa" w:w="2091"/>
            <w:vAlign w:val="center"/>
          </w:tcPr>
          <w:p>
            <w:pPr>
              <w:jc w:val="center"/>
            </w:pPr>
            <w:r/>
            <w:r>
              <w:rPr>
                <w:b w:val="0"/>
                <w:sz w:val="14"/>
              </w:rPr>
              <w:t>8.10</w:t>
            </w:r>
          </w:p>
        </w:tc>
        <w:tc>
          <w:tcPr>
            <w:tcW w:type="dxa" w:w="2091"/>
            <w:vAlign w:val="center"/>
          </w:tcPr>
          <w:p>
            <w:pPr>
              <w:jc w:val="center"/>
            </w:pPr>
            <w:r/>
            <w:r>
              <w:rPr>
                <w:b w:val="0"/>
                <w:sz w:val="14"/>
              </w:rPr>
              <w:t>8.57</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2.00</w:t>
            </w:r>
          </w:p>
        </w:tc>
        <w:tc>
          <w:tcPr>
            <w:tcW w:type="dxa" w:w="2091"/>
            <w:vAlign w:val="center"/>
          </w:tcPr>
          <w:p>
            <w:pPr>
              <w:jc w:val="center"/>
            </w:pPr>
            <w:r/>
            <w:r>
              <w:rPr>
                <w:b w:val="0"/>
                <w:sz w:val="14"/>
              </w:rPr>
              <w:t>0.90</w:t>
            </w:r>
          </w:p>
        </w:tc>
        <w:tc>
          <w:tcPr>
            <w:tcW w:type="dxa" w:w="2091"/>
            <w:vAlign w:val="center"/>
          </w:tcPr>
          <w:p>
            <w:pPr>
              <w:jc w:val="center"/>
            </w:pPr>
            <w:r/>
            <w:r>
              <w:rPr>
                <w:b w:val="0"/>
                <w:sz w:val="14"/>
              </w:rPr>
              <w:t>4.10</w:t>
            </w:r>
          </w:p>
        </w:tc>
        <w:tc>
          <w:tcPr>
            <w:tcW w:type="dxa" w:w="2091"/>
            <w:vAlign w:val="center"/>
          </w:tcPr>
          <w:p>
            <w:pPr>
              <w:jc w:val="center"/>
            </w:pPr>
            <w:r/>
            <w:r>
              <w:rPr>
                <w:b w:val="0"/>
                <w:sz w:val="14"/>
              </w:rPr>
              <w:t>3.13</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0.20</w:t>
            </w:r>
          </w:p>
        </w:tc>
        <w:tc>
          <w:tcPr>
            <w:tcW w:type="dxa" w:w="2091"/>
            <w:vAlign w:val="center"/>
          </w:tcPr>
          <w:p>
            <w:pPr>
              <w:jc w:val="center"/>
            </w:pPr>
            <w:r/>
            <w:r>
              <w:rPr>
                <w:b w:val="0"/>
                <w:sz w:val="14"/>
              </w:rPr>
              <w:t>0.70</w:t>
            </w:r>
          </w:p>
        </w:tc>
        <w:tc>
          <w:tcPr>
            <w:tcW w:type="dxa" w:w="2091"/>
            <w:vAlign w:val="center"/>
          </w:tcPr>
          <w:p>
            <w:pPr>
              <w:jc w:val="center"/>
            </w:pPr>
            <w:r/>
            <w:r>
              <w:rPr>
                <w:b w:val="0"/>
                <w:sz w:val="14"/>
              </w:rPr>
              <w:t>-3.00</w:t>
            </w:r>
          </w:p>
        </w:tc>
        <w:tc>
          <w:tcPr>
            <w:tcW w:type="dxa" w:w="2091"/>
            <w:vAlign w:val="center"/>
          </w:tcPr>
          <w:p>
            <w:pPr>
              <w:jc w:val="center"/>
            </w:pPr>
            <w:r/>
            <w:r>
              <w:rPr>
                <w:b w:val="0"/>
                <w:sz w:val="14"/>
              </w:rPr>
              <w:t>5.42</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0.20</w:t>
            </w:r>
          </w:p>
        </w:tc>
        <w:tc>
          <w:tcPr>
            <w:tcW w:type="dxa" w:w="2091"/>
            <w:vAlign w:val="center"/>
          </w:tcPr>
          <w:p>
            <w:pPr>
              <w:jc w:val="center"/>
            </w:pPr>
            <w:r/>
            <w:r>
              <w:rPr>
                <w:b w:val="0"/>
                <w:sz w:val="14"/>
              </w:rPr>
              <w:t>0.50</w:t>
            </w:r>
          </w:p>
        </w:tc>
        <w:tc>
          <w:tcPr>
            <w:tcW w:type="dxa" w:w="2091"/>
            <w:vAlign w:val="center"/>
          </w:tcPr>
          <w:p>
            <w:pPr>
              <w:jc w:val="center"/>
            </w:pPr>
            <w:r/>
            <w:r>
              <w:rPr>
                <w:b w:val="0"/>
                <w:sz w:val="14"/>
              </w:rPr>
              <w:t>-2.20</w:t>
            </w:r>
          </w:p>
        </w:tc>
        <w:tc>
          <w:tcPr>
            <w:tcW w:type="dxa" w:w="2091"/>
            <w:vAlign w:val="center"/>
          </w:tcPr>
          <w:p>
            <w:pPr>
              <w:jc w:val="center"/>
            </w:pPr>
            <w:r/>
            <w:r>
              <w:rPr>
                <w:b w:val="0"/>
                <w:sz w:val="14"/>
              </w:rPr>
              <w:t>4.96</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0.10</w:t>
            </w:r>
          </w:p>
        </w:tc>
        <w:tc>
          <w:tcPr>
            <w:tcW w:type="dxa" w:w="2091"/>
            <w:vAlign w:val="center"/>
          </w:tcPr>
          <w:p>
            <w:pPr>
              <w:jc w:val="center"/>
            </w:pPr>
            <w:r/>
            <w:r>
              <w:rPr>
                <w:b w:val="0"/>
                <w:sz w:val="14"/>
              </w:rPr>
              <w:t>0.70</w:t>
            </w:r>
          </w:p>
        </w:tc>
        <w:tc>
          <w:tcPr>
            <w:tcW w:type="dxa" w:w="2091"/>
            <w:vAlign w:val="center"/>
          </w:tcPr>
          <w:p>
            <w:pPr>
              <w:jc w:val="center"/>
            </w:pPr>
            <w:r/>
            <w:r>
              <w:rPr>
                <w:b w:val="0"/>
                <w:sz w:val="14"/>
              </w:rPr>
              <w:t>-2.60</w:t>
            </w:r>
          </w:p>
        </w:tc>
        <w:tc>
          <w:tcPr>
            <w:tcW w:type="dxa" w:w="2091"/>
            <w:vAlign w:val="center"/>
          </w:tcPr>
          <w:p>
            <w:pPr>
              <w:jc w:val="center"/>
            </w:pPr>
            <w:r/>
            <w:r>
              <w:rPr>
                <w:b w:val="0"/>
                <w:sz w:val="14"/>
              </w:rPr>
              <w:t>4.96</w:t>
            </w:r>
          </w:p>
        </w:tc>
      </w:tr>
    </w:tbl>
    <w:p>
      <w:pPr>
        <w:spacing w:after="100" w:line="252" w:lineRule="auto"/>
      </w:pPr>
      <w:r>
        <w:t>Status: historical series reproduced from the China master macro database used for this report. Definitions must remain consistent when the database is refreshed.</w:t>
      </w:r>
    </w:p>
    <w:p>
      <w:r>
        <w:br w:type="page"/>
      </w:r>
    </w:p>
    <w:p>
      <w:r>
        <w:rPr>
          <w:b/>
          <w:color w:val="595959"/>
          <w:sz w:val="16"/>
        </w:rPr>
        <w:t>CHAPTER 34  /  PAGE 147  /  MONETARY DATABASE</w:t>
      </w:r>
    </w:p>
    <w:p>
      <w:pPr>
        <w:pStyle w:val="Title"/>
      </w:pPr>
      <w:r>
        <w:t>Monetary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China Policy Rate (%)</w:t>
            </w:r>
          </w:p>
        </w:tc>
        <w:tc>
          <w:tcPr>
            <w:tcW w:type="dxa" w:w="2091"/>
            <w:vAlign w:val="center"/>
            <w:shd w:fill="1F4E79"/>
          </w:tcPr>
          <w:p>
            <w:pPr>
              <w:jc w:val="center"/>
            </w:pPr>
            <w:r>
              <w:rPr>
                <w:color w:val="FFFFFF"/>
              </w:rPr>
            </w:r>
            <w:r>
              <w:rPr>
                <w:b/>
                <w:color w:val="FFFFFF"/>
                <w:sz w:val="15"/>
              </w:rPr>
              <w:t>Real Policy Rate (%)</w:t>
            </w:r>
          </w:p>
        </w:tc>
        <w:tc>
          <w:tcPr>
            <w:tcW w:type="dxa" w:w="2091"/>
            <w:vAlign w:val="center"/>
            <w:shd w:fill="1F4E79"/>
          </w:tcPr>
          <w:p>
            <w:pPr>
              <w:jc w:val="center"/>
            </w:pPr>
            <w:r>
              <w:rPr>
                <w:color w:val="FFFFFF"/>
              </w:rPr>
            </w:r>
            <w:r>
              <w:rPr>
                <w:b/>
                <w:color w:val="FFFFFF"/>
                <w:sz w:val="15"/>
              </w:rPr>
              <w:t>10Y–2Y Spread (pp)</w:t>
            </w:r>
          </w:p>
        </w:tc>
        <w:tc>
          <w:tcPr>
            <w:tcW w:type="dxa" w:w="2091"/>
            <w:vAlign w:val="center"/>
            <w:shd w:fill="1F4E79"/>
          </w:tcPr>
          <w:p>
            <w:pPr>
              <w:jc w:val="center"/>
            </w:pPr>
            <w:r>
              <w:rPr>
                <w:color w:val="FFFFFF"/>
              </w:rPr>
            </w:r>
            <w:r>
              <w:rPr>
                <w:b/>
                <w:color w:val="FFFFFF"/>
                <w:sz w:val="15"/>
              </w:rPr>
              <w:t>Real GDP Growth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4.35</w:t>
            </w:r>
          </w:p>
        </w:tc>
        <w:tc>
          <w:tcPr>
            <w:tcW w:type="dxa" w:w="2091"/>
            <w:vAlign w:val="center"/>
          </w:tcPr>
          <w:p>
            <w:pPr>
              <w:jc w:val="center"/>
            </w:pPr>
            <w:r/>
            <w:r>
              <w:rPr>
                <w:b w:val="0"/>
                <w:sz w:val="14"/>
              </w:rPr>
              <w:t>2.95</w:t>
            </w:r>
          </w:p>
        </w:tc>
        <w:tc>
          <w:tcPr>
            <w:tcW w:type="dxa" w:w="2091"/>
            <w:vAlign w:val="center"/>
          </w:tcPr>
          <w:p>
            <w:pPr>
              <w:jc w:val="center"/>
            </w:pPr>
            <w:r/>
            <w:r>
              <w:rPr>
                <w:b w:val="0"/>
                <w:sz w:val="14"/>
              </w:rPr>
              <w:t>0.79</w:t>
            </w:r>
          </w:p>
        </w:tc>
        <w:tc>
          <w:tcPr>
            <w:tcW w:type="dxa" w:w="2091"/>
            <w:vAlign w:val="center"/>
          </w:tcPr>
          <w:p>
            <w:pPr>
              <w:jc w:val="center"/>
            </w:pPr>
            <w:r/>
            <w:r>
              <w:rPr>
                <w:b w:val="0"/>
                <w:sz w:val="14"/>
              </w:rPr>
              <w:t>6.98</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4.35</w:t>
            </w:r>
          </w:p>
        </w:tc>
        <w:tc>
          <w:tcPr>
            <w:tcW w:type="dxa" w:w="2091"/>
            <w:vAlign w:val="center"/>
          </w:tcPr>
          <w:p>
            <w:pPr>
              <w:jc w:val="center"/>
            </w:pPr>
            <w:r/>
            <w:r>
              <w:rPr>
                <w:b w:val="0"/>
                <w:sz w:val="14"/>
              </w:rPr>
              <w:t>2.35</w:t>
            </w:r>
          </w:p>
        </w:tc>
        <w:tc>
          <w:tcPr>
            <w:tcW w:type="dxa" w:w="2091"/>
            <w:vAlign w:val="center"/>
          </w:tcPr>
          <w:p>
            <w:pPr>
              <w:jc w:val="center"/>
            </w:pPr>
            <w:r/>
            <w:r>
              <w:rPr>
                <w:b w:val="0"/>
                <w:sz w:val="14"/>
              </w:rPr>
              <w:t>0.57</w:t>
            </w:r>
          </w:p>
        </w:tc>
        <w:tc>
          <w:tcPr>
            <w:tcW w:type="dxa" w:w="2091"/>
            <w:vAlign w:val="center"/>
          </w:tcPr>
          <w:p>
            <w:pPr>
              <w:jc w:val="center"/>
            </w:pPr>
            <w:r/>
            <w:r>
              <w:rPr>
                <w:b w:val="0"/>
                <w:sz w:val="14"/>
              </w:rPr>
              <w:t>6.77</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4.35</w:t>
            </w:r>
          </w:p>
        </w:tc>
        <w:tc>
          <w:tcPr>
            <w:tcW w:type="dxa" w:w="2091"/>
            <w:vAlign w:val="center"/>
          </w:tcPr>
          <w:p>
            <w:pPr>
              <w:jc w:val="center"/>
            </w:pPr>
            <w:r/>
            <w:r>
              <w:rPr>
                <w:b w:val="0"/>
                <w:sz w:val="14"/>
              </w:rPr>
              <w:t>2.75</w:t>
            </w:r>
          </w:p>
        </w:tc>
        <w:tc>
          <w:tcPr>
            <w:tcW w:type="dxa" w:w="2091"/>
            <w:vAlign w:val="center"/>
          </w:tcPr>
          <w:p>
            <w:pPr>
              <w:jc w:val="center"/>
            </w:pPr>
            <w:r/>
            <w:r>
              <w:rPr>
                <w:b w:val="0"/>
                <w:sz w:val="14"/>
              </w:rPr>
              <w:t>0.39</w:t>
            </w:r>
          </w:p>
        </w:tc>
        <w:tc>
          <w:tcPr>
            <w:tcW w:type="dxa" w:w="2091"/>
            <w:vAlign w:val="center"/>
          </w:tcPr>
          <w:p>
            <w:pPr>
              <w:jc w:val="center"/>
            </w:pPr>
            <w:r/>
            <w:r>
              <w:rPr>
                <w:b w:val="0"/>
                <w:sz w:val="14"/>
              </w:rPr>
              <w:t>6.89</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4.35</w:t>
            </w:r>
          </w:p>
        </w:tc>
        <w:tc>
          <w:tcPr>
            <w:tcW w:type="dxa" w:w="2091"/>
            <w:vAlign w:val="center"/>
          </w:tcPr>
          <w:p>
            <w:pPr>
              <w:jc w:val="center"/>
            </w:pPr>
            <w:r/>
            <w:r>
              <w:rPr>
                <w:b w:val="0"/>
                <w:sz w:val="14"/>
              </w:rPr>
              <w:t>2.25</w:t>
            </w:r>
          </w:p>
        </w:tc>
        <w:tc>
          <w:tcPr>
            <w:tcW w:type="dxa" w:w="2091"/>
            <w:vAlign w:val="center"/>
          </w:tcPr>
          <w:p>
            <w:pPr>
              <w:jc w:val="center"/>
            </w:pPr>
            <w:r/>
            <w:r>
              <w:rPr>
                <w:b w:val="0"/>
                <w:sz w:val="14"/>
              </w:rPr>
              <w:t>0.50</w:t>
            </w:r>
          </w:p>
        </w:tc>
        <w:tc>
          <w:tcPr>
            <w:tcW w:type="dxa" w:w="2091"/>
            <w:vAlign w:val="center"/>
          </w:tcPr>
          <w:p>
            <w:pPr>
              <w:jc w:val="center"/>
            </w:pPr>
            <w:r/>
            <w:r>
              <w:rPr>
                <w:b w:val="0"/>
                <w:sz w:val="14"/>
              </w:rPr>
              <w:t>6.76</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4.15</w:t>
            </w:r>
          </w:p>
        </w:tc>
        <w:tc>
          <w:tcPr>
            <w:tcW w:type="dxa" w:w="2091"/>
            <w:vAlign w:val="center"/>
          </w:tcPr>
          <w:p>
            <w:pPr>
              <w:jc w:val="center"/>
            </w:pPr>
            <w:r/>
            <w:r>
              <w:rPr>
                <w:b w:val="0"/>
                <w:sz w:val="14"/>
              </w:rPr>
              <w:t>1.25</w:t>
            </w:r>
          </w:p>
        </w:tc>
        <w:tc>
          <w:tcPr>
            <w:tcW w:type="dxa" w:w="2091"/>
            <w:vAlign w:val="center"/>
          </w:tcPr>
          <w:p>
            <w:pPr>
              <w:jc w:val="center"/>
            </w:pPr>
            <w:r/>
            <w:r>
              <w:rPr>
                <w:b w:val="0"/>
                <w:sz w:val="14"/>
              </w:rPr>
              <w:t>0.54</w:t>
            </w:r>
          </w:p>
        </w:tc>
        <w:tc>
          <w:tcPr>
            <w:tcW w:type="dxa" w:w="2091"/>
            <w:vAlign w:val="center"/>
          </w:tcPr>
          <w:p>
            <w:pPr>
              <w:jc w:val="center"/>
            </w:pPr>
            <w:r/>
            <w:r>
              <w:rPr>
                <w:b w:val="0"/>
                <w:sz w:val="14"/>
              </w:rPr>
              <w:t>6.07</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3.85</w:t>
            </w:r>
          </w:p>
        </w:tc>
        <w:tc>
          <w:tcPr>
            <w:tcW w:type="dxa" w:w="2091"/>
            <w:vAlign w:val="center"/>
          </w:tcPr>
          <w:p>
            <w:pPr>
              <w:jc w:val="center"/>
            </w:pPr>
            <w:r/>
            <w:r>
              <w:rPr>
                <w:b w:val="0"/>
                <w:sz w:val="14"/>
              </w:rPr>
              <w:t>1.35</w:t>
            </w:r>
          </w:p>
        </w:tc>
        <w:tc>
          <w:tcPr>
            <w:tcW w:type="dxa" w:w="2091"/>
            <w:vAlign w:val="center"/>
          </w:tcPr>
          <w:p>
            <w:pPr>
              <w:jc w:val="center"/>
            </w:pPr>
            <w:r/>
            <w:r>
              <w:rPr>
                <w:b w:val="0"/>
                <w:sz w:val="14"/>
              </w:rPr>
              <w:t>0.47</w:t>
            </w:r>
          </w:p>
        </w:tc>
        <w:tc>
          <w:tcPr>
            <w:tcW w:type="dxa" w:w="2091"/>
            <w:vAlign w:val="center"/>
          </w:tcPr>
          <w:p>
            <w:pPr>
              <w:jc w:val="center"/>
            </w:pPr>
            <w:r/>
            <w:r>
              <w:rPr>
                <w:b w:val="0"/>
                <w:sz w:val="14"/>
              </w:rPr>
              <w:t>2.34</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3.80</w:t>
            </w:r>
          </w:p>
        </w:tc>
        <w:tc>
          <w:tcPr>
            <w:tcW w:type="dxa" w:w="2091"/>
            <w:vAlign w:val="center"/>
          </w:tcPr>
          <w:p>
            <w:pPr>
              <w:jc w:val="center"/>
            </w:pPr>
            <w:r/>
            <w:r>
              <w:rPr>
                <w:b w:val="0"/>
                <w:sz w:val="14"/>
              </w:rPr>
              <w:t>2.90</w:t>
            </w:r>
          </w:p>
        </w:tc>
        <w:tc>
          <w:tcPr>
            <w:tcW w:type="dxa" w:w="2091"/>
            <w:vAlign w:val="center"/>
          </w:tcPr>
          <w:p>
            <w:pPr>
              <w:jc w:val="center"/>
            </w:pPr>
            <w:r/>
            <w:r>
              <w:rPr>
                <w:b w:val="0"/>
                <w:sz w:val="14"/>
              </w:rPr>
              <w:t>0.45</w:t>
            </w:r>
          </w:p>
        </w:tc>
        <w:tc>
          <w:tcPr>
            <w:tcW w:type="dxa" w:w="2091"/>
            <w:vAlign w:val="center"/>
          </w:tcPr>
          <w:p>
            <w:pPr>
              <w:jc w:val="center"/>
            </w:pPr>
            <w:r/>
            <w:r>
              <w:rPr>
                <w:b w:val="0"/>
                <w:sz w:val="14"/>
              </w:rPr>
              <w:t>8.57</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3.65</w:t>
            </w:r>
          </w:p>
        </w:tc>
        <w:tc>
          <w:tcPr>
            <w:tcW w:type="dxa" w:w="2091"/>
            <w:vAlign w:val="center"/>
          </w:tcPr>
          <w:p>
            <w:pPr>
              <w:jc w:val="center"/>
            </w:pPr>
            <w:r/>
            <w:r>
              <w:rPr>
                <w:b w:val="0"/>
                <w:sz w:val="14"/>
              </w:rPr>
              <w:t>1.65</w:t>
            </w:r>
          </w:p>
        </w:tc>
        <w:tc>
          <w:tcPr>
            <w:tcW w:type="dxa" w:w="2091"/>
            <w:vAlign w:val="center"/>
          </w:tcPr>
          <w:p>
            <w:pPr>
              <w:jc w:val="center"/>
            </w:pPr>
            <w:r/>
            <w:r>
              <w:rPr>
                <w:b w:val="0"/>
                <w:sz w:val="14"/>
              </w:rPr>
              <w:t>0.42</w:t>
            </w:r>
          </w:p>
        </w:tc>
        <w:tc>
          <w:tcPr>
            <w:tcW w:type="dxa" w:w="2091"/>
            <w:vAlign w:val="center"/>
          </w:tcPr>
          <w:p>
            <w:pPr>
              <w:jc w:val="center"/>
            </w:pPr>
            <w:r/>
            <w:r>
              <w:rPr>
                <w:b w:val="0"/>
                <w:sz w:val="14"/>
              </w:rPr>
              <w:t>3.13</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3.45</w:t>
            </w:r>
          </w:p>
        </w:tc>
        <w:tc>
          <w:tcPr>
            <w:tcW w:type="dxa" w:w="2091"/>
            <w:vAlign w:val="center"/>
          </w:tcPr>
          <w:p>
            <w:pPr>
              <w:jc w:val="center"/>
            </w:pPr>
            <w:r/>
            <w:r>
              <w:rPr>
                <w:b w:val="0"/>
                <w:sz w:val="14"/>
              </w:rPr>
              <w:t>3.25</w:t>
            </w:r>
          </w:p>
        </w:tc>
        <w:tc>
          <w:tcPr>
            <w:tcW w:type="dxa" w:w="2091"/>
            <w:vAlign w:val="center"/>
          </w:tcPr>
          <w:p>
            <w:pPr>
              <w:jc w:val="center"/>
            </w:pPr>
            <w:r/>
            <w:r>
              <w:rPr>
                <w:b w:val="0"/>
                <w:sz w:val="14"/>
              </w:rPr>
              <w:t>0.43</w:t>
            </w:r>
          </w:p>
        </w:tc>
        <w:tc>
          <w:tcPr>
            <w:tcW w:type="dxa" w:w="2091"/>
            <w:vAlign w:val="center"/>
          </w:tcPr>
          <w:p>
            <w:pPr>
              <w:jc w:val="center"/>
            </w:pPr>
            <w:r/>
            <w:r>
              <w:rPr>
                <w:b w:val="0"/>
                <w:sz w:val="14"/>
              </w:rPr>
              <w:t>5.42</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3.10</w:t>
            </w:r>
          </w:p>
        </w:tc>
        <w:tc>
          <w:tcPr>
            <w:tcW w:type="dxa" w:w="2091"/>
            <w:vAlign w:val="center"/>
          </w:tcPr>
          <w:p>
            <w:pPr>
              <w:jc w:val="center"/>
            </w:pPr>
            <w:r/>
            <w:r>
              <w:rPr>
                <w:b w:val="0"/>
                <w:sz w:val="14"/>
              </w:rPr>
              <w:t>3.20</w:t>
            </w:r>
          </w:p>
        </w:tc>
        <w:tc>
          <w:tcPr>
            <w:tcW w:type="dxa" w:w="2091"/>
            <w:vAlign w:val="center"/>
          </w:tcPr>
          <w:p>
            <w:pPr>
              <w:jc w:val="center"/>
            </w:pPr>
            <w:r/>
            <w:r>
              <w:rPr>
                <w:b w:val="0"/>
                <w:sz w:val="14"/>
              </w:rPr>
              <w:t>0.47</w:t>
            </w:r>
          </w:p>
        </w:tc>
        <w:tc>
          <w:tcPr>
            <w:tcW w:type="dxa" w:w="2091"/>
            <w:vAlign w:val="center"/>
          </w:tcPr>
          <w:p>
            <w:pPr>
              <w:jc w:val="center"/>
            </w:pPr>
            <w:r/>
            <w:r>
              <w:rPr>
                <w:b w:val="0"/>
                <w:sz w:val="14"/>
              </w:rPr>
              <w:t>4.96</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3.00</w:t>
            </w:r>
          </w:p>
        </w:tc>
        <w:tc>
          <w:tcPr>
            <w:tcW w:type="dxa" w:w="2091"/>
            <w:vAlign w:val="center"/>
          </w:tcPr>
          <w:p>
            <w:pPr>
              <w:jc w:val="center"/>
            </w:pPr>
            <w:r/>
            <w:r>
              <w:rPr>
                <w:b w:val="0"/>
                <w:sz w:val="14"/>
              </w:rPr>
              <w:t>3.00</w:t>
            </w:r>
          </w:p>
        </w:tc>
        <w:tc>
          <w:tcPr>
            <w:tcW w:type="dxa" w:w="2091"/>
            <w:vAlign w:val="center"/>
          </w:tcPr>
          <w:p>
            <w:pPr>
              <w:jc w:val="center"/>
            </w:pPr>
            <w:r/>
            <w:r>
              <w:rPr>
                <w:b w:val="0"/>
                <w:sz w:val="14"/>
              </w:rPr>
              <w:t>0.46</w:t>
            </w:r>
          </w:p>
        </w:tc>
        <w:tc>
          <w:tcPr>
            <w:tcW w:type="dxa" w:w="2091"/>
            <w:vAlign w:val="center"/>
          </w:tcPr>
          <w:p>
            <w:pPr>
              <w:jc w:val="center"/>
            </w:pPr>
            <w:r/>
            <w:r>
              <w:rPr>
                <w:b w:val="0"/>
                <w:sz w:val="14"/>
              </w:rPr>
              <w:t>4.96</w:t>
            </w:r>
          </w:p>
        </w:tc>
      </w:tr>
    </w:tbl>
    <w:p>
      <w:pPr>
        <w:spacing w:after="100" w:line="252" w:lineRule="auto"/>
      </w:pPr>
      <w:r>
        <w:t>Status: historical series reproduced from the China master macro database used for this report. Definitions must remain consistent when the database is refreshed.</w:t>
      </w:r>
    </w:p>
    <w:p>
      <w:r>
        <w:br w:type="page"/>
      </w:r>
    </w:p>
    <w:p>
      <w:r>
        <w:rPr>
          <w:b/>
          <w:color w:val="595959"/>
          <w:sz w:val="16"/>
        </w:rPr>
        <w:t>CHAPTER 34  /  PAGE 148  /  FINANCIAL CONDITIONS DATABASE</w:t>
      </w:r>
    </w:p>
    <w:p>
      <w:pPr>
        <w:pStyle w:val="Title"/>
      </w:pPr>
      <w:r>
        <w:t>Financial Conditions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Credit Growth (%)</w:t>
            </w:r>
          </w:p>
        </w:tc>
        <w:tc>
          <w:tcPr>
            <w:tcW w:type="dxa" w:w="2091"/>
            <w:vAlign w:val="center"/>
            <w:shd w:fill="1F4E79"/>
          </w:tcPr>
          <w:p>
            <w:pPr>
              <w:jc w:val="center"/>
            </w:pPr>
            <w:r>
              <w:rPr>
                <w:color w:val="FFFFFF"/>
              </w:rPr>
            </w:r>
            <w:r>
              <w:rPr>
                <w:b/>
                <w:color w:val="FFFFFF"/>
                <w:sz w:val="15"/>
              </w:rPr>
              <w:t>Bank Capital Ratio (%)</w:t>
            </w:r>
          </w:p>
        </w:tc>
        <w:tc>
          <w:tcPr>
            <w:tcW w:type="dxa" w:w="2091"/>
            <w:vAlign w:val="center"/>
            <w:shd w:fill="1F4E79"/>
          </w:tcPr>
          <w:p>
            <w:pPr>
              <w:jc w:val="center"/>
            </w:pPr>
            <w:r>
              <w:rPr>
                <w:color w:val="FFFFFF"/>
              </w:rPr>
            </w:r>
            <w:r>
              <w:rPr>
                <w:b/>
                <w:color w:val="FFFFFF"/>
                <w:sz w:val="15"/>
              </w:rPr>
              <w:t>10Y–2Y Spread (pp)</w:t>
            </w:r>
          </w:p>
        </w:tc>
        <w:tc>
          <w:tcPr>
            <w:tcW w:type="dxa" w:w="2091"/>
            <w:vAlign w:val="center"/>
            <w:shd w:fill="1F4E79"/>
          </w:tcPr>
          <w:p>
            <w:pPr>
              <w:jc w:val="center"/>
            </w:pPr>
            <w:r>
              <w:rPr>
                <w:color w:val="FFFFFF"/>
              </w:rPr>
            </w:r>
            <w:r>
              <w:rPr>
                <w:b/>
                <w:color w:val="FFFFFF"/>
                <w:sz w:val="15"/>
              </w:rPr>
              <w:t>Real GDP Growth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12.40</w:t>
            </w:r>
          </w:p>
        </w:tc>
        <w:tc>
          <w:tcPr>
            <w:tcW w:type="dxa" w:w="2091"/>
            <w:vAlign w:val="center"/>
          </w:tcPr>
          <w:p>
            <w:pPr>
              <w:jc w:val="center"/>
            </w:pPr>
            <w:r/>
            <w:r>
              <w:rPr>
                <w:b w:val="0"/>
                <w:sz w:val="14"/>
              </w:rPr>
              <w:t>13.45</w:t>
            </w:r>
          </w:p>
        </w:tc>
        <w:tc>
          <w:tcPr>
            <w:tcW w:type="dxa" w:w="2091"/>
            <w:vAlign w:val="center"/>
          </w:tcPr>
          <w:p>
            <w:pPr>
              <w:jc w:val="center"/>
            </w:pPr>
            <w:r/>
            <w:r>
              <w:rPr>
                <w:b w:val="0"/>
                <w:sz w:val="14"/>
              </w:rPr>
              <w:t>0.79</w:t>
            </w:r>
          </w:p>
        </w:tc>
        <w:tc>
          <w:tcPr>
            <w:tcW w:type="dxa" w:w="2091"/>
            <w:vAlign w:val="center"/>
          </w:tcPr>
          <w:p>
            <w:pPr>
              <w:jc w:val="center"/>
            </w:pPr>
            <w:r/>
            <w:r>
              <w:rPr>
                <w:b w:val="0"/>
                <w:sz w:val="14"/>
              </w:rPr>
              <w:t>6.98</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12.80</w:t>
            </w:r>
          </w:p>
        </w:tc>
        <w:tc>
          <w:tcPr>
            <w:tcW w:type="dxa" w:w="2091"/>
            <w:vAlign w:val="center"/>
          </w:tcPr>
          <w:p>
            <w:pPr>
              <w:jc w:val="center"/>
            </w:pPr>
            <w:r/>
            <w:r>
              <w:rPr>
                <w:b w:val="0"/>
                <w:sz w:val="14"/>
              </w:rPr>
              <w:t>13.28</w:t>
            </w:r>
          </w:p>
        </w:tc>
        <w:tc>
          <w:tcPr>
            <w:tcW w:type="dxa" w:w="2091"/>
            <w:vAlign w:val="center"/>
          </w:tcPr>
          <w:p>
            <w:pPr>
              <w:jc w:val="center"/>
            </w:pPr>
            <w:r/>
            <w:r>
              <w:rPr>
                <w:b w:val="0"/>
                <w:sz w:val="14"/>
              </w:rPr>
              <w:t>0.57</w:t>
            </w:r>
          </w:p>
        </w:tc>
        <w:tc>
          <w:tcPr>
            <w:tcW w:type="dxa" w:w="2091"/>
            <w:vAlign w:val="center"/>
          </w:tcPr>
          <w:p>
            <w:pPr>
              <w:jc w:val="center"/>
            </w:pPr>
            <w:r/>
            <w:r>
              <w:rPr>
                <w:b w:val="0"/>
                <w:sz w:val="14"/>
              </w:rPr>
              <w:t>6.77</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12.00</w:t>
            </w:r>
          </w:p>
        </w:tc>
        <w:tc>
          <w:tcPr>
            <w:tcW w:type="dxa" w:w="2091"/>
            <w:vAlign w:val="center"/>
          </w:tcPr>
          <w:p>
            <w:pPr>
              <w:jc w:val="center"/>
            </w:pPr>
            <w:r/>
            <w:r>
              <w:rPr>
                <w:b w:val="0"/>
                <w:sz w:val="14"/>
              </w:rPr>
              <w:t>13.65</w:t>
            </w:r>
          </w:p>
        </w:tc>
        <w:tc>
          <w:tcPr>
            <w:tcW w:type="dxa" w:w="2091"/>
            <w:vAlign w:val="center"/>
          </w:tcPr>
          <w:p>
            <w:pPr>
              <w:jc w:val="center"/>
            </w:pPr>
            <w:r/>
            <w:r>
              <w:rPr>
                <w:b w:val="0"/>
                <w:sz w:val="14"/>
              </w:rPr>
              <w:t>0.39</w:t>
            </w:r>
          </w:p>
        </w:tc>
        <w:tc>
          <w:tcPr>
            <w:tcW w:type="dxa" w:w="2091"/>
            <w:vAlign w:val="center"/>
          </w:tcPr>
          <w:p>
            <w:pPr>
              <w:jc w:val="center"/>
            </w:pPr>
            <w:r/>
            <w:r>
              <w:rPr>
                <w:b w:val="0"/>
                <w:sz w:val="14"/>
              </w:rPr>
              <w:t>6.89</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10.30</w:t>
            </w:r>
          </w:p>
        </w:tc>
        <w:tc>
          <w:tcPr>
            <w:tcW w:type="dxa" w:w="2091"/>
            <w:vAlign w:val="center"/>
          </w:tcPr>
          <w:p>
            <w:pPr>
              <w:jc w:val="center"/>
            </w:pPr>
            <w:r/>
            <w:r>
              <w:rPr>
                <w:b w:val="0"/>
                <w:sz w:val="14"/>
              </w:rPr>
              <w:t>14.20</w:t>
            </w:r>
          </w:p>
        </w:tc>
        <w:tc>
          <w:tcPr>
            <w:tcW w:type="dxa" w:w="2091"/>
            <w:vAlign w:val="center"/>
          </w:tcPr>
          <w:p>
            <w:pPr>
              <w:jc w:val="center"/>
            </w:pPr>
            <w:r/>
            <w:r>
              <w:rPr>
                <w:b w:val="0"/>
                <w:sz w:val="14"/>
              </w:rPr>
              <w:t>0.50</w:t>
            </w:r>
          </w:p>
        </w:tc>
        <w:tc>
          <w:tcPr>
            <w:tcW w:type="dxa" w:w="2091"/>
            <w:vAlign w:val="center"/>
          </w:tcPr>
          <w:p>
            <w:pPr>
              <w:jc w:val="center"/>
            </w:pPr>
            <w:r/>
            <w:r>
              <w:rPr>
                <w:b w:val="0"/>
                <w:sz w:val="14"/>
              </w:rPr>
              <w:t>6.76</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10.70</w:t>
            </w:r>
          </w:p>
        </w:tc>
        <w:tc>
          <w:tcPr>
            <w:tcW w:type="dxa" w:w="2091"/>
            <w:vAlign w:val="center"/>
          </w:tcPr>
          <w:p>
            <w:pPr>
              <w:jc w:val="center"/>
            </w:pPr>
            <w:r/>
            <w:r>
              <w:rPr>
                <w:b w:val="0"/>
                <w:sz w:val="14"/>
              </w:rPr>
              <w:t>14.60</w:t>
            </w:r>
          </w:p>
        </w:tc>
        <w:tc>
          <w:tcPr>
            <w:tcW w:type="dxa" w:w="2091"/>
            <w:vAlign w:val="center"/>
          </w:tcPr>
          <w:p>
            <w:pPr>
              <w:jc w:val="center"/>
            </w:pPr>
            <w:r/>
            <w:r>
              <w:rPr>
                <w:b w:val="0"/>
                <w:sz w:val="14"/>
              </w:rPr>
              <w:t>0.54</w:t>
            </w:r>
          </w:p>
        </w:tc>
        <w:tc>
          <w:tcPr>
            <w:tcW w:type="dxa" w:w="2091"/>
            <w:vAlign w:val="center"/>
          </w:tcPr>
          <w:p>
            <w:pPr>
              <w:jc w:val="center"/>
            </w:pPr>
            <w:r/>
            <w:r>
              <w:rPr>
                <w:b w:val="0"/>
                <w:sz w:val="14"/>
              </w:rPr>
              <w:t>6.07</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13.30</w:t>
            </w:r>
          </w:p>
        </w:tc>
        <w:tc>
          <w:tcPr>
            <w:tcW w:type="dxa" w:w="2091"/>
            <w:vAlign w:val="center"/>
          </w:tcPr>
          <w:p>
            <w:pPr>
              <w:jc w:val="center"/>
            </w:pPr>
            <w:r/>
            <w:r>
              <w:rPr>
                <w:b w:val="0"/>
                <w:sz w:val="14"/>
              </w:rPr>
              <w:t>14.70</w:t>
            </w:r>
          </w:p>
        </w:tc>
        <w:tc>
          <w:tcPr>
            <w:tcW w:type="dxa" w:w="2091"/>
            <w:vAlign w:val="center"/>
          </w:tcPr>
          <w:p>
            <w:pPr>
              <w:jc w:val="center"/>
            </w:pPr>
            <w:r/>
            <w:r>
              <w:rPr>
                <w:b w:val="0"/>
                <w:sz w:val="14"/>
              </w:rPr>
              <w:t>0.47</w:t>
            </w:r>
          </w:p>
        </w:tc>
        <w:tc>
          <w:tcPr>
            <w:tcW w:type="dxa" w:w="2091"/>
            <w:vAlign w:val="center"/>
          </w:tcPr>
          <w:p>
            <w:pPr>
              <w:jc w:val="center"/>
            </w:pPr>
            <w:r/>
            <w:r>
              <w:rPr>
                <w:b w:val="0"/>
                <w:sz w:val="14"/>
              </w:rPr>
              <w:t>2.34</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10.30</w:t>
            </w:r>
          </w:p>
        </w:tc>
        <w:tc>
          <w:tcPr>
            <w:tcW w:type="dxa" w:w="2091"/>
            <w:vAlign w:val="center"/>
          </w:tcPr>
          <w:p>
            <w:pPr>
              <w:jc w:val="center"/>
            </w:pPr>
            <w:r/>
            <w:r>
              <w:rPr>
                <w:b w:val="0"/>
                <w:sz w:val="14"/>
              </w:rPr>
              <w:t>15.10</w:t>
            </w:r>
          </w:p>
        </w:tc>
        <w:tc>
          <w:tcPr>
            <w:tcW w:type="dxa" w:w="2091"/>
            <w:vAlign w:val="center"/>
          </w:tcPr>
          <w:p>
            <w:pPr>
              <w:jc w:val="center"/>
            </w:pPr>
            <w:r/>
            <w:r>
              <w:rPr>
                <w:b w:val="0"/>
                <w:sz w:val="14"/>
              </w:rPr>
              <w:t>0.45</w:t>
            </w:r>
          </w:p>
        </w:tc>
        <w:tc>
          <w:tcPr>
            <w:tcW w:type="dxa" w:w="2091"/>
            <w:vAlign w:val="center"/>
          </w:tcPr>
          <w:p>
            <w:pPr>
              <w:jc w:val="center"/>
            </w:pPr>
            <w:r/>
            <w:r>
              <w:rPr>
                <w:b w:val="0"/>
                <w:sz w:val="14"/>
              </w:rPr>
              <w:t>8.57</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9.60</w:t>
            </w:r>
          </w:p>
        </w:tc>
        <w:tc>
          <w:tcPr>
            <w:tcW w:type="dxa" w:w="2091"/>
            <w:vAlign w:val="center"/>
          </w:tcPr>
          <w:p>
            <w:pPr>
              <w:jc w:val="center"/>
            </w:pPr>
            <w:r/>
            <w:r>
              <w:rPr>
                <w:b w:val="0"/>
                <w:sz w:val="14"/>
              </w:rPr>
              <w:t>15.20</w:t>
            </w:r>
          </w:p>
        </w:tc>
        <w:tc>
          <w:tcPr>
            <w:tcW w:type="dxa" w:w="2091"/>
            <w:vAlign w:val="center"/>
          </w:tcPr>
          <w:p>
            <w:pPr>
              <w:jc w:val="center"/>
            </w:pPr>
            <w:r/>
            <w:r>
              <w:rPr>
                <w:b w:val="0"/>
                <w:sz w:val="14"/>
              </w:rPr>
              <w:t>0.42</w:t>
            </w:r>
          </w:p>
        </w:tc>
        <w:tc>
          <w:tcPr>
            <w:tcW w:type="dxa" w:w="2091"/>
            <w:vAlign w:val="center"/>
          </w:tcPr>
          <w:p>
            <w:pPr>
              <w:jc w:val="center"/>
            </w:pPr>
            <w:r/>
            <w:r>
              <w:rPr>
                <w:b w:val="0"/>
                <w:sz w:val="14"/>
              </w:rPr>
              <w:t>3.13</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9.50</w:t>
            </w:r>
          </w:p>
        </w:tc>
        <w:tc>
          <w:tcPr>
            <w:tcW w:type="dxa" w:w="2091"/>
            <w:vAlign w:val="center"/>
          </w:tcPr>
          <w:p>
            <w:pPr>
              <w:jc w:val="center"/>
            </w:pPr>
            <w:r/>
            <w:r>
              <w:rPr>
                <w:b w:val="0"/>
                <w:sz w:val="14"/>
              </w:rPr>
              <w:t>15.10</w:t>
            </w:r>
          </w:p>
        </w:tc>
        <w:tc>
          <w:tcPr>
            <w:tcW w:type="dxa" w:w="2091"/>
            <w:vAlign w:val="center"/>
          </w:tcPr>
          <w:p>
            <w:pPr>
              <w:jc w:val="center"/>
            </w:pPr>
            <w:r/>
            <w:r>
              <w:rPr>
                <w:b w:val="0"/>
                <w:sz w:val="14"/>
              </w:rPr>
              <w:t>0.43</w:t>
            </w:r>
          </w:p>
        </w:tc>
        <w:tc>
          <w:tcPr>
            <w:tcW w:type="dxa" w:w="2091"/>
            <w:vAlign w:val="center"/>
          </w:tcPr>
          <w:p>
            <w:pPr>
              <w:jc w:val="center"/>
            </w:pPr>
            <w:r/>
            <w:r>
              <w:rPr>
                <w:b w:val="0"/>
                <w:sz w:val="14"/>
              </w:rPr>
              <w:t>5.42</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8.00</w:t>
            </w:r>
          </w:p>
        </w:tc>
        <w:tc>
          <w:tcPr>
            <w:tcW w:type="dxa" w:w="2091"/>
            <w:vAlign w:val="center"/>
          </w:tcPr>
          <w:p>
            <w:pPr>
              <w:jc w:val="center"/>
            </w:pPr>
            <w:r/>
            <w:r>
              <w:rPr>
                <w:b w:val="0"/>
                <w:sz w:val="14"/>
              </w:rPr>
              <w:t>15.74</w:t>
            </w:r>
          </w:p>
        </w:tc>
        <w:tc>
          <w:tcPr>
            <w:tcW w:type="dxa" w:w="2091"/>
            <w:vAlign w:val="center"/>
          </w:tcPr>
          <w:p>
            <w:pPr>
              <w:jc w:val="center"/>
            </w:pPr>
            <w:r/>
            <w:r>
              <w:rPr>
                <w:b w:val="0"/>
                <w:sz w:val="14"/>
              </w:rPr>
              <w:t>0.47</w:t>
            </w:r>
          </w:p>
        </w:tc>
        <w:tc>
          <w:tcPr>
            <w:tcW w:type="dxa" w:w="2091"/>
            <w:vAlign w:val="center"/>
          </w:tcPr>
          <w:p>
            <w:pPr>
              <w:jc w:val="center"/>
            </w:pPr>
            <w:r/>
            <w:r>
              <w:rPr>
                <w:b w:val="0"/>
                <w:sz w:val="14"/>
              </w:rPr>
              <w:t>4.96</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8.30</w:t>
            </w:r>
          </w:p>
        </w:tc>
        <w:tc>
          <w:tcPr>
            <w:tcW w:type="dxa" w:w="2091"/>
            <w:vAlign w:val="center"/>
          </w:tcPr>
          <w:p>
            <w:pPr>
              <w:jc w:val="center"/>
            </w:pPr>
            <w:r/>
            <w:r>
              <w:rPr>
                <w:b w:val="0"/>
                <w:sz w:val="14"/>
              </w:rPr>
              <w:t>15.46</w:t>
            </w:r>
          </w:p>
        </w:tc>
        <w:tc>
          <w:tcPr>
            <w:tcW w:type="dxa" w:w="2091"/>
            <w:vAlign w:val="center"/>
          </w:tcPr>
          <w:p>
            <w:pPr>
              <w:jc w:val="center"/>
            </w:pPr>
            <w:r/>
            <w:r>
              <w:rPr>
                <w:b w:val="0"/>
                <w:sz w:val="14"/>
              </w:rPr>
              <w:t>0.46</w:t>
            </w:r>
          </w:p>
        </w:tc>
        <w:tc>
          <w:tcPr>
            <w:tcW w:type="dxa" w:w="2091"/>
            <w:vAlign w:val="center"/>
          </w:tcPr>
          <w:p>
            <w:pPr>
              <w:jc w:val="center"/>
            </w:pPr>
            <w:r/>
            <w:r>
              <w:rPr>
                <w:b w:val="0"/>
                <w:sz w:val="14"/>
              </w:rPr>
              <w:t>4.96</w:t>
            </w:r>
          </w:p>
        </w:tc>
      </w:tr>
    </w:tbl>
    <w:p>
      <w:pPr>
        <w:spacing w:after="100" w:line="252" w:lineRule="auto"/>
      </w:pPr>
      <w:r>
        <w:t>Status: historical series reproduced from the China master macro database used for this report. Definitions must remain consistent when the database is refreshed.</w:t>
      </w:r>
    </w:p>
    <w:p>
      <w:r>
        <w:br w:type="page"/>
      </w:r>
    </w:p>
    <w:p>
      <w:r>
        <w:rPr>
          <w:b/>
          <w:color w:val="595959"/>
          <w:sz w:val="16"/>
        </w:rPr>
        <w:t>CHAPTER 34  /  PAGE 149  /  BANKING DATABASE</w:t>
      </w:r>
    </w:p>
    <w:p>
      <w:pPr>
        <w:pStyle w:val="Title"/>
      </w:pPr>
      <w:r>
        <w:t>Banking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Credit Growth (%)</w:t>
            </w:r>
          </w:p>
        </w:tc>
        <w:tc>
          <w:tcPr>
            <w:tcW w:type="dxa" w:w="2091"/>
            <w:vAlign w:val="center"/>
            <w:shd w:fill="1F4E79"/>
          </w:tcPr>
          <w:p>
            <w:pPr>
              <w:jc w:val="center"/>
            </w:pPr>
            <w:r>
              <w:rPr>
                <w:color w:val="FFFFFF"/>
              </w:rPr>
            </w:r>
            <w:r>
              <w:rPr>
                <w:b/>
                <w:color w:val="FFFFFF"/>
                <w:sz w:val="15"/>
              </w:rPr>
              <w:t>Bank Capital Ratio (%)</w:t>
            </w:r>
          </w:p>
        </w:tc>
        <w:tc>
          <w:tcPr>
            <w:tcW w:type="dxa" w:w="2091"/>
            <w:vAlign w:val="center"/>
            <w:shd w:fill="1F4E79"/>
          </w:tcPr>
          <w:p>
            <w:pPr>
              <w:jc w:val="center"/>
            </w:pPr>
            <w:r>
              <w:rPr>
                <w:color w:val="FFFFFF"/>
              </w:rPr>
            </w:r>
            <w:r>
              <w:rPr>
                <w:b/>
                <w:color w:val="FFFFFF"/>
                <w:sz w:val="15"/>
              </w:rPr>
              <w:t>10Y–2Y Spread (pp)</w:t>
            </w:r>
          </w:p>
        </w:tc>
        <w:tc>
          <w:tcPr>
            <w:tcW w:type="dxa" w:w="2091"/>
            <w:vAlign w:val="center"/>
            <w:shd w:fill="1F4E79"/>
          </w:tcPr>
          <w:p>
            <w:pPr>
              <w:jc w:val="center"/>
            </w:pPr>
            <w:r>
              <w:rPr>
                <w:color w:val="FFFFFF"/>
              </w:rPr>
            </w:r>
            <w:r>
              <w:rPr>
                <w:b/>
                <w:color w:val="FFFFFF"/>
                <w:sz w:val="15"/>
              </w:rPr>
              <w:t>Real GDP Growth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12.40</w:t>
            </w:r>
          </w:p>
        </w:tc>
        <w:tc>
          <w:tcPr>
            <w:tcW w:type="dxa" w:w="2091"/>
            <w:vAlign w:val="center"/>
          </w:tcPr>
          <w:p>
            <w:pPr>
              <w:jc w:val="center"/>
            </w:pPr>
            <w:r/>
            <w:r>
              <w:rPr>
                <w:b w:val="0"/>
                <w:sz w:val="14"/>
              </w:rPr>
              <w:t>13.45</w:t>
            </w:r>
          </w:p>
        </w:tc>
        <w:tc>
          <w:tcPr>
            <w:tcW w:type="dxa" w:w="2091"/>
            <w:vAlign w:val="center"/>
          </w:tcPr>
          <w:p>
            <w:pPr>
              <w:jc w:val="center"/>
            </w:pPr>
            <w:r/>
            <w:r>
              <w:rPr>
                <w:b w:val="0"/>
                <w:sz w:val="14"/>
              </w:rPr>
              <w:t>0.79</w:t>
            </w:r>
          </w:p>
        </w:tc>
        <w:tc>
          <w:tcPr>
            <w:tcW w:type="dxa" w:w="2091"/>
            <w:vAlign w:val="center"/>
          </w:tcPr>
          <w:p>
            <w:pPr>
              <w:jc w:val="center"/>
            </w:pPr>
            <w:r/>
            <w:r>
              <w:rPr>
                <w:b w:val="0"/>
                <w:sz w:val="14"/>
              </w:rPr>
              <w:t>6.98</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12.80</w:t>
            </w:r>
          </w:p>
        </w:tc>
        <w:tc>
          <w:tcPr>
            <w:tcW w:type="dxa" w:w="2091"/>
            <w:vAlign w:val="center"/>
          </w:tcPr>
          <w:p>
            <w:pPr>
              <w:jc w:val="center"/>
            </w:pPr>
            <w:r/>
            <w:r>
              <w:rPr>
                <w:b w:val="0"/>
                <w:sz w:val="14"/>
              </w:rPr>
              <w:t>13.28</w:t>
            </w:r>
          </w:p>
        </w:tc>
        <w:tc>
          <w:tcPr>
            <w:tcW w:type="dxa" w:w="2091"/>
            <w:vAlign w:val="center"/>
          </w:tcPr>
          <w:p>
            <w:pPr>
              <w:jc w:val="center"/>
            </w:pPr>
            <w:r/>
            <w:r>
              <w:rPr>
                <w:b w:val="0"/>
                <w:sz w:val="14"/>
              </w:rPr>
              <w:t>0.57</w:t>
            </w:r>
          </w:p>
        </w:tc>
        <w:tc>
          <w:tcPr>
            <w:tcW w:type="dxa" w:w="2091"/>
            <w:vAlign w:val="center"/>
          </w:tcPr>
          <w:p>
            <w:pPr>
              <w:jc w:val="center"/>
            </w:pPr>
            <w:r/>
            <w:r>
              <w:rPr>
                <w:b w:val="0"/>
                <w:sz w:val="14"/>
              </w:rPr>
              <w:t>6.77</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12.00</w:t>
            </w:r>
          </w:p>
        </w:tc>
        <w:tc>
          <w:tcPr>
            <w:tcW w:type="dxa" w:w="2091"/>
            <w:vAlign w:val="center"/>
          </w:tcPr>
          <w:p>
            <w:pPr>
              <w:jc w:val="center"/>
            </w:pPr>
            <w:r/>
            <w:r>
              <w:rPr>
                <w:b w:val="0"/>
                <w:sz w:val="14"/>
              </w:rPr>
              <w:t>13.65</w:t>
            </w:r>
          </w:p>
        </w:tc>
        <w:tc>
          <w:tcPr>
            <w:tcW w:type="dxa" w:w="2091"/>
            <w:vAlign w:val="center"/>
          </w:tcPr>
          <w:p>
            <w:pPr>
              <w:jc w:val="center"/>
            </w:pPr>
            <w:r/>
            <w:r>
              <w:rPr>
                <w:b w:val="0"/>
                <w:sz w:val="14"/>
              </w:rPr>
              <w:t>0.39</w:t>
            </w:r>
          </w:p>
        </w:tc>
        <w:tc>
          <w:tcPr>
            <w:tcW w:type="dxa" w:w="2091"/>
            <w:vAlign w:val="center"/>
          </w:tcPr>
          <w:p>
            <w:pPr>
              <w:jc w:val="center"/>
            </w:pPr>
            <w:r/>
            <w:r>
              <w:rPr>
                <w:b w:val="0"/>
                <w:sz w:val="14"/>
              </w:rPr>
              <w:t>6.89</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10.30</w:t>
            </w:r>
          </w:p>
        </w:tc>
        <w:tc>
          <w:tcPr>
            <w:tcW w:type="dxa" w:w="2091"/>
            <w:vAlign w:val="center"/>
          </w:tcPr>
          <w:p>
            <w:pPr>
              <w:jc w:val="center"/>
            </w:pPr>
            <w:r/>
            <w:r>
              <w:rPr>
                <w:b w:val="0"/>
                <w:sz w:val="14"/>
              </w:rPr>
              <w:t>14.20</w:t>
            </w:r>
          </w:p>
        </w:tc>
        <w:tc>
          <w:tcPr>
            <w:tcW w:type="dxa" w:w="2091"/>
            <w:vAlign w:val="center"/>
          </w:tcPr>
          <w:p>
            <w:pPr>
              <w:jc w:val="center"/>
            </w:pPr>
            <w:r/>
            <w:r>
              <w:rPr>
                <w:b w:val="0"/>
                <w:sz w:val="14"/>
              </w:rPr>
              <w:t>0.50</w:t>
            </w:r>
          </w:p>
        </w:tc>
        <w:tc>
          <w:tcPr>
            <w:tcW w:type="dxa" w:w="2091"/>
            <w:vAlign w:val="center"/>
          </w:tcPr>
          <w:p>
            <w:pPr>
              <w:jc w:val="center"/>
            </w:pPr>
            <w:r/>
            <w:r>
              <w:rPr>
                <w:b w:val="0"/>
                <w:sz w:val="14"/>
              </w:rPr>
              <w:t>6.76</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10.70</w:t>
            </w:r>
          </w:p>
        </w:tc>
        <w:tc>
          <w:tcPr>
            <w:tcW w:type="dxa" w:w="2091"/>
            <w:vAlign w:val="center"/>
          </w:tcPr>
          <w:p>
            <w:pPr>
              <w:jc w:val="center"/>
            </w:pPr>
            <w:r/>
            <w:r>
              <w:rPr>
                <w:b w:val="0"/>
                <w:sz w:val="14"/>
              </w:rPr>
              <w:t>14.60</w:t>
            </w:r>
          </w:p>
        </w:tc>
        <w:tc>
          <w:tcPr>
            <w:tcW w:type="dxa" w:w="2091"/>
            <w:vAlign w:val="center"/>
          </w:tcPr>
          <w:p>
            <w:pPr>
              <w:jc w:val="center"/>
            </w:pPr>
            <w:r/>
            <w:r>
              <w:rPr>
                <w:b w:val="0"/>
                <w:sz w:val="14"/>
              </w:rPr>
              <w:t>0.54</w:t>
            </w:r>
          </w:p>
        </w:tc>
        <w:tc>
          <w:tcPr>
            <w:tcW w:type="dxa" w:w="2091"/>
            <w:vAlign w:val="center"/>
          </w:tcPr>
          <w:p>
            <w:pPr>
              <w:jc w:val="center"/>
            </w:pPr>
            <w:r/>
            <w:r>
              <w:rPr>
                <w:b w:val="0"/>
                <w:sz w:val="14"/>
              </w:rPr>
              <w:t>6.07</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13.30</w:t>
            </w:r>
          </w:p>
        </w:tc>
        <w:tc>
          <w:tcPr>
            <w:tcW w:type="dxa" w:w="2091"/>
            <w:vAlign w:val="center"/>
          </w:tcPr>
          <w:p>
            <w:pPr>
              <w:jc w:val="center"/>
            </w:pPr>
            <w:r/>
            <w:r>
              <w:rPr>
                <w:b w:val="0"/>
                <w:sz w:val="14"/>
              </w:rPr>
              <w:t>14.70</w:t>
            </w:r>
          </w:p>
        </w:tc>
        <w:tc>
          <w:tcPr>
            <w:tcW w:type="dxa" w:w="2091"/>
            <w:vAlign w:val="center"/>
          </w:tcPr>
          <w:p>
            <w:pPr>
              <w:jc w:val="center"/>
            </w:pPr>
            <w:r/>
            <w:r>
              <w:rPr>
                <w:b w:val="0"/>
                <w:sz w:val="14"/>
              </w:rPr>
              <w:t>0.47</w:t>
            </w:r>
          </w:p>
        </w:tc>
        <w:tc>
          <w:tcPr>
            <w:tcW w:type="dxa" w:w="2091"/>
            <w:vAlign w:val="center"/>
          </w:tcPr>
          <w:p>
            <w:pPr>
              <w:jc w:val="center"/>
            </w:pPr>
            <w:r/>
            <w:r>
              <w:rPr>
                <w:b w:val="0"/>
                <w:sz w:val="14"/>
              </w:rPr>
              <w:t>2.34</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10.30</w:t>
            </w:r>
          </w:p>
        </w:tc>
        <w:tc>
          <w:tcPr>
            <w:tcW w:type="dxa" w:w="2091"/>
            <w:vAlign w:val="center"/>
          </w:tcPr>
          <w:p>
            <w:pPr>
              <w:jc w:val="center"/>
            </w:pPr>
            <w:r/>
            <w:r>
              <w:rPr>
                <w:b w:val="0"/>
                <w:sz w:val="14"/>
              </w:rPr>
              <w:t>15.10</w:t>
            </w:r>
          </w:p>
        </w:tc>
        <w:tc>
          <w:tcPr>
            <w:tcW w:type="dxa" w:w="2091"/>
            <w:vAlign w:val="center"/>
          </w:tcPr>
          <w:p>
            <w:pPr>
              <w:jc w:val="center"/>
            </w:pPr>
            <w:r/>
            <w:r>
              <w:rPr>
                <w:b w:val="0"/>
                <w:sz w:val="14"/>
              </w:rPr>
              <w:t>0.45</w:t>
            </w:r>
          </w:p>
        </w:tc>
        <w:tc>
          <w:tcPr>
            <w:tcW w:type="dxa" w:w="2091"/>
            <w:vAlign w:val="center"/>
          </w:tcPr>
          <w:p>
            <w:pPr>
              <w:jc w:val="center"/>
            </w:pPr>
            <w:r/>
            <w:r>
              <w:rPr>
                <w:b w:val="0"/>
                <w:sz w:val="14"/>
              </w:rPr>
              <w:t>8.57</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9.60</w:t>
            </w:r>
          </w:p>
        </w:tc>
        <w:tc>
          <w:tcPr>
            <w:tcW w:type="dxa" w:w="2091"/>
            <w:vAlign w:val="center"/>
          </w:tcPr>
          <w:p>
            <w:pPr>
              <w:jc w:val="center"/>
            </w:pPr>
            <w:r/>
            <w:r>
              <w:rPr>
                <w:b w:val="0"/>
                <w:sz w:val="14"/>
              </w:rPr>
              <w:t>15.20</w:t>
            </w:r>
          </w:p>
        </w:tc>
        <w:tc>
          <w:tcPr>
            <w:tcW w:type="dxa" w:w="2091"/>
            <w:vAlign w:val="center"/>
          </w:tcPr>
          <w:p>
            <w:pPr>
              <w:jc w:val="center"/>
            </w:pPr>
            <w:r/>
            <w:r>
              <w:rPr>
                <w:b w:val="0"/>
                <w:sz w:val="14"/>
              </w:rPr>
              <w:t>0.42</w:t>
            </w:r>
          </w:p>
        </w:tc>
        <w:tc>
          <w:tcPr>
            <w:tcW w:type="dxa" w:w="2091"/>
            <w:vAlign w:val="center"/>
          </w:tcPr>
          <w:p>
            <w:pPr>
              <w:jc w:val="center"/>
            </w:pPr>
            <w:r/>
            <w:r>
              <w:rPr>
                <w:b w:val="0"/>
                <w:sz w:val="14"/>
              </w:rPr>
              <w:t>3.13</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9.50</w:t>
            </w:r>
          </w:p>
        </w:tc>
        <w:tc>
          <w:tcPr>
            <w:tcW w:type="dxa" w:w="2091"/>
            <w:vAlign w:val="center"/>
          </w:tcPr>
          <w:p>
            <w:pPr>
              <w:jc w:val="center"/>
            </w:pPr>
            <w:r/>
            <w:r>
              <w:rPr>
                <w:b w:val="0"/>
                <w:sz w:val="14"/>
              </w:rPr>
              <w:t>15.10</w:t>
            </w:r>
          </w:p>
        </w:tc>
        <w:tc>
          <w:tcPr>
            <w:tcW w:type="dxa" w:w="2091"/>
            <w:vAlign w:val="center"/>
          </w:tcPr>
          <w:p>
            <w:pPr>
              <w:jc w:val="center"/>
            </w:pPr>
            <w:r/>
            <w:r>
              <w:rPr>
                <w:b w:val="0"/>
                <w:sz w:val="14"/>
              </w:rPr>
              <w:t>0.43</w:t>
            </w:r>
          </w:p>
        </w:tc>
        <w:tc>
          <w:tcPr>
            <w:tcW w:type="dxa" w:w="2091"/>
            <w:vAlign w:val="center"/>
          </w:tcPr>
          <w:p>
            <w:pPr>
              <w:jc w:val="center"/>
            </w:pPr>
            <w:r/>
            <w:r>
              <w:rPr>
                <w:b w:val="0"/>
                <w:sz w:val="14"/>
              </w:rPr>
              <w:t>5.42</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8.00</w:t>
            </w:r>
          </w:p>
        </w:tc>
        <w:tc>
          <w:tcPr>
            <w:tcW w:type="dxa" w:w="2091"/>
            <w:vAlign w:val="center"/>
          </w:tcPr>
          <w:p>
            <w:pPr>
              <w:jc w:val="center"/>
            </w:pPr>
            <w:r/>
            <w:r>
              <w:rPr>
                <w:b w:val="0"/>
                <w:sz w:val="14"/>
              </w:rPr>
              <w:t>15.74</w:t>
            </w:r>
          </w:p>
        </w:tc>
        <w:tc>
          <w:tcPr>
            <w:tcW w:type="dxa" w:w="2091"/>
            <w:vAlign w:val="center"/>
          </w:tcPr>
          <w:p>
            <w:pPr>
              <w:jc w:val="center"/>
            </w:pPr>
            <w:r/>
            <w:r>
              <w:rPr>
                <w:b w:val="0"/>
                <w:sz w:val="14"/>
              </w:rPr>
              <w:t>0.47</w:t>
            </w:r>
          </w:p>
        </w:tc>
        <w:tc>
          <w:tcPr>
            <w:tcW w:type="dxa" w:w="2091"/>
            <w:vAlign w:val="center"/>
          </w:tcPr>
          <w:p>
            <w:pPr>
              <w:jc w:val="center"/>
            </w:pPr>
            <w:r/>
            <w:r>
              <w:rPr>
                <w:b w:val="0"/>
                <w:sz w:val="14"/>
              </w:rPr>
              <w:t>4.96</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8.30</w:t>
            </w:r>
          </w:p>
        </w:tc>
        <w:tc>
          <w:tcPr>
            <w:tcW w:type="dxa" w:w="2091"/>
            <w:vAlign w:val="center"/>
          </w:tcPr>
          <w:p>
            <w:pPr>
              <w:jc w:val="center"/>
            </w:pPr>
            <w:r/>
            <w:r>
              <w:rPr>
                <w:b w:val="0"/>
                <w:sz w:val="14"/>
              </w:rPr>
              <w:t>15.46</w:t>
            </w:r>
          </w:p>
        </w:tc>
        <w:tc>
          <w:tcPr>
            <w:tcW w:type="dxa" w:w="2091"/>
            <w:vAlign w:val="center"/>
          </w:tcPr>
          <w:p>
            <w:pPr>
              <w:jc w:val="center"/>
            </w:pPr>
            <w:r/>
            <w:r>
              <w:rPr>
                <w:b w:val="0"/>
                <w:sz w:val="14"/>
              </w:rPr>
              <w:t>0.46</w:t>
            </w:r>
          </w:p>
        </w:tc>
        <w:tc>
          <w:tcPr>
            <w:tcW w:type="dxa" w:w="2091"/>
            <w:vAlign w:val="center"/>
          </w:tcPr>
          <w:p>
            <w:pPr>
              <w:jc w:val="center"/>
            </w:pPr>
            <w:r/>
            <w:r>
              <w:rPr>
                <w:b w:val="0"/>
                <w:sz w:val="14"/>
              </w:rPr>
              <w:t>4.96</w:t>
            </w:r>
          </w:p>
        </w:tc>
      </w:tr>
    </w:tbl>
    <w:p>
      <w:pPr>
        <w:spacing w:after="100" w:line="252" w:lineRule="auto"/>
      </w:pPr>
      <w:r>
        <w:t>Status: historical series reproduced from the China master macro database used for this report. Definitions must remain consistent when the database is refreshed.</w:t>
      </w:r>
    </w:p>
    <w:p>
      <w:r>
        <w:br w:type="page"/>
      </w:r>
    </w:p>
    <w:p>
      <w:r>
        <w:rPr>
          <w:b/>
          <w:color w:val="595959"/>
          <w:sz w:val="16"/>
        </w:rPr>
        <w:t>CHAPTER 34  /  PAGE 150  /  FISCAL DATABASE</w:t>
      </w:r>
    </w:p>
    <w:p>
      <w:pPr>
        <w:pStyle w:val="Title"/>
      </w:pPr>
      <w:r>
        <w:t>Fiscal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Government Debt / GDP (%)</w:t>
            </w:r>
          </w:p>
        </w:tc>
        <w:tc>
          <w:tcPr>
            <w:tcW w:type="dxa" w:w="2091"/>
            <w:vAlign w:val="center"/>
            <w:shd w:fill="1F4E79"/>
          </w:tcPr>
          <w:p>
            <w:pPr>
              <w:jc w:val="center"/>
            </w:pPr>
            <w:r>
              <w:rPr>
                <w:color w:val="FFFFFF"/>
              </w:rPr>
            </w:r>
            <w:r>
              <w:rPr>
                <w:b/>
                <w:color w:val="FFFFFF"/>
                <w:sz w:val="15"/>
              </w:rPr>
              <w:t>Fiscal Deficit / GDP (%)</w:t>
            </w:r>
          </w:p>
        </w:tc>
        <w:tc>
          <w:tcPr>
            <w:tcW w:type="dxa" w:w="2091"/>
            <w:vAlign w:val="center"/>
            <w:shd w:fill="1F4E79"/>
          </w:tcPr>
          <w:p>
            <w:pPr>
              <w:jc w:val="center"/>
            </w:pPr>
            <w:r>
              <w:rPr>
                <w:color w:val="FFFFFF"/>
              </w:rPr>
            </w:r>
            <w:r>
              <w:rPr>
                <w:b/>
                <w:color w:val="FFFFFF"/>
                <w:sz w:val="15"/>
              </w:rPr>
              <w:t>Interest Expenses / Revenue (%)</w:t>
            </w:r>
          </w:p>
        </w:tc>
        <w:tc>
          <w:tcPr>
            <w:tcW w:type="dxa" w:w="2091"/>
            <w:vAlign w:val="center"/>
            <w:shd w:fill="1F4E79"/>
          </w:tcPr>
          <w:p>
            <w:pPr>
              <w:jc w:val="center"/>
            </w:pPr>
            <w:r>
              <w:rPr>
                <w:color w:val="FFFFFF"/>
              </w:rPr>
            </w:r>
            <w:r>
              <w:rPr>
                <w:b/>
                <w:color w:val="FFFFFF"/>
                <w:sz w:val="15"/>
              </w:rPr>
              <w:t>Real GDP Growth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36.40</w:t>
            </w:r>
          </w:p>
        </w:tc>
        <w:tc>
          <w:tcPr>
            <w:tcW w:type="dxa" w:w="2091"/>
            <w:vAlign w:val="center"/>
          </w:tcPr>
          <w:p>
            <w:pPr>
              <w:jc w:val="center"/>
            </w:pPr>
            <w:r/>
            <w:r>
              <w:rPr>
                <w:b w:val="0"/>
                <w:sz w:val="14"/>
              </w:rPr>
              <w:t>-2.80</w:t>
            </w:r>
          </w:p>
        </w:tc>
        <w:tc>
          <w:tcPr>
            <w:tcW w:type="dxa" w:w="2091"/>
            <w:vAlign w:val="center"/>
          </w:tcPr>
          <w:p>
            <w:pPr>
              <w:jc w:val="center"/>
            </w:pPr>
            <w:r/>
            <w:r>
              <w:rPr>
                <w:b w:val="0"/>
                <w:sz w:val="14"/>
              </w:rPr>
              <w:t>5.40</w:t>
            </w:r>
          </w:p>
        </w:tc>
        <w:tc>
          <w:tcPr>
            <w:tcW w:type="dxa" w:w="2091"/>
            <w:vAlign w:val="center"/>
          </w:tcPr>
          <w:p>
            <w:pPr>
              <w:jc w:val="center"/>
            </w:pPr>
            <w:r/>
            <w:r>
              <w:rPr>
                <w:b w:val="0"/>
                <w:sz w:val="14"/>
              </w:rPr>
              <w:t>6.98</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36.70</w:t>
            </w:r>
          </w:p>
        </w:tc>
        <w:tc>
          <w:tcPr>
            <w:tcW w:type="dxa" w:w="2091"/>
            <w:vAlign w:val="center"/>
          </w:tcPr>
          <w:p>
            <w:pPr>
              <w:jc w:val="center"/>
            </w:pPr>
            <w:r/>
            <w:r>
              <w:rPr>
                <w:b w:val="0"/>
                <w:sz w:val="14"/>
              </w:rPr>
              <w:t>-3.70</w:t>
            </w:r>
          </w:p>
        </w:tc>
        <w:tc>
          <w:tcPr>
            <w:tcW w:type="dxa" w:w="2091"/>
            <w:vAlign w:val="center"/>
          </w:tcPr>
          <w:p>
            <w:pPr>
              <w:jc w:val="center"/>
            </w:pPr>
            <w:r/>
            <w:r>
              <w:rPr>
                <w:b w:val="0"/>
                <w:sz w:val="14"/>
              </w:rPr>
              <w:t>5.80</w:t>
            </w:r>
          </w:p>
        </w:tc>
        <w:tc>
          <w:tcPr>
            <w:tcW w:type="dxa" w:w="2091"/>
            <w:vAlign w:val="center"/>
          </w:tcPr>
          <w:p>
            <w:pPr>
              <w:jc w:val="center"/>
            </w:pPr>
            <w:r/>
            <w:r>
              <w:rPr>
                <w:b w:val="0"/>
                <w:sz w:val="14"/>
              </w:rPr>
              <w:t>6.77</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36.80</w:t>
            </w:r>
          </w:p>
        </w:tc>
        <w:tc>
          <w:tcPr>
            <w:tcW w:type="dxa" w:w="2091"/>
            <w:vAlign w:val="center"/>
          </w:tcPr>
          <w:p>
            <w:pPr>
              <w:jc w:val="center"/>
            </w:pPr>
            <w:r/>
            <w:r>
              <w:rPr>
                <w:b w:val="0"/>
                <w:sz w:val="14"/>
              </w:rPr>
              <w:t>-3.90</w:t>
            </w:r>
          </w:p>
        </w:tc>
        <w:tc>
          <w:tcPr>
            <w:tcW w:type="dxa" w:w="2091"/>
            <w:vAlign w:val="center"/>
          </w:tcPr>
          <w:p>
            <w:pPr>
              <w:jc w:val="center"/>
            </w:pPr>
            <w:r/>
            <w:r>
              <w:rPr>
                <w:b w:val="0"/>
                <w:sz w:val="14"/>
              </w:rPr>
              <w:t>6.00</w:t>
            </w:r>
          </w:p>
        </w:tc>
        <w:tc>
          <w:tcPr>
            <w:tcW w:type="dxa" w:w="2091"/>
            <w:vAlign w:val="center"/>
          </w:tcPr>
          <w:p>
            <w:pPr>
              <w:jc w:val="center"/>
            </w:pPr>
            <w:r/>
            <w:r>
              <w:rPr>
                <w:b w:val="0"/>
                <w:sz w:val="14"/>
              </w:rPr>
              <w:t>6.89</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37.90</w:t>
            </w:r>
          </w:p>
        </w:tc>
        <w:tc>
          <w:tcPr>
            <w:tcW w:type="dxa" w:w="2091"/>
            <w:vAlign w:val="center"/>
          </w:tcPr>
          <w:p>
            <w:pPr>
              <w:jc w:val="center"/>
            </w:pPr>
            <w:r/>
            <w:r>
              <w:rPr>
                <w:b w:val="0"/>
                <w:sz w:val="14"/>
              </w:rPr>
              <w:t>-4.80</w:t>
            </w:r>
          </w:p>
        </w:tc>
        <w:tc>
          <w:tcPr>
            <w:tcW w:type="dxa" w:w="2091"/>
            <w:vAlign w:val="center"/>
          </w:tcPr>
          <w:p>
            <w:pPr>
              <w:jc w:val="center"/>
            </w:pPr>
            <w:r/>
            <w:r>
              <w:rPr>
                <w:b w:val="0"/>
                <w:sz w:val="14"/>
              </w:rPr>
              <w:t>6.20</w:t>
            </w:r>
          </w:p>
        </w:tc>
        <w:tc>
          <w:tcPr>
            <w:tcW w:type="dxa" w:w="2091"/>
            <w:vAlign w:val="center"/>
          </w:tcPr>
          <w:p>
            <w:pPr>
              <w:jc w:val="center"/>
            </w:pPr>
            <w:r/>
            <w:r>
              <w:rPr>
                <w:b w:val="0"/>
                <w:sz w:val="14"/>
              </w:rPr>
              <w:t>6.76</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40.20</w:t>
            </w:r>
          </w:p>
        </w:tc>
        <w:tc>
          <w:tcPr>
            <w:tcW w:type="dxa" w:w="2091"/>
            <w:vAlign w:val="center"/>
          </w:tcPr>
          <w:p>
            <w:pPr>
              <w:jc w:val="center"/>
            </w:pPr>
            <w:r/>
            <w:r>
              <w:rPr>
                <w:b w:val="0"/>
                <w:sz w:val="14"/>
              </w:rPr>
              <w:t>-6.30</w:t>
            </w:r>
          </w:p>
        </w:tc>
        <w:tc>
          <w:tcPr>
            <w:tcW w:type="dxa" w:w="2091"/>
            <w:vAlign w:val="center"/>
          </w:tcPr>
          <w:p>
            <w:pPr>
              <w:jc w:val="center"/>
            </w:pPr>
            <w:r/>
            <w:r>
              <w:rPr>
                <w:b w:val="0"/>
                <w:sz w:val="14"/>
              </w:rPr>
              <w:t>6.40</w:t>
            </w:r>
          </w:p>
        </w:tc>
        <w:tc>
          <w:tcPr>
            <w:tcW w:type="dxa" w:w="2091"/>
            <w:vAlign w:val="center"/>
          </w:tcPr>
          <w:p>
            <w:pPr>
              <w:jc w:val="center"/>
            </w:pPr>
            <w:r/>
            <w:r>
              <w:rPr>
                <w:b w:val="0"/>
                <w:sz w:val="14"/>
              </w:rPr>
              <w:t>6.07</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43.10</w:t>
            </w:r>
          </w:p>
        </w:tc>
        <w:tc>
          <w:tcPr>
            <w:tcW w:type="dxa" w:w="2091"/>
            <w:vAlign w:val="center"/>
          </w:tcPr>
          <w:p>
            <w:pPr>
              <w:jc w:val="center"/>
            </w:pPr>
            <w:r/>
            <w:r>
              <w:rPr>
                <w:b w:val="0"/>
                <w:sz w:val="14"/>
              </w:rPr>
              <w:t>-11.20</w:t>
            </w:r>
          </w:p>
        </w:tc>
        <w:tc>
          <w:tcPr>
            <w:tcW w:type="dxa" w:w="2091"/>
            <w:vAlign w:val="center"/>
          </w:tcPr>
          <w:p>
            <w:pPr>
              <w:jc w:val="center"/>
            </w:pPr>
            <w:r/>
            <w:r>
              <w:rPr>
                <w:b w:val="0"/>
                <w:sz w:val="14"/>
              </w:rPr>
              <w:t>7.20</w:t>
            </w:r>
          </w:p>
        </w:tc>
        <w:tc>
          <w:tcPr>
            <w:tcW w:type="dxa" w:w="2091"/>
            <w:vAlign w:val="center"/>
          </w:tcPr>
          <w:p>
            <w:pPr>
              <w:jc w:val="center"/>
            </w:pPr>
            <w:r/>
            <w:r>
              <w:rPr>
                <w:b w:val="0"/>
                <w:sz w:val="14"/>
              </w:rPr>
              <w:t>2.34</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45.40</w:t>
            </w:r>
          </w:p>
        </w:tc>
        <w:tc>
          <w:tcPr>
            <w:tcW w:type="dxa" w:w="2091"/>
            <w:vAlign w:val="center"/>
          </w:tcPr>
          <w:p>
            <w:pPr>
              <w:jc w:val="center"/>
            </w:pPr>
            <w:r/>
            <w:r>
              <w:rPr>
                <w:b w:val="0"/>
                <w:sz w:val="14"/>
              </w:rPr>
              <w:t>-9.60</w:t>
            </w:r>
          </w:p>
        </w:tc>
        <w:tc>
          <w:tcPr>
            <w:tcW w:type="dxa" w:w="2091"/>
            <w:vAlign w:val="center"/>
          </w:tcPr>
          <w:p>
            <w:pPr>
              <w:jc w:val="center"/>
            </w:pPr>
            <w:r/>
            <w:r>
              <w:rPr>
                <w:b w:val="0"/>
                <w:sz w:val="14"/>
              </w:rPr>
              <w:t>7.10</w:t>
            </w:r>
          </w:p>
        </w:tc>
        <w:tc>
          <w:tcPr>
            <w:tcW w:type="dxa" w:w="2091"/>
            <w:vAlign w:val="center"/>
          </w:tcPr>
          <w:p>
            <w:pPr>
              <w:jc w:val="center"/>
            </w:pPr>
            <w:r/>
            <w:r>
              <w:rPr>
                <w:b w:val="0"/>
                <w:sz w:val="14"/>
              </w:rPr>
              <w:t>8.57</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47.60</w:t>
            </w:r>
          </w:p>
        </w:tc>
        <w:tc>
          <w:tcPr>
            <w:tcW w:type="dxa" w:w="2091"/>
            <w:vAlign w:val="center"/>
          </w:tcPr>
          <w:p>
            <w:pPr>
              <w:jc w:val="center"/>
            </w:pPr>
            <w:r/>
            <w:r>
              <w:rPr>
                <w:b w:val="0"/>
                <w:sz w:val="14"/>
              </w:rPr>
              <w:t>-5.90</w:t>
            </w:r>
          </w:p>
        </w:tc>
        <w:tc>
          <w:tcPr>
            <w:tcW w:type="dxa" w:w="2091"/>
            <w:vAlign w:val="center"/>
          </w:tcPr>
          <w:p>
            <w:pPr>
              <w:jc w:val="center"/>
            </w:pPr>
            <w:r/>
            <w:r>
              <w:rPr>
                <w:b w:val="0"/>
                <w:sz w:val="14"/>
              </w:rPr>
              <w:t>7.50</w:t>
            </w:r>
          </w:p>
        </w:tc>
        <w:tc>
          <w:tcPr>
            <w:tcW w:type="dxa" w:w="2091"/>
            <w:vAlign w:val="center"/>
          </w:tcPr>
          <w:p>
            <w:pPr>
              <w:jc w:val="center"/>
            </w:pPr>
            <w:r/>
            <w:r>
              <w:rPr>
                <w:b w:val="0"/>
                <w:sz w:val="14"/>
              </w:rPr>
              <w:t>3.13</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49.30</w:t>
            </w:r>
          </w:p>
        </w:tc>
        <w:tc>
          <w:tcPr>
            <w:tcW w:type="dxa" w:w="2091"/>
            <w:vAlign w:val="center"/>
          </w:tcPr>
          <w:p>
            <w:pPr>
              <w:jc w:val="center"/>
            </w:pPr>
            <w:r/>
            <w:r>
              <w:rPr>
                <w:b w:val="0"/>
                <w:sz w:val="14"/>
              </w:rPr>
              <w:t>-7.30</w:t>
            </w:r>
          </w:p>
        </w:tc>
        <w:tc>
          <w:tcPr>
            <w:tcW w:type="dxa" w:w="2091"/>
            <w:vAlign w:val="center"/>
          </w:tcPr>
          <w:p>
            <w:pPr>
              <w:jc w:val="center"/>
            </w:pPr>
            <w:r/>
            <w:r>
              <w:rPr>
                <w:b w:val="0"/>
                <w:sz w:val="14"/>
              </w:rPr>
              <w:t>8.10</w:t>
            </w:r>
          </w:p>
        </w:tc>
        <w:tc>
          <w:tcPr>
            <w:tcW w:type="dxa" w:w="2091"/>
            <w:vAlign w:val="center"/>
          </w:tcPr>
          <w:p>
            <w:pPr>
              <w:jc w:val="center"/>
            </w:pPr>
            <w:r/>
            <w:r>
              <w:rPr>
                <w:b w:val="0"/>
                <w:sz w:val="14"/>
              </w:rPr>
              <w:t>5.42</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60.90</w:t>
            </w:r>
          </w:p>
        </w:tc>
        <w:tc>
          <w:tcPr>
            <w:tcW w:type="dxa" w:w="2091"/>
            <w:vAlign w:val="center"/>
          </w:tcPr>
          <w:p>
            <w:pPr>
              <w:jc w:val="center"/>
            </w:pPr>
            <w:r/>
            <w:r>
              <w:rPr>
                <w:b w:val="0"/>
                <w:sz w:val="14"/>
              </w:rPr>
              <w:t>-6.70</w:t>
            </w:r>
          </w:p>
        </w:tc>
        <w:tc>
          <w:tcPr>
            <w:tcW w:type="dxa" w:w="2091"/>
            <w:vAlign w:val="center"/>
          </w:tcPr>
          <w:p>
            <w:pPr>
              <w:jc w:val="center"/>
            </w:pPr>
            <w:r/>
            <w:r>
              <w:rPr>
                <w:b w:val="0"/>
                <w:sz w:val="14"/>
              </w:rPr>
              <w:t>8.70</w:t>
            </w:r>
          </w:p>
        </w:tc>
        <w:tc>
          <w:tcPr>
            <w:tcW w:type="dxa" w:w="2091"/>
            <w:vAlign w:val="center"/>
          </w:tcPr>
          <w:p>
            <w:pPr>
              <w:jc w:val="center"/>
            </w:pPr>
            <w:r/>
            <w:r>
              <w:rPr>
                <w:b w:val="0"/>
                <w:sz w:val="14"/>
              </w:rPr>
              <w:t>4.96</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68.40</w:t>
            </w:r>
          </w:p>
        </w:tc>
        <w:tc>
          <w:tcPr>
            <w:tcW w:type="dxa" w:w="2091"/>
            <w:vAlign w:val="center"/>
          </w:tcPr>
          <w:p>
            <w:pPr>
              <w:jc w:val="center"/>
            </w:pPr>
            <w:r/>
            <w:r>
              <w:rPr>
                <w:b w:val="0"/>
                <w:sz w:val="14"/>
              </w:rPr>
              <w:t>-7.40</w:t>
            </w:r>
          </w:p>
        </w:tc>
        <w:tc>
          <w:tcPr>
            <w:tcW w:type="dxa" w:w="2091"/>
            <w:vAlign w:val="center"/>
          </w:tcPr>
          <w:p>
            <w:pPr>
              <w:jc w:val="center"/>
            </w:pPr>
            <w:r/>
            <w:r>
              <w:rPr>
                <w:b w:val="0"/>
                <w:sz w:val="14"/>
              </w:rPr>
              <w:t>9.20</w:t>
            </w:r>
          </w:p>
        </w:tc>
        <w:tc>
          <w:tcPr>
            <w:tcW w:type="dxa" w:w="2091"/>
            <w:vAlign w:val="center"/>
          </w:tcPr>
          <w:p>
            <w:pPr>
              <w:jc w:val="center"/>
            </w:pPr>
            <w:r/>
            <w:r>
              <w:rPr>
                <w:b w:val="0"/>
                <w:sz w:val="14"/>
              </w:rPr>
              <w:t>4.96</w:t>
            </w:r>
          </w:p>
        </w:tc>
      </w:tr>
    </w:tbl>
    <w:p>
      <w:pPr>
        <w:spacing w:after="100" w:line="252" w:lineRule="auto"/>
      </w:pPr>
      <w:r>
        <w:t>Status: historical series reproduced from the China master macro database used for this report. Definitions must remain consistent when the database is refreshed.</w:t>
      </w:r>
    </w:p>
    <w:p>
      <w:r>
        <w:br w:type="page"/>
      </w:r>
    </w:p>
    <w:p>
      <w:r>
        <w:rPr>
          <w:b/>
          <w:color w:val="595959"/>
          <w:sz w:val="16"/>
        </w:rPr>
        <w:t>CHAPTER 34  /  PAGE 151  /  DEBT &amp; LGFV DATABASE</w:t>
      </w:r>
    </w:p>
    <w:p>
      <w:pPr>
        <w:pStyle w:val="Title"/>
      </w:pPr>
      <w:r>
        <w:t>Debt &amp; LGFV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Government Debt / GDP (%)</w:t>
            </w:r>
          </w:p>
        </w:tc>
        <w:tc>
          <w:tcPr>
            <w:tcW w:type="dxa" w:w="2091"/>
            <w:vAlign w:val="center"/>
            <w:shd w:fill="1F4E79"/>
          </w:tcPr>
          <w:p>
            <w:pPr>
              <w:jc w:val="center"/>
            </w:pPr>
            <w:r>
              <w:rPr>
                <w:color w:val="FFFFFF"/>
              </w:rPr>
            </w:r>
            <w:r>
              <w:rPr>
                <w:b/>
                <w:color w:val="FFFFFF"/>
                <w:sz w:val="15"/>
              </w:rPr>
              <w:t>Interest Expenses / Revenue (%)</w:t>
            </w:r>
          </w:p>
        </w:tc>
        <w:tc>
          <w:tcPr>
            <w:tcW w:type="dxa" w:w="2091"/>
            <w:vAlign w:val="center"/>
            <w:shd w:fill="1F4E79"/>
          </w:tcPr>
          <w:p>
            <w:pPr>
              <w:jc w:val="center"/>
            </w:pPr>
            <w:r>
              <w:rPr>
                <w:color w:val="FFFFFF"/>
              </w:rPr>
            </w:r>
            <w:r>
              <w:rPr>
                <w:b/>
                <w:color w:val="FFFFFF"/>
                <w:sz w:val="15"/>
              </w:rPr>
              <w:t>Fiscal Deficit / GDP (%)</w:t>
            </w:r>
          </w:p>
        </w:tc>
        <w:tc>
          <w:tcPr>
            <w:tcW w:type="dxa" w:w="2091"/>
            <w:vAlign w:val="center"/>
            <w:shd w:fill="1F4E79"/>
          </w:tcPr>
          <w:p>
            <w:pPr>
              <w:jc w:val="center"/>
            </w:pPr>
            <w:r>
              <w:rPr>
                <w:color w:val="FFFFFF"/>
              </w:rPr>
            </w:r>
            <w:r>
              <w:rPr>
                <w:b/>
                <w:color w:val="FFFFFF"/>
                <w:sz w:val="15"/>
              </w:rPr>
              <w:t>Real GDP Growth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36.40</w:t>
            </w:r>
          </w:p>
        </w:tc>
        <w:tc>
          <w:tcPr>
            <w:tcW w:type="dxa" w:w="2091"/>
            <w:vAlign w:val="center"/>
          </w:tcPr>
          <w:p>
            <w:pPr>
              <w:jc w:val="center"/>
            </w:pPr>
            <w:r/>
            <w:r>
              <w:rPr>
                <w:b w:val="0"/>
                <w:sz w:val="14"/>
              </w:rPr>
              <w:t>5.40</w:t>
            </w:r>
          </w:p>
        </w:tc>
        <w:tc>
          <w:tcPr>
            <w:tcW w:type="dxa" w:w="2091"/>
            <w:vAlign w:val="center"/>
          </w:tcPr>
          <w:p>
            <w:pPr>
              <w:jc w:val="center"/>
            </w:pPr>
            <w:r/>
            <w:r>
              <w:rPr>
                <w:b w:val="0"/>
                <w:sz w:val="14"/>
              </w:rPr>
              <w:t>-2.80</w:t>
            </w:r>
          </w:p>
        </w:tc>
        <w:tc>
          <w:tcPr>
            <w:tcW w:type="dxa" w:w="2091"/>
            <w:vAlign w:val="center"/>
          </w:tcPr>
          <w:p>
            <w:pPr>
              <w:jc w:val="center"/>
            </w:pPr>
            <w:r/>
            <w:r>
              <w:rPr>
                <w:b w:val="0"/>
                <w:sz w:val="14"/>
              </w:rPr>
              <w:t>6.98</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36.70</w:t>
            </w:r>
          </w:p>
        </w:tc>
        <w:tc>
          <w:tcPr>
            <w:tcW w:type="dxa" w:w="2091"/>
            <w:vAlign w:val="center"/>
          </w:tcPr>
          <w:p>
            <w:pPr>
              <w:jc w:val="center"/>
            </w:pPr>
            <w:r/>
            <w:r>
              <w:rPr>
                <w:b w:val="0"/>
                <w:sz w:val="14"/>
              </w:rPr>
              <w:t>5.80</w:t>
            </w:r>
          </w:p>
        </w:tc>
        <w:tc>
          <w:tcPr>
            <w:tcW w:type="dxa" w:w="2091"/>
            <w:vAlign w:val="center"/>
          </w:tcPr>
          <w:p>
            <w:pPr>
              <w:jc w:val="center"/>
            </w:pPr>
            <w:r/>
            <w:r>
              <w:rPr>
                <w:b w:val="0"/>
                <w:sz w:val="14"/>
              </w:rPr>
              <w:t>-3.70</w:t>
            </w:r>
          </w:p>
        </w:tc>
        <w:tc>
          <w:tcPr>
            <w:tcW w:type="dxa" w:w="2091"/>
            <w:vAlign w:val="center"/>
          </w:tcPr>
          <w:p>
            <w:pPr>
              <w:jc w:val="center"/>
            </w:pPr>
            <w:r/>
            <w:r>
              <w:rPr>
                <w:b w:val="0"/>
                <w:sz w:val="14"/>
              </w:rPr>
              <w:t>6.77</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36.80</w:t>
            </w:r>
          </w:p>
        </w:tc>
        <w:tc>
          <w:tcPr>
            <w:tcW w:type="dxa" w:w="2091"/>
            <w:vAlign w:val="center"/>
          </w:tcPr>
          <w:p>
            <w:pPr>
              <w:jc w:val="center"/>
            </w:pPr>
            <w:r/>
            <w:r>
              <w:rPr>
                <w:b w:val="0"/>
                <w:sz w:val="14"/>
              </w:rPr>
              <w:t>6.00</w:t>
            </w:r>
          </w:p>
        </w:tc>
        <w:tc>
          <w:tcPr>
            <w:tcW w:type="dxa" w:w="2091"/>
            <w:vAlign w:val="center"/>
          </w:tcPr>
          <w:p>
            <w:pPr>
              <w:jc w:val="center"/>
            </w:pPr>
            <w:r/>
            <w:r>
              <w:rPr>
                <w:b w:val="0"/>
                <w:sz w:val="14"/>
              </w:rPr>
              <w:t>-3.90</w:t>
            </w:r>
          </w:p>
        </w:tc>
        <w:tc>
          <w:tcPr>
            <w:tcW w:type="dxa" w:w="2091"/>
            <w:vAlign w:val="center"/>
          </w:tcPr>
          <w:p>
            <w:pPr>
              <w:jc w:val="center"/>
            </w:pPr>
            <w:r/>
            <w:r>
              <w:rPr>
                <w:b w:val="0"/>
                <w:sz w:val="14"/>
              </w:rPr>
              <w:t>6.89</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37.90</w:t>
            </w:r>
          </w:p>
        </w:tc>
        <w:tc>
          <w:tcPr>
            <w:tcW w:type="dxa" w:w="2091"/>
            <w:vAlign w:val="center"/>
          </w:tcPr>
          <w:p>
            <w:pPr>
              <w:jc w:val="center"/>
            </w:pPr>
            <w:r/>
            <w:r>
              <w:rPr>
                <w:b w:val="0"/>
                <w:sz w:val="14"/>
              </w:rPr>
              <w:t>6.20</w:t>
            </w:r>
          </w:p>
        </w:tc>
        <w:tc>
          <w:tcPr>
            <w:tcW w:type="dxa" w:w="2091"/>
            <w:vAlign w:val="center"/>
          </w:tcPr>
          <w:p>
            <w:pPr>
              <w:jc w:val="center"/>
            </w:pPr>
            <w:r/>
            <w:r>
              <w:rPr>
                <w:b w:val="0"/>
                <w:sz w:val="14"/>
              </w:rPr>
              <w:t>-4.80</w:t>
            </w:r>
          </w:p>
        </w:tc>
        <w:tc>
          <w:tcPr>
            <w:tcW w:type="dxa" w:w="2091"/>
            <w:vAlign w:val="center"/>
          </w:tcPr>
          <w:p>
            <w:pPr>
              <w:jc w:val="center"/>
            </w:pPr>
            <w:r/>
            <w:r>
              <w:rPr>
                <w:b w:val="0"/>
                <w:sz w:val="14"/>
              </w:rPr>
              <w:t>6.76</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40.20</w:t>
            </w:r>
          </w:p>
        </w:tc>
        <w:tc>
          <w:tcPr>
            <w:tcW w:type="dxa" w:w="2091"/>
            <w:vAlign w:val="center"/>
          </w:tcPr>
          <w:p>
            <w:pPr>
              <w:jc w:val="center"/>
            </w:pPr>
            <w:r/>
            <w:r>
              <w:rPr>
                <w:b w:val="0"/>
                <w:sz w:val="14"/>
              </w:rPr>
              <w:t>6.40</w:t>
            </w:r>
          </w:p>
        </w:tc>
        <w:tc>
          <w:tcPr>
            <w:tcW w:type="dxa" w:w="2091"/>
            <w:vAlign w:val="center"/>
          </w:tcPr>
          <w:p>
            <w:pPr>
              <w:jc w:val="center"/>
            </w:pPr>
            <w:r/>
            <w:r>
              <w:rPr>
                <w:b w:val="0"/>
                <w:sz w:val="14"/>
              </w:rPr>
              <w:t>-6.30</w:t>
            </w:r>
          </w:p>
        </w:tc>
        <w:tc>
          <w:tcPr>
            <w:tcW w:type="dxa" w:w="2091"/>
            <w:vAlign w:val="center"/>
          </w:tcPr>
          <w:p>
            <w:pPr>
              <w:jc w:val="center"/>
            </w:pPr>
            <w:r/>
            <w:r>
              <w:rPr>
                <w:b w:val="0"/>
                <w:sz w:val="14"/>
              </w:rPr>
              <w:t>6.07</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43.10</w:t>
            </w:r>
          </w:p>
        </w:tc>
        <w:tc>
          <w:tcPr>
            <w:tcW w:type="dxa" w:w="2091"/>
            <w:vAlign w:val="center"/>
          </w:tcPr>
          <w:p>
            <w:pPr>
              <w:jc w:val="center"/>
            </w:pPr>
            <w:r/>
            <w:r>
              <w:rPr>
                <w:b w:val="0"/>
                <w:sz w:val="14"/>
              </w:rPr>
              <w:t>7.20</w:t>
            </w:r>
          </w:p>
        </w:tc>
        <w:tc>
          <w:tcPr>
            <w:tcW w:type="dxa" w:w="2091"/>
            <w:vAlign w:val="center"/>
          </w:tcPr>
          <w:p>
            <w:pPr>
              <w:jc w:val="center"/>
            </w:pPr>
            <w:r/>
            <w:r>
              <w:rPr>
                <w:b w:val="0"/>
                <w:sz w:val="14"/>
              </w:rPr>
              <w:t>-11.20</w:t>
            </w:r>
          </w:p>
        </w:tc>
        <w:tc>
          <w:tcPr>
            <w:tcW w:type="dxa" w:w="2091"/>
            <w:vAlign w:val="center"/>
          </w:tcPr>
          <w:p>
            <w:pPr>
              <w:jc w:val="center"/>
            </w:pPr>
            <w:r/>
            <w:r>
              <w:rPr>
                <w:b w:val="0"/>
                <w:sz w:val="14"/>
              </w:rPr>
              <w:t>2.34</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45.40</w:t>
            </w:r>
          </w:p>
        </w:tc>
        <w:tc>
          <w:tcPr>
            <w:tcW w:type="dxa" w:w="2091"/>
            <w:vAlign w:val="center"/>
          </w:tcPr>
          <w:p>
            <w:pPr>
              <w:jc w:val="center"/>
            </w:pPr>
            <w:r/>
            <w:r>
              <w:rPr>
                <w:b w:val="0"/>
                <w:sz w:val="14"/>
              </w:rPr>
              <w:t>7.10</w:t>
            </w:r>
          </w:p>
        </w:tc>
        <w:tc>
          <w:tcPr>
            <w:tcW w:type="dxa" w:w="2091"/>
            <w:vAlign w:val="center"/>
          </w:tcPr>
          <w:p>
            <w:pPr>
              <w:jc w:val="center"/>
            </w:pPr>
            <w:r/>
            <w:r>
              <w:rPr>
                <w:b w:val="0"/>
                <w:sz w:val="14"/>
              </w:rPr>
              <w:t>-9.60</w:t>
            </w:r>
          </w:p>
        </w:tc>
        <w:tc>
          <w:tcPr>
            <w:tcW w:type="dxa" w:w="2091"/>
            <w:vAlign w:val="center"/>
          </w:tcPr>
          <w:p>
            <w:pPr>
              <w:jc w:val="center"/>
            </w:pPr>
            <w:r/>
            <w:r>
              <w:rPr>
                <w:b w:val="0"/>
                <w:sz w:val="14"/>
              </w:rPr>
              <w:t>8.57</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47.60</w:t>
            </w:r>
          </w:p>
        </w:tc>
        <w:tc>
          <w:tcPr>
            <w:tcW w:type="dxa" w:w="2091"/>
            <w:vAlign w:val="center"/>
          </w:tcPr>
          <w:p>
            <w:pPr>
              <w:jc w:val="center"/>
            </w:pPr>
            <w:r/>
            <w:r>
              <w:rPr>
                <w:b w:val="0"/>
                <w:sz w:val="14"/>
              </w:rPr>
              <w:t>7.50</w:t>
            </w:r>
          </w:p>
        </w:tc>
        <w:tc>
          <w:tcPr>
            <w:tcW w:type="dxa" w:w="2091"/>
            <w:vAlign w:val="center"/>
          </w:tcPr>
          <w:p>
            <w:pPr>
              <w:jc w:val="center"/>
            </w:pPr>
            <w:r/>
            <w:r>
              <w:rPr>
                <w:b w:val="0"/>
                <w:sz w:val="14"/>
              </w:rPr>
              <w:t>-5.90</w:t>
            </w:r>
          </w:p>
        </w:tc>
        <w:tc>
          <w:tcPr>
            <w:tcW w:type="dxa" w:w="2091"/>
            <w:vAlign w:val="center"/>
          </w:tcPr>
          <w:p>
            <w:pPr>
              <w:jc w:val="center"/>
            </w:pPr>
            <w:r/>
            <w:r>
              <w:rPr>
                <w:b w:val="0"/>
                <w:sz w:val="14"/>
              </w:rPr>
              <w:t>3.13</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49.30</w:t>
            </w:r>
          </w:p>
        </w:tc>
        <w:tc>
          <w:tcPr>
            <w:tcW w:type="dxa" w:w="2091"/>
            <w:vAlign w:val="center"/>
          </w:tcPr>
          <w:p>
            <w:pPr>
              <w:jc w:val="center"/>
            </w:pPr>
            <w:r/>
            <w:r>
              <w:rPr>
                <w:b w:val="0"/>
                <w:sz w:val="14"/>
              </w:rPr>
              <w:t>8.10</w:t>
            </w:r>
          </w:p>
        </w:tc>
        <w:tc>
          <w:tcPr>
            <w:tcW w:type="dxa" w:w="2091"/>
            <w:vAlign w:val="center"/>
          </w:tcPr>
          <w:p>
            <w:pPr>
              <w:jc w:val="center"/>
            </w:pPr>
            <w:r/>
            <w:r>
              <w:rPr>
                <w:b w:val="0"/>
                <w:sz w:val="14"/>
              </w:rPr>
              <w:t>-7.30</w:t>
            </w:r>
          </w:p>
        </w:tc>
        <w:tc>
          <w:tcPr>
            <w:tcW w:type="dxa" w:w="2091"/>
            <w:vAlign w:val="center"/>
          </w:tcPr>
          <w:p>
            <w:pPr>
              <w:jc w:val="center"/>
            </w:pPr>
            <w:r/>
            <w:r>
              <w:rPr>
                <w:b w:val="0"/>
                <w:sz w:val="14"/>
              </w:rPr>
              <w:t>5.42</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60.90</w:t>
            </w:r>
          </w:p>
        </w:tc>
        <w:tc>
          <w:tcPr>
            <w:tcW w:type="dxa" w:w="2091"/>
            <w:vAlign w:val="center"/>
          </w:tcPr>
          <w:p>
            <w:pPr>
              <w:jc w:val="center"/>
            </w:pPr>
            <w:r/>
            <w:r>
              <w:rPr>
                <w:b w:val="0"/>
                <w:sz w:val="14"/>
              </w:rPr>
              <w:t>8.70</w:t>
            </w:r>
          </w:p>
        </w:tc>
        <w:tc>
          <w:tcPr>
            <w:tcW w:type="dxa" w:w="2091"/>
            <w:vAlign w:val="center"/>
          </w:tcPr>
          <w:p>
            <w:pPr>
              <w:jc w:val="center"/>
            </w:pPr>
            <w:r/>
            <w:r>
              <w:rPr>
                <w:b w:val="0"/>
                <w:sz w:val="14"/>
              </w:rPr>
              <w:t>-6.70</w:t>
            </w:r>
          </w:p>
        </w:tc>
        <w:tc>
          <w:tcPr>
            <w:tcW w:type="dxa" w:w="2091"/>
            <w:vAlign w:val="center"/>
          </w:tcPr>
          <w:p>
            <w:pPr>
              <w:jc w:val="center"/>
            </w:pPr>
            <w:r/>
            <w:r>
              <w:rPr>
                <w:b w:val="0"/>
                <w:sz w:val="14"/>
              </w:rPr>
              <w:t>4.96</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68.40</w:t>
            </w:r>
          </w:p>
        </w:tc>
        <w:tc>
          <w:tcPr>
            <w:tcW w:type="dxa" w:w="2091"/>
            <w:vAlign w:val="center"/>
          </w:tcPr>
          <w:p>
            <w:pPr>
              <w:jc w:val="center"/>
            </w:pPr>
            <w:r/>
            <w:r>
              <w:rPr>
                <w:b w:val="0"/>
                <w:sz w:val="14"/>
              </w:rPr>
              <w:t>9.20</w:t>
            </w:r>
          </w:p>
        </w:tc>
        <w:tc>
          <w:tcPr>
            <w:tcW w:type="dxa" w:w="2091"/>
            <w:vAlign w:val="center"/>
          </w:tcPr>
          <w:p>
            <w:pPr>
              <w:jc w:val="center"/>
            </w:pPr>
            <w:r/>
            <w:r>
              <w:rPr>
                <w:b w:val="0"/>
                <w:sz w:val="14"/>
              </w:rPr>
              <w:t>-7.40</w:t>
            </w:r>
          </w:p>
        </w:tc>
        <w:tc>
          <w:tcPr>
            <w:tcW w:type="dxa" w:w="2091"/>
            <w:vAlign w:val="center"/>
          </w:tcPr>
          <w:p>
            <w:pPr>
              <w:jc w:val="center"/>
            </w:pPr>
            <w:r/>
            <w:r>
              <w:rPr>
                <w:b w:val="0"/>
                <w:sz w:val="14"/>
              </w:rPr>
              <w:t>4.96</w:t>
            </w:r>
          </w:p>
        </w:tc>
      </w:tr>
    </w:tbl>
    <w:p>
      <w:pPr>
        <w:spacing w:after="100" w:line="252" w:lineRule="auto"/>
      </w:pPr>
      <w:r>
        <w:t>Status: historical series reproduced from the China master macro database used for this report. Definitions must remain consistent when the database is refreshed.</w:t>
      </w:r>
    </w:p>
    <w:p>
      <w:r>
        <w:br w:type="page"/>
      </w:r>
    </w:p>
    <w:p>
      <w:r>
        <w:rPr>
          <w:b/>
          <w:color w:val="595959"/>
          <w:sz w:val="16"/>
        </w:rPr>
        <w:t>CHAPTER 34  /  PAGE 152  /  PROPERTY DATABASE</w:t>
      </w:r>
    </w:p>
    <w:p>
      <w:pPr>
        <w:pStyle w:val="Title"/>
      </w:pPr>
      <w:r>
        <w:t>Property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Private Investment Growth (%)</w:t>
            </w:r>
          </w:p>
        </w:tc>
        <w:tc>
          <w:tcPr>
            <w:tcW w:type="dxa" w:w="2091"/>
            <w:vAlign w:val="center"/>
            <w:shd w:fill="1F4E79"/>
          </w:tcPr>
          <w:p>
            <w:pPr>
              <w:jc w:val="center"/>
            </w:pPr>
            <w:r>
              <w:rPr>
                <w:color w:val="FFFFFF"/>
              </w:rPr>
            </w:r>
            <w:r>
              <w:rPr>
                <w:b/>
                <w:color w:val="FFFFFF"/>
                <w:sz w:val="15"/>
              </w:rPr>
              <w:t>Credit Growth (%)</w:t>
            </w:r>
          </w:p>
        </w:tc>
        <w:tc>
          <w:tcPr>
            <w:tcW w:type="dxa" w:w="2091"/>
            <w:vAlign w:val="center"/>
            <w:shd w:fill="1F4E79"/>
          </w:tcPr>
          <w:p>
            <w:pPr>
              <w:jc w:val="center"/>
            </w:pPr>
            <w:r>
              <w:rPr>
                <w:color w:val="FFFFFF"/>
              </w:rPr>
            </w:r>
            <w:r>
              <w:rPr>
                <w:b/>
                <w:color w:val="FFFFFF"/>
                <w:sz w:val="15"/>
              </w:rPr>
              <w:t>Government Debt / GDP (%)</w:t>
            </w:r>
          </w:p>
        </w:tc>
        <w:tc>
          <w:tcPr>
            <w:tcW w:type="dxa" w:w="2091"/>
            <w:vAlign w:val="center"/>
            <w:shd w:fill="1F4E79"/>
          </w:tcPr>
          <w:p>
            <w:pPr>
              <w:jc w:val="center"/>
            </w:pPr>
            <w:r>
              <w:rPr>
                <w:color w:val="FFFFFF"/>
              </w:rPr>
            </w:r>
            <w:r>
              <w:rPr>
                <w:b/>
                <w:color w:val="FFFFFF"/>
                <w:sz w:val="15"/>
              </w:rPr>
              <w:t>Real GDP Growth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10.10</w:t>
            </w:r>
          </w:p>
        </w:tc>
        <w:tc>
          <w:tcPr>
            <w:tcW w:type="dxa" w:w="2091"/>
            <w:vAlign w:val="center"/>
          </w:tcPr>
          <w:p>
            <w:pPr>
              <w:jc w:val="center"/>
            </w:pPr>
            <w:r/>
            <w:r>
              <w:rPr>
                <w:b w:val="0"/>
                <w:sz w:val="14"/>
              </w:rPr>
              <w:t>12.40</w:t>
            </w:r>
          </w:p>
        </w:tc>
        <w:tc>
          <w:tcPr>
            <w:tcW w:type="dxa" w:w="2091"/>
            <w:vAlign w:val="center"/>
          </w:tcPr>
          <w:p>
            <w:pPr>
              <w:jc w:val="center"/>
            </w:pPr>
            <w:r/>
            <w:r>
              <w:rPr>
                <w:b w:val="0"/>
                <w:sz w:val="14"/>
              </w:rPr>
              <w:t>36.40</w:t>
            </w:r>
          </w:p>
        </w:tc>
        <w:tc>
          <w:tcPr>
            <w:tcW w:type="dxa" w:w="2091"/>
            <w:vAlign w:val="center"/>
          </w:tcPr>
          <w:p>
            <w:pPr>
              <w:jc w:val="center"/>
            </w:pPr>
            <w:r/>
            <w:r>
              <w:rPr>
                <w:b w:val="0"/>
                <w:sz w:val="14"/>
              </w:rPr>
              <w:t>6.98</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3.20</w:t>
            </w:r>
          </w:p>
        </w:tc>
        <w:tc>
          <w:tcPr>
            <w:tcW w:type="dxa" w:w="2091"/>
            <w:vAlign w:val="center"/>
          </w:tcPr>
          <w:p>
            <w:pPr>
              <w:jc w:val="center"/>
            </w:pPr>
            <w:r/>
            <w:r>
              <w:rPr>
                <w:b w:val="0"/>
                <w:sz w:val="14"/>
              </w:rPr>
              <w:t>12.80</w:t>
            </w:r>
          </w:p>
        </w:tc>
        <w:tc>
          <w:tcPr>
            <w:tcW w:type="dxa" w:w="2091"/>
            <w:vAlign w:val="center"/>
          </w:tcPr>
          <w:p>
            <w:pPr>
              <w:jc w:val="center"/>
            </w:pPr>
            <w:r/>
            <w:r>
              <w:rPr>
                <w:b w:val="0"/>
                <w:sz w:val="14"/>
              </w:rPr>
              <w:t>36.70</w:t>
            </w:r>
          </w:p>
        </w:tc>
        <w:tc>
          <w:tcPr>
            <w:tcW w:type="dxa" w:w="2091"/>
            <w:vAlign w:val="center"/>
          </w:tcPr>
          <w:p>
            <w:pPr>
              <w:jc w:val="center"/>
            </w:pPr>
            <w:r/>
            <w:r>
              <w:rPr>
                <w:b w:val="0"/>
                <w:sz w:val="14"/>
              </w:rPr>
              <w:t>6.77</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6.00</w:t>
            </w:r>
          </w:p>
        </w:tc>
        <w:tc>
          <w:tcPr>
            <w:tcW w:type="dxa" w:w="2091"/>
            <w:vAlign w:val="center"/>
          </w:tcPr>
          <w:p>
            <w:pPr>
              <w:jc w:val="center"/>
            </w:pPr>
            <w:r/>
            <w:r>
              <w:rPr>
                <w:b w:val="0"/>
                <w:sz w:val="14"/>
              </w:rPr>
              <w:t>12.00</w:t>
            </w:r>
          </w:p>
        </w:tc>
        <w:tc>
          <w:tcPr>
            <w:tcW w:type="dxa" w:w="2091"/>
            <w:vAlign w:val="center"/>
          </w:tcPr>
          <w:p>
            <w:pPr>
              <w:jc w:val="center"/>
            </w:pPr>
            <w:r/>
            <w:r>
              <w:rPr>
                <w:b w:val="0"/>
                <w:sz w:val="14"/>
              </w:rPr>
              <w:t>36.80</w:t>
            </w:r>
          </w:p>
        </w:tc>
        <w:tc>
          <w:tcPr>
            <w:tcW w:type="dxa" w:w="2091"/>
            <w:vAlign w:val="center"/>
          </w:tcPr>
          <w:p>
            <w:pPr>
              <w:jc w:val="center"/>
            </w:pPr>
            <w:r/>
            <w:r>
              <w:rPr>
                <w:b w:val="0"/>
                <w:sz w:val="14"/>
              </w:rPr>
              <w:t>6.89</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8.70</w:t>
            </w:r>
          </w:p>
        </w:tc>
        <w:tc>
          <w:tcPr>
            <w:tcW w:type="dxa" w:w="2091"/>
            <w:vAlign w:val="center"/>
          </w:tcPr>
          <w:p>
            <w:pPr>
              <w:jc w:val="center"/>
            </w:pPr>
            <w:r/>
            <w:r>
              <w:rPr>
                <w:b w:val="0"/>
                <w:sz w:val="14"/>
              </w:rPr>
              <w:t>10.30</w:t>
            </w:r>
          </w:p>
        </w:tc>
        <w:tc>
          <w:tcPr>
            <w:tcW w:type="dxa" w:w="2091"/>
            <w:vAlign w:val="center"/>
          </w:tcPr>
          <w:p>
            <w:pPr>
              <w:jc w:val="center"/>
            </w:pPr>
            <w:r/>
            <w:r>
              <w:rPr>
                <w:b w:val="0"/>
                <w:sz w:val="14"/>
              </w:rPr>
              <w:t>37.90</w:t>
            </w:r>
          </w:p>
        </w:tc>
        <w:tc>
          <w:tcPr>
            <w:tcW w:type="dxa" w:w="2091"/>
            <w:vAlign w:val="center"/>
          </w:tcPr>
          <w:p>
            <w:pPr>
              <w:jc w:val="center"/>
            </w:pPr>
            <w:r/>
            <w:r>
              <w:rPr>
                <w:b w:val="0"/>
                <w:sz w:val="14"/>
              </w:rPr>
              <w:t>6.76</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4.70</w:t>
            </w:r>
          </w:p>
        </w:tc>
        <w:tc>
          <w:tcPr>
            <w:tcW w:type="dxa" w:w="2091"/>
            <w:vAlign w:val="center"/>
          </w:tcPr>
          <w:p>
            <w:pPr>
              <w:jc w:val="center"/>
            </w:pPr>
            <w:r/>
            <w:r>
              <w:rPr>
                <w:b w:val="0"/>
                <w:sz w:val="14"/>
              </w:rPr>
              <w:t>10.70</w:t>
            </w:r>
          </w:p>
        </w:tc>
        <w:tc>
          <w:tcPr>
            <w:tcW w:type="dxa" w:w="2091"/>
            <w:vAlign w:val="center"/>
          </w:tcPr>
          <w:p>
            <w:pPr>
              <w:jc w:val="center"/>
            </w:pPr>
            <w:r/>
            <w:r>
              <w:rPr>
                <w:b w:val="0"/>
                <w:sz w:val="14"/>
              </w:rPr>
              <w:t>40.20</w:t>
            </w:r>
          </w:p>
        </w:tc>
        <w:tc>
          <w:tcPr>
            <w:tcW w:type="dxa" w:w="2091"/>
            <w:vAlign w:val="center"/>
          </w:tcPr>
          <w:p>
            <w:pPr>
              <w:jc w:val="center"/>
            </w:pPr>
            <w:r/>
            <w:r>
              <w:rPr>
                <w:b w:val="0"/>
                <w:sz w:val="14"/>
              </w:rPr>
              <w:t>6.07</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1.00</w:t>
            </w:r>
          </w:p>
        </w:tc>
        <w:tc>
          <w:tcPr>
            <w:tcW w:type="dxa" w:w="2091"/>
            <w:vAlign w:val="center"/>
          </w:tcPr>
          <w:p>
            <w:pPr>
              <w:jc w:val="center"/>
            </w:pPr>
            <w:r/>
            <w:r>
              <w:rPr>
                <w:b w:val="0"/>
                <w:sz w:val="14"/>
              </w:rPr>
              <w:t>13.30</w:t>
            </w:r>
          </w:p>
        </w:tc>
        <w:tc>
          <w:tcPr>
            <w:tcW w:type="dxa" w:w="2091"/>
            <w:vAlign w:val="center"/>
          </w:tcPr>
          <w:p>
            <w:pPr>
              <w:jc w:val="center"/>
            </w:pPr>
            <w:r/>
            <w:r>
              <w:rPr>
                <w:b w:val="0"/>
                <w:sz w:val="14"/>
              </w:rPr>
              <w:t>43.10</w:t>
            </w:r>
          </w:p>
        </w:tc>
        <w:tc>
          <w:tcPr>
            <w:tcW w:type="dxa" w:w="2091"/>
            <w:vAlign w:val="center"/>
          </w:tcPr>
          <w:p>
            <w:pPr>
              <w:jc w:val="center"/>
            </w:pPr>
            <w:r/>
            <w:r>
              <w:rPr>
                <w:b w:val="0"/>
                <w:sz w:val="14"/>
              </w:rPr>
              <w:t>2.34</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7.00</w:t>
            </w:r>
          </w:p>
        </w:tc>
        <w:tc>
          <w:tcPr>
            <w:tcW w:type="dxa" w:w="2091"/>
            <w:vAlign w:val="center"/>
          </w:tcPr>
          <w:p>
            <w:pPr>
              <w:jc w:val="center"/>
            </w:pPr>
            <w:r/>
            <w:r>
              <w:rPr>
                <w:b w:val="0"/>
                <w:sz w:val="14"/>
              </w:rPr>
              <w:t>10.30</w:t>
            </w:r>
          </w:p>
        </w:tc>
        <w:tc>
          <w:tcPr>
            <w:tcW w:type="dxa" w:w="2091"/>
            <w:vAlign w:val="center"/>
          </w:tcPr>
          <w:p>
            <w:pPr>
              <w:jc w:val="center"/>
            </w:pPr>
            <w:r/>
            <w:r>
              <w:rPr>
                <w:b w:val="0"/>
                <w:sz w:val="14"/>
              </w:rPr>
              <w:t>45.40</w:t>
            </w:r>
          </w:p>
        </w:tc>
        <w:tc>
          <w:tcPr>
            <w:tcW w:type="dxa" w:w="2091"/>
            <w:vAlign w:val="center"/>
          </w:tcPr>
          <w:p>
            <w:pPr>
              <w:jc w:val="center"/>
            </w:pPr>
            <w:r/>
            <w:r>
              <w:rPr>
                <w:b w:val="0"/>
                <w:sz w:val="14"/>
              </w:rPr>
              <w:t>8.57</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0.90</w:t>
            </w:r>
          </w:p>
        </w:tc>
        <w:tc>
          <w:tcPr>
            <w:tcW w:type="dxa" w:w="2091"/>
            <w:vAlign w:val="center"/>
          </w:tcPr>
          <w:p>
            <w:pPr>
              <w:jc w:val="center"/>
            </w:pPr>
            <w:r/>
            <w:r>
              <w:rPr>
                <w:b w:val="0"/>
                <w:sz w:val="14"/>
              </w:rPr>
              <w:t>9.60</w:t>
            </w:r>
          </w:p>
        </w:tc>
        <w:tc>
          <w:tcPr>
            <w:tcW w:type="dxa" w:w="2091"/>
            <w:vAlign w:val="center"/>
          </w:tcPr>
          <w:p>
            <w:pPr>
              <w:jc w:val="center"/>
            </w:pPr>
            <w:r/>
            <w:r>
              <w:rPr>
                <w:b w:val="0"/>
                <w:sz w:val="14"/>
              </w:rPr>
              <w:t>47.60</w:t>
            </w:r>
          </w:p>
        </w:tc>
        <w:tc>
          <w:tcPr>
            <w:tcW w:type="dxa" w:w="2091"/>
            <w:vAlign w:val="center"/>
          </w:tcPr>
          <w:p>
            <w:pPr>
              <w:jc w:val="center"/>
            </w:pPr>
            <w:r/>
            <w:r>
              <w:rPr>
                <w:b w:val="0"/>
                <w:sz w:val="14"/>
              </w:rPr>
              <w:t>3.13</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-0.40</w:t>
            </w:r>
          </w:p>
        </w:tc>
        <w:tc>
          <w:tcPr>
            <w:tcW w:type="dxa" w:w="2091"/>
            <w:vAlign w:val="center"/>
          </w:tcPr>
          <w:p>
            <w:pPr>
              <w:jc w:val="center"/>
            </w:pPr>
            <w:r/>
            <w:r>
              <w:rPr>
                <w:b w:val="0"/>
                <w:sz w:val="14"/>
              </w:rPr>
              <w:t>9.50</w:t>
            </w:r>
          </w:p>
        </w:tc>
        <w:tc>
          <w:tcPr>
            <w:tcW w:type="dxa" w:w="2091"/>
            <w:vAlign w:val="center"/>
          </w:tcPr>
          <w:p>
            <w:pPr>
              <w:jc w:val="center"/>
            </w:pPr>
            <w:r/>
            <w:r>
              <w:rPr>
                <w:b w:val="0"/>
                <w:sz w:val="14"/>
              </w:rPr>
              <w:t>49.30</w:t>
            </w:r>
          </w:p>
        </w:tc>
        <w:tc>
          <w:tcPr>
            <w:tcW w:type="dxa" w:w="2091"/>
            <w:vAlign w:val="center"/>
          </w:tcPr>
          <w:p>
            <w:pPr>
              <w:jc w:val="center"/>
            </w:pPr>
            <w:r/>
            <w:r>
              <w:rPr>
                <w:b w:val="0"/>
                <w:sz w:val="14"/>
              </w:rPr>
              <w:t>5.42</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-0.10</w:t>
            </w:r>
          </w:p>
        </w:tc>
        <w:tc>
          <w:tcPr>
            <w:tcW w:type="dxa" w:w="2091"/>
            <w:vAlign w:val="center"/>
          </w:tcPr>
          <w:p>
            <w:pPr>
              <w:jc w:val="center"/>
            </w:pPr>
            <w:r/>
            <w:r>
              <w:rPr>
                <w:b w:val="0"/>
                <w:sz w:val="14"/>
              </w:rPr>
              <w:t>8.00</w:t>
            </w:r>
          </w:p>
        </w:tc>
        <w:tc>
          <w:tcPr>
            <w:tcW w:type="dxa" w:w="2091"/>
            <w:vAlign w:val="center"/>
          </w:tcPr>
          <w:p>
            <w:pPr>
              <w:jc w:val="center"/>
            </w:pPr>
            <w:r/>
            <w:r>
              <w:rPr>
                <w:b w:val="0"/>
                <w:sz w:val="14"/>
              </w:rPr>
              <w:t>60.90</w:t>
            </w:r>
          </w:p>
        </w:tc>
        <w:tc>
          <w:tcPr>
            <w:tcW w:type="dxa" w:w="2091"/>
            <w:vAlign w:val="center"/>
          </w:tcPr>
          <w:p>
            <w:pPr>
              <w:jc w:val="center"/>
            </w:pPr>
            <w:r/>
            <w:r>
              <w:rPr>
                <w:b w:val="0"/>
                <w:sz w:val="14"/>
              </w:rPr>
              <w:t>4.96</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-6.40</w:t>
            </w:r>
          </w:p>
        </w:tc>
        <w:tc>
          <w:tcPr>
            <w:tcW w:type="dxa" w:w="2091"/>
            <w:vAlign w:val="center"/>
          </w:tcPr>
          <w:p>
            <w:pPr>
              <w:jc w:val="center"/>
            </w:pPr>
            <w:r/>
            <w:r>
              <w:rPr>
                <w:b w:val="0"/>
                <w:sz w:val="14"/>
              </w:rPr>
              <w:t>8.30</w:t>
            </w:r>
          </w:p>
        </w:tc>
        <w:tc>
          <w:tcPr>
            <w:tcW w:type="dxa" w:w="2091"/>
            <w:vAlign w:val="center"/>
          </w:tcPr>
          <w:p>
            <w:pPr>
              <w:jc w:val="center"/>
            </w:pPr>
            <w:r/>
            <w:r>
              <w:rPr>
                <w:b w:val="0"/>
                <w:sz w:val="14"/>
              </w:rPr>
              <w:t>68.40</w:t>
            </w:r>
          </w:p>
        </w:tc>
        <w:tc>
          <w:tcPr>
            <w:tcW w:type="dxa" w:w="2091"/>
            <w:vAlign w:val="center"/>
          </w:tcPr>
          <w:p>
            <w:pPr>
              <w:jc w:val="center"/>
            </w:pPr>
            <w:r/>
            <w:r>
              <w:rPr>
                <w:b w:val="0"/>
                <w:sz w:val="14"/>
              </w:rPr>
              <w:t>4.96</w:t>
            </w:r>
          </w:p>
        </w:tc>
      </w:tr>
    </w:tbl>
    <w:p>
      <w:pPr>
        <w:spacing w:after="100" w:line="252" w:lineRule="auto"/>
      </w:pPr>
      <w:r>
        <w:t>Status: historical series reproduced from the China master macro database used for this report. Definitions must remain consistent when the database is refreshed.</w:t>
      </w:r>
    </w:p>
    <w:p>
      <w:r>
        <w:br w:type="page"/>
      </w:r>
    </w:p>
    <w:p>
      <w:r>
        <w:rPr>
          <w:b/>
          <w:color w:val="595959"/>
          <w:sz w:val="16"/>
        </w:rPr>
        <w:t>CHAPTER 34  /  PAGE 153  /  TRADE &amp; EXTERNAL DATABASE</w:t>
      </w:r>
    </w:p>
    <w:p>
      <w:pPr>
        <w:pStyle w:val="Title"/>
      </w:pPr>
      <w:r>
        <w:t>Trade &amp; External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Current Account / GDP (%)</w:t>
            </w:r>
          </w:p>
        </w:tc>
        <w:tc>
          <w:tcPr>
            <w:tcW w:type="dxa" w:w="2091"/>
            <w:vAlign w:val="center"/>
            <w:shd w:fill="1F4E79"/>
          </w:tcPr>
          <w:p>
            <w:pPr>
              <w:jc w:val="center"/>
            </w:pPr>
            <w:r>
              <w:rPr>
                <w:color w:val="FFFFFF"/>
              </w:rPr>
            </w:r>
            <w:r>
              <w:rPr>
                <w:b/>
                <w:color w:val="FFFFFF"/>
                <w:sz w:val="15"/>
              </w:rPr>
              <w:t>Trade Balance / GDP (%)</w:t>
            </w:r>
          </w:p>
        </w:tc>
        <w:tc>
          <w:tcPr>
            <w:tcW w:type="dxa" w:w="2091"/>
            <w:vAlign w:val="center"/>
            <w:shd w:fill="1F4E79"/>
          </w:tcPr>
          <w:p>
            <w:pPr>
              <w:jc w:val="center"/>
            </w:pPr>
            <w:r>
              <w:rPr>
                <w:color w:val="FFFFFF"/>
              </w:rPr>
            </w:r>
            <w:r>
              <w:rPr>
                <w:b/>
                <w:color w:val="FFFFFF"/>
                <w:sz w:val="15"/>
              </w:rPr>
              <w:t>External Debt / GDP (%)</w:t>
            </w:r>
          </w:p>
        </w:tc>
        <w:tc>
          <w:tcPr>
            <w:tcW w:type="dxa" w:w="2091"/>
            <w:vAlign w:val="center"/>
            <w:shd w:fill="1F4E79"/>
          </w:tcPr>
          <w:p>
            <w:pPr>
              <w:jc w:val="center"/>
            </w:pPr>
            <w:r>
              <w:rPr>
                <w:color w:val="FFFFFF"/>
              </w:rPr>
            </w:r>
            <w:r>
              <w:rPr>
                <w:b/>
                <w:color w:val="FFFFFF"/>
                <w:sz w:val="15"/>
              </w:rPr>
              <w:t>Real GDP Growth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2.60</w:t>
            </w:r>
          </w:p>
        </w:tc>
        <w:tc>
          <w:tcPr>
            <w:tcW w:type="dxa" w:w="2091"/>
            <w:vAlign w:val="center"/>
          </w:tcPr>
          <w:p>
            <w:pPr>
              <w:jc w:val="center"/>
            </w:pPr>
            <w:r/>
            <w:r>
              <w:rPr>
                <w:b w:val="0"/>
                <w:sz w:val="14"/>
              </w:rPr>
              <w:t>3.53</w:t>
            </w:r>
          </w:p>
        </w:tc>
        <w:tc>
          <w:tcPr>
            <w:tcW w:type="dxa" w:w="2091"/>
            <w:vAlign w:val="center"/>
          </w:tcPr>
          <w:p>
            <w:pPr>
              <w:jc w:val="center"/>
            </w:pPr>
            <w:r/>
            <w:r>
              <w:rPr>
                <w:b w:val="0"/>
                <w:sz w:val="14"/>
              </w:rPr>
              <w:t>12.20</w:t>
            </w:r>
          </w:p>
        </w:tc>
        <w:tc>
          <w:tcPr>
            <w:tcW w:type="dxa" w:w="2091"/>
            <w:vAlign w:val="center"/>
          </w:tcPr>
          <w:p>
            <w:pPr>
              <w:jc w:val="center"/>
            </w:pPr>
            <w:r/>
            <w:r>
              <w:rPr>
                <w:b w:val="0"/>
                <w:sz w:val="14"/>
              </w:rPr>
              <w:t>6.98</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1.67</w:t>
            </w:r>
          </w:p>
        </w:tc>
        <w:tc>
          <w:tcPr>
            <w:tcW w:type="dxa" w:w="2091"/>
            <w:vAlign w:val="center"/>
          </w:tcPr>
          <w:p>
            <w:pPr>
              <w:jc w:val="center"/>
            </w:pPr>
            <w:r/>
            <w:r>
              <w:rPr>
                <w:b w:val="0"/>
                <w:sz w:val="14"/>
              </w:rPr>
              <w:t>2.45</w:t>
            </w:r>
          </w:p>
        </w:tc>
        <w:tc>
          <w:tcPr>
            <w:tcW w:type="dxa" w:w="2091"/>
            <w:vAlign w:val="center"/>
          </w:tcPr>
          <w:p>
            <w:pPr>
              <w:jc w:val="center"/>
            </w:pPr>
            <w:r/>
            <w:r>
              <w:rPr>
                <w:b w:val="0"/>
                <w:sz w:val="14"/>
              </w:rPr>
              <w:t>12.60</w:t>
            </w:r>
          </w:p>
        </w:tc>
        <w:tc>
          <w:tcPr>
            <w:tcW w:type="dxa" w:w="2091"/>
            <w:vAlign w:val="center"/>
          </w:tcPr>
          <w:p>
            <w:pPr>
              <w:jc w:val="center"/>
            </w:pPr>
            <w:r/>
            <w:r>
              <w:rPr>
                <w:b w:val="0"/>
                <w:sz w:val="14"/>
              </w:rPr>
              <w:t>6.77</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1.50</w:t>
            </w:r>
          </w:p>
        </w:tc>
        <w:tc>
          <w:tcPr>
            <w:tcW w:type="dxa" w:w="2091"/>
            <w:vAlign w:val="center"/>
          </w:tcPr>
          <w:p>
            <w:pPr>
              <w:jc w:val="center"/>
            </w:pPr>
            <w:r/>
            <w:r>
              <w:rPr>
                <w:b w:val="0"/>
                <w:sz w:val="14"/>
              </w:rPr>
              <w:t>2.03</w:t>
            </w:r>
          </w:p>
        </w:tc>
        <w:tc>
          <w:tcPr>
            <w:tcW w:type="dxa" w:w="2091"/>
            <w:vAlign w:val="center"/>
          </w:tcPr>
          <w:p>
            <w:pPr>
              <w:jc w:val="center"/>
            </w:pPr>
            <w:r/>
            <w:r>
              <w:rPr>
                <w:b w:val="0"/>
                <w:sz w:val="14"/>
              </w:rPr>
              <w:t>13.70</w:t>
            </w:r>
          </w:p>
        </w:tc>
        <w:tc>
          <w:tcPr>
            <w:tcW w:type="dxa" w:w="2091"/>
            <w:vAlign w:val="center"/>
          </w:tcPr>
          <w:p>
            <w:pPr>
              <w:jc w:val="center"/>
            </w:pPr>
            <w:r/>
            <w:r>
              <w:rPr>
                <w:b w:val="0"/>
                <w:sz w:val="14"/>
              </w:rPr>
              <w:t>6.89</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0.17</w:t>
            </w:r>
          </w:p>
        </w:tc>
        <w:tc>
          <w:tcPr>
            <w:tcW w:type="dxa" w:w="2091"/>
            <w:vAlign w:val="center"/>
          </w:tcPr>
          <w:p>
            <w:pPr>
              <w:jc w:val="center"/>
            </w:pPr>
            <w:r/>
            <w:r>
              <w:rPr>
                <w:b w:val="0"/>
                <w:sz w:val="14"/>
              </w:rPr>
              <w:t>0.78</w:t>
            </w:r>
          </w:p>
        </w:tc>
        <w:tc>
          <w:tcPr>
            <w:tcW w:type="dxa" w:w="2091"/>
            <w:vAlign w:val="center"/>
          </w:tcPr>
          <w:p>
            <w:pPr>
              <w:jc w:val="center"/>
            </w:pPr>
            <w:r/>
            <w:r>
              <w:rPr>
                <w:b w:val="0"/>
                <w:sz w:val="14"/>
              </w:rPr>
              <w:t>13.90</w:t>
            </w:r>
          </w:p>
        </w:tc>
        <w:tc>
          <w:tcPr>
            <w:tcW w:type="dxa" w:w="2091"/>
            <w:vAlign w:val="center"/>
          </w:tcPr>
          <w:p>
            <w:pPr>
              <w:jc w:val="center"/>
            </w:pPr>
            <w:r/>
            <w:r>
              <w:rPr>
                <w:b w:val="0"/>
                <w:sz w:val="14"/>
              </w:rPr>
              <w:t>6.76</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0.62</w:t>
            </w:r>
          </w:p>
        </w:tc>
        <w:tc>
          <w:tcPr>
            <w:tcW w:type="dxa" w:w="2091"/>
            <w:vAlign w:val="center"/>
          </w:tcPr>
          <w:p>
            <w:pPr>
              <w:jc w:val="center"/>
            </w:pPr>
            <w:r/>
            <w:r>
              <w:rPr>
                <w:b w:val="0"/>
                <w:sz w:val="14"/>
              </w:rPr>
              <w:t>1.23</w:t>
            </w:r>
          </w:p>
        </w:tc>
        <w:tc>
          <w:tcPr>
            <w:tcW w:type="dxa" w:w="2091"/>
            <w:vAlign w:val="center"/>
          </w:tcPr>
          <w:p>
            <w:pPr>
              <w:jc w:val="center"/>
            </w:pPr>
            <w:r/>
            <w:r>
              <w:rPr>
                <w:b w:val="0"/>
                <w:sz w:val="14"/>
              </w:rPr>
              <w:t>14.50</w:t>
            </w:r>
          </w:p>
        </w:tc>
        <w:tc>
          <w:tcPr>
            <w:tcW w:type="dxa" w:w="2091"/>
            <w:vAlign w:val="center"/>
          </w:tcPr>
          <w:p>
            <w:pPr>
              <w:jc w:val="center"/>
            </w:pPr>
            <w:r/>
            <w:r>
              <w:rPr>
                <w:b w:val="0"/>
                <w:sz w:val="14"/>
              </w:rPr>
              <w:t>6.07</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1.49</w:t>
            </w:r>
          </w:p>
        </w:tc>
        <w:tc>
          <w:tcPr>
            <w:tcW w:type="dxa" w:w="2091"/>
            <w:vAlign w:val="center"/>
          </w:tcPr>
          <w:p>
            <w:pPr>
              <w:jc w:val="center"/>
            </w:pPr>
            <w:r/>
            <w:r>
              <w:rPr>
                <w:b w:val="0"/>
                <w:sz w:val="14"/>
              </w:rPr>
              <w:t>2.53</w:t>
            </w:r>
          </w:p>
        </w:tc>
        <w:tc>
          <w:tcPr>
            <w:tcW w:type="dxa" w:w="2091"/>
            <w:vAlign w:val="center"/>
          </w:tcPr>
          <w:p>
            <w:pPr>
              <w:jc w:val="center"/>
            </w:pPr>
            <w:r/>
            <w:r>
              <w:rPr>
                <w:b w:val="0"/>
                <w:sz w:val="14"/>
              </w:rPr>
              <w:t>15.40</w:t>
            </w:r>
          </w:p>
        </w:tc>
        <w:tc>
          <w:tcPr>
            <w:tcW w:type="dxa" w:w="2091"/>
            <w:vAlign w:val="center"/>
          </w:tcPr>
          <w:p>
            <w:pPr>
              <w:jc w:val="center"/>
            </w:pPr>
            <w:r/>
            <w:r>
              <w:rPr>
                <w:b w:val="0"/>
                <w:sz w:val="14"/>
              </w:rPr>
              <w:t>2.34</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1.63</w:t>
            </w:r>
          </w:p>
        </w:tc>
        <w:tc>
          <w:tcPr>
            <w:tcW w:type="dxa" w:w="2091"/>
            <w:vAlign w:val="center"/>
          </w:tcPr>
          <w:p>
            <w:pPr>
              <w:jc w:val="center"/>
            </w:pPr>
            <w:r/>
            <w:r>
              <w:rPr>
                <w:b w:val="0"/>
                <w:sz w:val="14"/>
              </w:rPr>
              <w:t>2.52</w:t>
            </w:r>
          </w:p>
        </w:tc>
        <w:tc>
          <w:tcPr>
            <w:tcW w:type="dxa" w:w="2091"/>
            <w:vAlign w:val="center"/>
          </w:tcPr>
          <w:p>
            <w:pPr>
              <w:jc w:val="center"/>
            </w:pPr>
            <w:r/>
            <w:r>
              <w:rPr>
                <w:b w:val="0"/>
                <w:sz w:val="14"/>
              </w:rPr>
              <w:t>15.00</w:t>
            </w:r>
          </w:p>
        </w:tc>
        <w:tc>
          <w:tcPr>
            <w:tcW w:type="dxa" w:w="2091"/>
            <w:vAlign w:val="center"/>
          </w:tcPr>
          <w:p>
            <w:pPr>
              <w:jc w:val="center"/>
            </w:pPr>
            <w:r/>
            <w:r>
              <w:rPr>
                <w:b w:val="0"/>
                <w:sz w:val="14"/>
              </w:rPr>
              <w:t>8.57</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2.21</w:t>
            </w:r>
          </w:p>
        </w:tc>
        <w:tc>
          <w:tcPr>
            <w:tcW w:type="dxa" w:w="2091"/>
            <w:vAlign w:val="center"/>
          </w:tcPr>
          <w:p>
            <w:pPr>
              <w:jc w:val="center"/>
            </w:pPr>
            <w:r/>
            <w:r>
              <w:rPr>
                <w:b w:val="0"/>
                <w:sz w:val="14"/>
              </w:rPr>
              <w:t>3.16</w:t>
            </w:r>
          </w:p>
        </w:tc>
        <w:tc>
          <w:tcPr>
            <w:tcW w:type="dxa" w:w="2091"/>
            <w:vAlign w:val="center"/>
          </w:tcPr>
          <w:p>
            <w:pPr>
              <w:jc w:val="center"/>
            </w:pPr>
            <w:r/>
            <w:r>
              <w:rPr>
                <w:b w:val="0"/>
                <w:sz w:val="14"/>
              </w:rPr>
              <w:t>13.40</w:t>
            </w:r>
          </w:p>
        </w:tc>
        <w:tc>
          <w:tcPr>
            <w:tcW w:type="dxa" w:w="2091"/>
            <w:vAlign w:val="center"/>
          </w:tcPr>
          <w:p>
            <w:pPr>
              <w:jc w:val="center"/>
            </w:pPr>
            <w:r/>
            <w:r>
              <w:rPr>
                <w:b w:val="0"/>
                <w:sz w:val="14"/>
              </w:rPr>
              <w:t>3.13</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1.41</w:t>
            </w:r>
          </w:p>
        </w:tc>
        <w:tc>
          <w:tcPr>
            <w:tcW w:type="dxa" w:w="2091"/>
            <w:vAlign w:val="center"/>
          </w:tcPr>
          <w:p>
            <w:pPr>
              <w:jc w:val="center"/>
            </w:pPr>
            <w:r/>
            <w:r>
              <w:rPr>
                <w:b w:val="0"/>
                <w:sz w:val="14"/>
              </w:rPr>
              <w:t>2.10</w:t>
            </w:r>
          </w:p>
        </w:tc>
        <w:tc>
          <w:tcPr>
            <w:tcW w:type="dxa" w:w="2091"/>
            <w:vAlign w:val="center"/>
          </w:tcPr>
          <w:p>
            <w:pPr>
              <w:jc w:val="center"/>
            </w:pPr>
            <w:r/>
            <w:r>
              <w:rPr>
                <w:b w:val="0"/>
                <w:sz w:val="14"/>
              </w:rPr>
              <w:t>13.30</w:t>
            </w:r>
          </w:p>
        </w:tc>
        <w:tc>
          <w:tcPr>
            <w:tcW w:type="dxa" w:w="2091"/>
            <w:vAlign w:val="center"/>
          </w:tcPr>
          <w:p>
            <w:pPr>
              <w:jc w:val="center"/>
            </w:pPr>
            <w:r/>
            <w:r>
              <w:rPr>
                <w:b w:val="0"/>
                <w:sz w:val="14"/>
              </w:rPr>
              <w:t>5.42</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2.47</w:t>
            </w:r>
          </w:p>
        </w:tc>
        <w:tc>
          <w:tcPr>
            <w:tcW w:type="dxa" w:w="2091"/>
            <w:vAlign w:val="center"/>
          </w:tcPr>
          <w:p>
            <w:pPr>
              <w:jc w:val="center"/>
            </w:pPr>
            <w:r/>
            <w:r>
              <w:rPr>
                <w:b w:val="0"/>
                <w:sz w:val="14"/>
              </w:rPr>
              <w:t>2.71</w:t>
            </w:r>
          </w:p>
        </w:tc>
        <w:tc>
          <w:tcPr>
            <w:tcW w:type="dxa" w:w="2091"/>
            <w:vAlign w:val="center"/>
          </w:tcPr>
          <w:p>
            <w:pPr>
              <w:jc w:val="center"/>
            </w:pPr>
            <w:r/>
            <w:r>
              <w:rPr>
                <w:b w:val="0"/>
                <w:sz w:val="14"/>
              </w:rPr>
              <w:t>12.80</w:t>
            </w:r>
          </w:p>
        </w:tc>
        <w:tc>
          <w:tcPr>
            <w:tcW w:type="dxa" w:w="2091"/>
            <w:vAlign w:val="center"/>
          </w:tcPr>
          <w:p>
            <w:pPr>
              <w:jc w:val="center"/>
            </w:pPr>
            <w:r/>
            <w:r>
              <w:rPr>
                <w:b w:val="0"/>
                <w:sz w:val="14"/>
              </w:rPr>
              <w:t>4.96</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3.77</w:t>
            </w:r>
          </w:p>
        </w:tc>
        <w:tc>
          <w:tcPr>
            <w:tcW w:type="dxa" w:w="2091"/>
            <w:vAlign w:val="center"/>
          </w:tcPr>
          <w:p>
            <w:pPr>
              <w:jc w:val="center"/>
            </w:pPr>
            <w:r/>
            <w:r>
              <w:rPr>
                <w:b w:val="0"/>
                <w:sz w:val="14"/>
              </w:rPr>
              <w:t>4.14</w:t>
            </w:r>
          </w:p>
        </w:tc>
        <w:tc>
          <w:tcPr>
            <w:tcW w:type="dxa" w:w="2091"/>
            <w:vAlign w:val="center"/>
          </w:tcPr>
          <w:p>
            <w:pPr>
              <w:jc w:val="center"/>
            </w:pPr>
            <w:r/>
            <w:r>
              <w:rPr>
                <w:b w:val="0"/>
                <w:sz w:val="14"/>
              </w:rPr>
              <w:t>11.90</w:t>
            </w:r>
          </w:p>
        </w:tc>
        <w:tc>
          <w:tcPr>
            <w:tcW w:type="dxa" w:w="2091"/>
            <w:vAlign w:val="center"/>
          </w:tcPr>
          <w:p>
            <w:pPr>
              <w:jc w:val="center"/>
            </w:pPr>
            <w:r/>
            <w:r>
              <w:rPr>
                <w:b w:val="0"/>
                <w:sz w:val="14"/>
              </w:rPr>
              <w:t>4.96</w:t>
            </w:r>
          </w:p>
        </w:tc>
      </w:tr>
    </w:tbl>
    <w:p>
      <w:pPr>
        <w:spacing w:after="100" w:line="252" w:lineRule="auto"/>
      </w:pPr>
      <w:r>
        <w:t>Status: historical series reproduced from the China master macro database used for this report. Definitions must remain consistent when the database is refreshed.</w:t>
      </w:r>
    </w:p>
    <w:p>
      <w:r>
        <w:br w:type="page"/>
      </w:r>
    </w:p>
    <w:p>
      <w:r>
        <w:rPr>
          <w:b/>
          <w:color w:val="595959"/>
          <w:sz w:val="16"/>
        </w:rPr>
        <w:t>CHAPTER 34  /  PAGE 154  /  RMB DATABASE</w:t>
      </w:r>
    </w:p>
    <w:p>
      <w:pPr>
        <w:pStyle w:val="Title"/>
      </w:pPr>
      <w:r>
        <w:t>RMB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REER Change (%)</w:t>
            </w:r>
          </w:p>
        </w:tc>
        <w:tc>
          <w:tcPr>
            <w:tcW w:type="dxa" w:w="2091"/>
            <w:vAlign w:val="center"/>
            <w:shd w:fill="1F4E79"/>
          </w:tcPr>
          <w:p>
            <w:pPr>
              <w:jc w:val="center"/>
            </w:pPr>
            <w:r>
              <w:rPr>
                <w:color w:val="FFFFFF"/>
              </w:rPr>
            </w:r>
            <w:r>
              <w:rPr>
                <w:b/>
                <w:color w:val="FFFFFF"/>
                <w:sz w:val="15"/>
              </w:rPr>
              <w:t>Current Account / GDP (%)</w:t>
            </w:r>
          </w:p>
        </w:tc>
        <w:tc>
          <w:tcPr>
            <w:tcW w:type="dxa" w:w="2091"/>
            <w:vAlign w:val="center"/>
            <w:shd w:fill="1F4E79"/>
          </w:tcPr>
          <w:p>
            <w:pPr>
              <w:jc w:val="center"/>
            </w:pPr>
            <w:r>
              <w:rPr>
                <w:color w:val="FFFFFF"/>
              </w:rPr>
            </w:r>
            <w:r>
              <w:rPr>
                <w:b/>
                <w:color w:val="FFFFFF"/>
                <w:sz w:val="15"/>
              </w:rPr>
              <w:t>Inward FDI / GDP (%)</w:t>
            </w:r>
          </w:p>
        </w:tc>
        <w:tc>
          <w:tcPr>
            <w:tcW w:type="dxa" w:w="2091"/>
            <w:vAlign w:val="center"/>
            <w:shd w:fill="1F4E79"/>
          </w:tcPr>
          <w:p>
            <w:pPr>
              <w:jc w:val="center"/>
            </w:pPr>
            <w:r>
              <w:rPr>
                <w:color w:val="FFFFFF"/>
              </w:rPr>
            </w:r>
            <w:r>
              <w:rPr>
                <w:b/>
                <w:color w:val="FFFFFF"/>
                <w:sz w:val="15"/>
              </w:rPr>
              <w:t>Real GDP Growth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9.38</w:t>
            </w:r>
          </w:p>
        </w:tc>
        <w:tc>
          <w:tcPr>
            <w:tcW w:type="dxa" w:w="2091"/>
            <w:vAlign w:val="center"/>
          </w:tcPr>
          <w:p>
            <w:pPr>
              <w:jc w:val="center"/>
            </w:pPr>
            <w:r/>
            <w:r>
              <w:rPr>
                <w:b w:val="0"/>
                <w:sz w:val="14"/>
              </w:rPr>
              <w:t>2.60</w:t>
            </w:r>
          </w:p>
        </w:tc>
        <w:tc>
          <w:tcPr>
            <w:tcW w:type="dxa" w:w="2091"/>
            <w:vAlign w:val="center"/>
          </w:tcPr>
          <w:p>
            <w:pPr>
              <w:jc w:val="center"/>
            </w:pPr>
            <w:r/>
            <w:r>
              <w:rPr>
                <w:b w:val="0"/>
                <w:sz w:val="14"/>
              </w:rPr>
              <w:t>2.15</w:t>
            </w:r>
          </w:p>
        </w:tc>
        <w:tc>
          <w:tcPr>
            <w:tcW w:type="dxa" w:w="2091"/>
            <w:vAlign w:val="center"/>
          </w:tcPr>
          <w:p>
            <w:pPr>
              <w:jc w:val="center"/>
            </w:pPr>
            <w:r/>
            <w:r>
              <w:rPr>
                <w:b w:val="0"/>
                <w:sz w:val="14"/>
              </w:rPr>
              <w:t>6.98</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-3.73</w:t>
            </w:r>
          </w:p>
        </w:tc>
        <w:tc>
          <w:tcPr>
            <w:tcW w:type="dxa" w:w="2091"/>
            <w:vAlign w:val="center"/>
          </w:tcPr>
          <w:p>
            <w:pPr>
              <w:jc w:val="center"/>
            </w:pPr>
            <w:r/>
            <w:r>
              <w:rPr>
                <w:b w:val="0"/>
                <w:sz w:val="14"/>
              </w:rPr>
              <w:t>1.67</w:t>
            </w:r>
          </w:p>
        </w:tc>
        <w:tc>
          <w:tcPr>
            <w:tcW w:type="dxa" w:w="2091"/>
            <w:vAlign w:val="center"/>
          </w:tcPr>
          <w:p>
            <w:pPr>
              <w:jc w:val="center"/>
            </w:pPr>
            <w:r/>
            <w:r>
              <w:rPr>
                <w:b w:val="0"/>
                <w:sz w:val="14"/>
              </w:rPr>
              <w:t>1.53</w:t>
            </w:r>
          </w:p>
        </w:tc>
        <w:tc>
          <w:tcPr>
            <w:tcW w:type="dxa" w:w="2091"/>
            <w:vAlign w:val="center"/>
          </w:tcPr>
          <w:p>
            <w:pPr>
              <w:jc w:val="center"/>
            </w:pPr>
            <w:r/>
            <w:r>
              <w:rPr>
                <w:b w:val="0"/>
                <w:sz w:val="14"/>
              </w:rPr>
              <w:t>6.77</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-2.99</w:t>
            </w:r>
          </w:p>
        </w:tc>
        <w:tc>
          <w:tcPr>
            <w:tcW w:type="dxa" w:w="2091"/>
            <w:vAlign w:val="center"/>
          </w:tcPr>
          <w:p>
            <w:pPr>
              <w:jc w:val="center"/>
            </w:pPr>
            <w:r/>
            <w:r>
              <w:rPr>
                <w:b w:val="0"/>
                <w:sz w:val="14"/>
              </w:rPr>
              <w:t>1.50</w:t>
            </w:r>
          </w:p>
        </w:tc>
        <w:tc>
          <w:tcPr>
            <w:tcW w:type="dxa" w:w="2091"/>
            <w:vAlign w:val="center"/>
          </w:tcPr>
          <w:p>
            <w:pPr>
              <w:jc w:val="center"/>
            </w:pPr>
            <w:r/>
            <w:r>
              <w:rPr>
                <w:b w:val="0"/>
                <w:sz w:val="14"/>
              </w:rPr>
              <w:t>1.32</w:t>
            </w:r>
          </w:p>
        </w:tc>
        <w:tc>
          <w:tcPr>
            <w:tcW w:type="dxa" w:w="2091"/>
            <w:vAlign w:val="center"/>
          </w:tcPr>
          <w:p>
            <w:pPr>
              <w:jc w:val="center"/>
            </w:pPr>
            <w:r/>
            <w:r>
              <w:rPr>
                <w:b w:val="0"/>
                <w:sz w:val="14"/>
              </w:rPr>
              <w:t>6.89</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1.27</w:t>
            </w:r>
          </w:p>
        </w:tc>
        <w:tc>
          <w:tcPr>
            <w:tcW w:type="dxa" w:w="2091"/>
            <w:vAlign w:val="center"/>
          </w:tcPr>
          <w:p>
            <w:pPr>
              <w:jc w:val="center"/>
            </w:pPr>
            <w:r/>
            <w:r>
              <w:rPr>
                <w:b w:val="0"/>
                <w:sz w:val="14"/>
              </w:rPr>
              <w:t>0.17</w:t>
            </w:r>
          </w:p>
        </w:tc>
        <w:tc>
          <w:tcPr>
            <w:tcW w:type="dxa" w:w="2091"/>
            <w:vAlign w:val="center"/>
          </w:tcPr>
          <w:p>
            <w:pPr>
              <w:jc w:val="center"/>
            </w:pPr>
            <w:r/>
            <w:r>
              <w:rPr>
                <w:b w:val="0"/>
                <w:sz w:val="14"/>
              </w:rPr>
              <w:t>1.66</w:t>
            </w:r>
          </w:p>
        </w:tc>
        <w:tc>
          <w:tcPr>
            <w:tcW w:type="dxa" w:w="2091"/>
            <w:vAlign w:val="center"/>
          </w:tcPr>
          <w:p>
            <w:pPr>
              <w:jc w:val="center"/>
            </w:pPr>
            <w:r/>
            <w:r>
              <w:rPr>
                <w:b w:val="0"/>
                <w:sz w:val="14"/>
              </w:rPr>
              <w:t>6.76</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-0.40</w:t>
            </w:r>
          </w:p>
        </w:tc>
        <w:tc>
          <w:tcPr>
            <w:tcW w:type="dxa" w:w="2091"/>
            <w:vAlign w:val="center"/>
          </w:tcPr>
          <w:p>
            <w:pPr>
              <w:jc w:val="center"/>
            </w:pPr>
            <w:r/>
            <w:r>
              <w:rPr>
                <w:b w:val="0"/>
                <w:sz w:val="14"/>
              </w:rPr>
              <w:t>0.62</w:t>
            </w:r>
          </w:p>
        </w:tc>
        <w:tc>
          <w:tcPr>
            <w:tcW w:type="dxa" w:w="2091"/>
            <w:vAlign w:val="center"/>
          </w:tcPr>
          <w:p>
            <w:pPr>
              <w:jc w:val="center"/>
            </w:pPr>
            <w:r/>
            <w:r>
              <w:rPr>
                <w:b w:val="0"/>
                <w:sz w:val="14"/>
              </w:rPr>
              <w:t>1.29</w:t>
            </w:r>
          </w:p>
        </w:tc>
        <w:tc>
          <w:tcPr>
            <w:tcW w:type="dxa" w:w="2091"/>
            <w:vAlign w:val="center"/>
          </w:tcPr>
          <w:p>
            <w:pPr>
              <w:jc w:val="center"/>
            </w:pPr>
            <w:r/>
            <w:r>
              <w:rPr>
                <w:b w:val="0"/>
                <w:sz w:val="14"/>
              </w:rPr>
              <w:t>6.07</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1.78</w:t>
            </w:r>
          </w:p>
        </w:tc>
        <w:tc>
          <w:tcPr>
            <w:tcW w:type="dxa" w:w="2091"/>
            <w:vAlign w:val="center"/>
          </w:tcPr>
          <w:p>
            <w:pPr>
              <w:jc w:val="center"/>
            </w:pPr>
            <w:r/>
            <w:r>
              <w:rPr>
                <w:b w:val="0"/>
                <w:sz w:val="14"/>
              </w:rPr>
              <w:t>1.49</w:t>
            </w:r>
          </w:p>
        </w:tc>
        <w:tc>
          <w:tcPr>
            <w:tcW w:type="dxa" w:w="2091"/>
            <w:vAlign w:val="center"/>
          </w:tcPr>
          <w:p>
            <w:pPr>
              <w:jc w:val="center"/>
            </w:pPr>
            <w:r/>
            <w:r>
              <w:rPr>
                <w:b w:val="0"/>
                <w:sz w:val="14"/>
              </w:rPr>
              <w:t>1.69</w:t>
            </w:r>
          </w:p>
        </w:tc>
        <w:tc>
          <w:tcPr>
            <w:tcW w:type="dxa" w:w="2091"/>
            <w:vAlign w:val="center"/>
          </w:tcPr>
          <w:p>
            <w:pPr>
              <w:jc w:val="center"/>
            </w:pPr>
            <w:r/>
            <w:r>
              <w:rPr>
                <w:b w:val="0"/>
                <w:sz w:val="14"/>
              </w:rPr>
              <w:t>2.34</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3.02</w:t>
            </w:r>
          </w:p>
        </w:tc>
        <w:tc>
          <w:tcPr>
            <w:tcW w:type="dxa" w:w="2091"/>
            <w:vAlign w:val="center"/>
          </w:tcPr>
          <w:p>
            <w:pPr>
              <w:jc w:val="center"/>
            </w:pPr>
            <w:r/>
            <w:r>
              <w:rPr>
                <w:b w:val="0"/>
                <w:sz w:val="14"/>
              </w:rPr>
              <w:t>1.63</w:t>
            </w:r>
          </w:p>
        </w:tc>
        <w:tc>
          <w:tcPr>
            <w:tcW w:type="dxa" w:w="2091"/>
            <w:vAlign w:val="center"/>
          </w:tcPr>
          <w:p>
            <w:pPr>
              <w:jc w:val="center"/>
            </w:pPr>
            <w:r/>
            <w:r>
              <w:rPr>
                <w:b w:val="0"/>
                <w:sz w:val="14"/>
              </w:rPr>
              <w:t>1.89</w:t>
            </w:r>
          </w:p>
        </w:tc>
        <w:tc>
          <w:tcPr>
            <w:tcW w:type="dxa" w:w="2091"/>
            <w:vAlign w:val="center"/>
          </w:tcPr>
          <w:p>
            <w:pPr>
              <w:jc w:val="center"/>
            </w:pPr>
            <w:r/>
            <w:r>
              <w:rPr>
                <w:b w:val="0"/>
                <w:sz w:val="14"/>
              </w:rPr>
              <w:t>8.57</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0.50</w:t>
            </w:r>
          </w:p>
        </w:tc>
        <w:tc>
          <w:tcPr>
            <w:tcW w:type="dxa" w:w="2091"/>
            <w:vAlign w:val="center"/>
          </w:tcPr>
          <w:p>
            <w:pPr>
              <w:jc w:val="center"/>
            </w:pPr>
            <w:r/>
            <w:r>
              <w:rPr>
                <w:b w:val="0"/>
                <w:sz w:val="14"/>
              </w:rPr>
              <w:t>2.21</w:t>
            </w:r>
          </w:p>
        </w:tc>
        <w:tc>
          <w:tcPr>
            <w:tcW w:type="dxa" w:w="2091"/>
            <w:vAlign w:val="center"/>
          </w:tcPr>
          <w:p>
            <w:pPr>
              <w:jc w:val="center"/>
            </w:pPr>
            <w:r/>
            <w:r>
              <w:rPr>
                <w:b w:val="0"/>
                <w:sz w:val="14"/>
              </w:rPr>
              <w:t>1.04</w:t>
            </w:r>
          </w:p>
        </w:tc>
        <w:tc>
          <w:tcPr>
            <w:tcW w:type="dxa" w:w="2091"/>
            <w:vAlign w:val="center"/>
          </w:tcPr>
          <w:p>
            <w:pPr>
              <w:jc w:val="center"/>
            </w:pPr>
            <w:r/>
            <w:r>
              <w:rPr>
                <w:b w:val="0"/>
                <w:sz w:val="14"/>
              </w:rPr>
              <w:t>3.13</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-8.62</w:t>
            </w:r>
          </w:p>
        </w:tc>
        <w:tc>
          <w:tcPr>
            <w:tcW w:type="dxa" w:w="2091"/>
            <w:vAlign w:val="center"/>
          </w:tcPr>
          <w:p>
            <w:pPr>
              <w:jc w:val="center"/>
            </w:pPr>
            <w:r/>
            <w:r>
              <w:rPr>
                <w:b w:val="0"/>
                <w:sz w:val="14"/>
              </w:rPr>
              <w:t>1.41</w:t>
            </w:r>
          </w:p>
        </w:tc>
        <w:tc>
          <w:tcPr>
            <w:tcW w:type="dxa" w:w="2091"/>
            <w:vAlign w:val="center"/>
          </w:tcPr>
          <w:p>
            <w:pPr>
              <w:jc w:val="center"/>
            </w:pPr>
            <w:r/>
            <w:r>
              <w:rPr>
                <w:b w:val="0"/>
                <w:sz w:val="14"/>
              </w:rPr>
              <w:t>0.33</w:t>
            </w:r>
          </w:p>
        </w:tc>
        <w:tc>
          <w:tcPr>
            <w:tcW w:type="dxa" w:w="2091"/>
            <w:vAlign w:val="center"/>
          </w:tcPr>
          <w:p>
            <w:pPr>
              <w:jc w:val="center"/>
            </w:pPr>
            <w:r/>
            <w:r>
              <w:rPr>
                <w:b w:val="0"/>
                <w:sz w:val="14"/>
              </w:rPr>
              <w:t>5.42</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-2.33</w:t>
            </w:r>
          </w:p>
        </w:tc>
        <w:tc>
          <w:tcPr>
            <w:tcW w:type="dxa" w:w="2091"/>
            <w:vAlign w:val="center"/>
          </w:tcPr>
          <w:p>
            <w:pPr>
              <w:jc w:val="center"/>
            </w:pPr>
            <w:r/>
            <w:r>
              <w:rPr>
                <w:b w:val="0"/>
                <w:sz w:val="14"/>
              </w:rPr>
              <w:t>2.47</w:t>
            </w:r>
          </w:p>
        </w:tc>
        <w:tc>
          <w:tcPr>
            <w:tcW w:type="dxa" w:w="2091"/>
            <w:vAlign w:val="center"/>
          </w:tcPr>
          <w:p>
            <w:pPr>
              <w:jc w:val="center"/>
            </w:pPr>
            <w:r/>
            <w:r>
              <w:rPr>
                <w:b w:val="0"/>
                <w:sz w:val="14"/>
              </w:rPr>
              <w:t>0.20</w:t>
            </w:r>
          </w:p>
        </w:tc>
        <w:tc>
          <w:tcPr>
            <w:tcW w:type="dxa" w:w="2091"/>
            <w:vAlign w:val="center"/>
          </w:tcPr>
          <w:p>
            <w:pPr>
              <w:jc w:val="center"/>
            </w:pPr>
            <w:r/>
            <w:r>
              <w:rPr>
                <w:b w:val="0"/>
                <w:sz w:val="14"/>
              </w:rPr>
              <w:t>4.96</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-4.16</w:t>
            </w:r>
          </w:p>
        </w:tc>
        <w:tc>
          <w:tcPr>
            <w:tcW w:type="dxa" w:w="2091"/>
            <w:vAlign w:val="center"/>
          </w:tcPr>
          <w:p>
            <w:pPr>
              <w:jc w:val="center"/>
            </w:pPr>
            <w:r/>
            <w:r>
              <w:rPr>
                <w:b w:val="0"/>
                <w:sz w:val="14"/>
              </w:rPr>
              <w:t>3.77</w:t>
            </w:r>
          </w:p>
        </w:tc>
        <w:tc>
          <w:tcPr>
            <w:tcW w:type="dxa" w:w="2091"/>
            <w:vAlign w:val="center"/>
          </w:tcPr>
          <w:p>
            <w:pPr>
              <w:jc w:val="center"/>
            </w:pPr>
            <w:r/>
            <w:r>
              <w:rPr>
                <w:b w:val="0"/>
                <w:sz w:val="14"/>
              </w:rPr>
              <w:t>0.40</w:t>
            </w:r>
          </w:p>
        </w:tc>
        <w:tc>
          <w:tcPr>
            <w:tcW w:type="dxa" w:w="2091"/>
            <w:vAlign w:val="center"/>
          </w:tcPr>
          <w:p>
            <w:pPr>
              <w:jc w:val="center"/>
            </w:pPr>
            <w:r/>
            <w:r>
              <w:rPr>
                <w:b w:val="0"/>
                <w:sz w:val="14"/>
              </w:rPr>
              <w:t>4.96</w:t>
            </w:r>
          </w:p>
        </w:tc>
      </w:tr>
    </w:tbl>
    <w:p>
      <w:pPr>
        <w:spacing w:after="100" w:line="252" w:lineRule="auto"/>
      </w:pPr>
      <w:r>
        <w:t>Status: historical series reproduced from the China master macro database used for this report. Definitions must remain consistent when the database is refreshed.</w:t>
      </w:r>
    </w:p>
    <w:p>
      <w:r>
        <w:br w:type="page"/>
      </w:r>
    </w:p>
    <w:p>
      <w:r>
        <w:rPr>
          <w:b/>
          <w:color w:val="595959"/>
          <w:sz w:val="16"/>
        </w:rPr>
        <w:t>CHAPTER 34  /  PAGE 155  /  LABOR DATABASE</w:t>
      </w:r>
    </w:p>
    <w:p>
      <w:pPr>
        <w:pStyle w:val="Title"/>
      </w:pPr>
      <w:r>
        <w:t>Labor Database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jc w:val="center"/>
            </w:pPr>
            <w:r>
              <w:rPr>
                <w:color w:val="FFFFFF"/>
              </w:rPr>
            </w:r>
            <w:r>
              <w:rPr>
                <w:b/>
                <w:color w:val="FFFFFF"/>
                <w:sz w:val="15"/>
              </w:rPr>
              <w:t>Year</w:t>
            </w:r>
          </w:p>
        </w:tc>
        <w:tc>
          <w:tcPr>
            <w:tcW w:type="dxa" w:w="2091"/>
            <w:vAlign w:val="center"/>
            <w:shd w:fill="1F4E79"/>
          </w:tcPr>
          <w:p>
            <w:pPr>
              <w:jc w:val="center"/>
            </w:pPr>
            <w:r>
              <w:rPr>
                <w:color w:val="FFFFFF"/>
              </w:rPr>
            </w:r>
            <w:r>
              <w:rPr>
                <w:b/>
                <w:color w:val="FFFFFF"/>
                <w:sz w:val="15"/>
              </w:rPr>
              <w:t>Unemployment Rate (%)</w:t>
            </w:r>
          </w:p>
        </w:tc>
        <w:tc>
          <w:tcPr>
            <w:tcW w:type="dxa" w:w="2091"/>
            <w:vAlign w:val="center"/>
            <w:shd w:fill="1F4E79"/>
          </w:tcPr>
          <w:p>
            <w:pPr>
              <w:jc w:val="center"/>
            </w:pPr>
            <w:r>
              <w:rPr>
                <w:color w:val="FFFFFF"/>
              </w:rPr>
            </w:r>
            <w:r>
              <w:rPr>
                <w:b/>
                <w:color w:val="FFFFFF"/>
                <w:sz w:val="15"/>
              </w:rPr>
              <w:t>Labor Force Participation Rate (%)</w:t>
            </w:r>
          </w:p>
        </w:tc>
        <w:tc>
          <w:tcPr>
            <w:tcW w:type="dxa" w:w="2091"/>
            <w:vAlign w:val="center"/>
            <w:shd w:fill="1F4E79"/>
          </w:tcPr>
          <w:p>
            <w:pPr>
              <w:jc w:val="center"/>
            </w:pPr>
            <w:r>
              <w:rPr>
                <w:color w:val="FFFFFF"/>
              </w:rPr>
            </w:r>
            <w:r>
              <w:rPr>
                <w:b/>
                <w:color w:val="FFFFFF"/>
                <w:sz w:val="15"/>
              </w:rPr>
              <w:t>Real Wage Growth (%)</w:t>
            </w:r>
          </w:p>
        </w:tc>
        <w:tc>
          <w:tcPr>
            <w:tcW w:type="dxa" w:w="2091"/>
            <w:vAlign w:val="center"/>
            <w:shd w:fill="1F4E79"/>
          </w:tcPr>
          <w:p>
            <w:pPr>
              <w:jc w:val="center"/>
            </w:pPr>
            <w:r>
              <w:rPr>
                <w:color w:val="FFFFFF"/>
              </w:rPr>
            </w:r>
            <w:r>
              <w:rPr>
                <w:b/>
                <w:color w:val="FFFFFF"/>
                <w:sz w:val="15"/>
              </w:rPr>
              <w:t>Real GDP Growth (%)</w:t>
            </w:r>
          </w:p>
        </w:tc>
      </w:tr>
      <w:tr>
        <w:tc>
          <w:tcPr>
            <w:tcW w:type="dxa" w:w="2091"/>
            <w:vAlign w:val="center"/>
          </w:tcPr>
          <w:p>
            <w:pPr>
              <w:jc w:val="center"/>
            </w:pPr>
            <w:r/>
            <w:r>
              <w:rPr>
                <w:b w:val="0"/>
                <w:sz w:val="14"/>
              </w:rPr>
              <w:t>2015</w:t>
            </w:r>
          </w:p>
        </w:tc>
        <w:tc>
          <w:tcPr>
            <w:tcW w:type="dxa" w:w="2091"/>
            <w:vAlign w:val="center"/>
          </w:tcPr>
          <w:p>
            <w:pPr>
              <w:jc w:val="center"/>
            </w:pPr>
            <w:r/>
            <w:r>
              <w:rPr>
                <w:b w:val="0"/>
                <w:sz w:val="14"/>
              </w:rPr>
              <w:t>4.65</w:t>
            </w:r>
          </w:p>
        </w:tc>
        <w:tc>
          <w:tcPr>
            <w:tcW w:type="dxa" w:w="2091"/>
            <w:vAlign w:val="center"/>
          </w:tcPr>
          <w:p>
            <w:pPr>
              <w:jc w:val="center"/>
            </w:pPr>
            <w:r/>
            <w:r>
              <w:rPr>
                <w:b w:val="0"/>
                <w:sz w:val="14"/>
              </w:rPr>
              <w:t>69.30</w:t>
            </w:r>
          </w:p>
        </w:tc>
        <w:tc>
          <w:tcPr>
            <w:tcW w:type="dxa" w:w="2091"/>
            <w:vAlign w:val="center"/>
          </w:tcPr>
          <w:p>
            <w:pPr>
              <w:jc w:val="center"/>
            </w:pPr>
            <w:r/>
            <w:r>
              <w:rPr>
                <w:b w:val="0"/>
                <w:sz w:val="14"/>
              </w:rPr>
              <w:t>6.70</w:t>
            </w:r>
          </w:p>
        </w:tc>
        <w:tc>
          <w:tcPr>
            <w:tcW w:type="dxa" w:w="2091"/>
            <w:vAlign w:val="center"/>
          </w:tcPr>
          <w:p>
            <w:pPr>
              <w:jc w:val="center"/>
            </w:pPr>
            <w:r/>
            <w:r>
              <w:rPr>
                <w:b w:val="0"/>
                <w:sz w:val="14"/>
              </w:rPr>
              <w:t>6.98</w:t>
            </w:r>
          </w:p>
        </w:tc>
      </w:tr>
      <w:tr>
        <w:tc>
          <w:tcPr>
            <w:tcW w:type="dxa" w:w="2091"/>
            <w:vAlign w:val="center"/>
          </w:tcPr>
          <w:p>
            <w:pPr>
              <w:jc w:val="center"/>
            </w:pPr>
            <w:r/>
            <w:r>
              <w:rPr>
                <w:b w:val="0"/>
                <w:sz w:val="14"/>
              </w:rPr>
              <w:t>2016</w:t>
            </w:r>
          </w:p>
        </w:tc>
        <w:tc>
          <w:tcPr>
            <w:tcW w:type="dxa" w:w="2091"/>
            <w:vAlign w:val="center"/>
          </w:tcPr>
          <w:p>
            <w:pPr>
              <w:jc w:val="center"/>
            </w:pPr>
            <w:r/>
            <w:r>
              <w:rPr>
                <w:b w:val="0"/>
                <w:sz w:val="14"/>
              </w:rPr>
              <w:t>4.56</w:t>
            </w:r>
          </w:p>
        </w:tc>
        <w:tc>
          <w:tcPr>
            <w:tcW w:type="dxa" w:w="2091"/>
            <w:vAlign w:val="center"/>
          </w:tcPr>
          <w:p>
            <w:pPr>
              <w:jc w:val="center"/>
            </w:pPr>
            <w:r/>
            <w:r>
              <w:rPr>
                <w:b w:val="0"/>
                <w:sz w:val="14"/>
              </w:rPr>
              <w:t>68.90</w:t>
            </w:r>
          </w:p>
        </w:tc>
        <w:tc>
          <w:tcPr>
            <w:tcW w:type="dxa" w:w="2091"/>
            <w:vAlign w:val="center"/>
          </w:tcPr>
          <w:p>
            <w:pPr>
              <w:jc w:val="center"/>
            </w:pPr>
            <w:r/>
            <w:r>
              <w:rPr>
                <w:b w:val="0"/>
                <w:sz w:val="14"/>
              </w:rPr>
              <w:t>5.50</w:t>
            </w:r>
          </w:p>
        </w:tc>
        <w:tc>
          <w:tcPr>
            <w:tcW w:type="dxa" w:w="2091"/>
            <w:vAlign w:val="center"/>
          </w:tcPr>
          <w:p>
            <w:pPr>
              <w:jc w:val="center"/>
            </w:pPr>
            <w:r/>
            <w:r>
              <w:rPr>
                <w:b w:val="0"/>
                <w:sz w:val="14"/>
              </w:rPr>
              <w:t>6.77</w:t>
            </w:r>
          </w:p>
        </w:tc>
      </w:tr>
      <w:tr>
        <w:tc>
          <w:tcPr>
            <w:tcW w:type="dxa" w:w="2091"/>
            <w:vAlign w:val="center"/>
          </w:tcPr>
          <w:p>
            <w:pPr>
              <w:jc w:val="center"/>
            </w:pPr>
            <w:r/>
            <w:r>
              <w:rPr>
                <w:b w:val="0"/>
                <w:sz w:val="14"/>
              </w:rPr>
              <w:t>2017</w:t>
            </w:r>
          </w:p>
        </w:tc>
        <w:tc>
          <w:tcPr>
            <w:tcW w:type="dxa" w:w="2091"/>
            <w:vAlign w:val="center"/>
          </w:tcPr>
          <w:p>
            <w:pPr>
              <w:jc w:val="center"/>
            </w:pPr>
            <w:r/>
            <w:r>
              <w:rPr>
                <w:b w:val="0"/>
                <w:sz w:val="14"/>
              </w:rPr>
              <w:t>4.47</w:t>
            </w:r>
          </w:p>
        </w:tc>
        <w:tc>
          <w:tcPr>
            <w:tcW w:type="dxa" w:w="2091"/>
            <w:vAlign w:val="center"/>
          </w:tcPr>
          <w:p>
            <w:pPr>
              <w:jc w:val="center"/>
            </w:pPr>
            <w:r/>
            <w:r>
              <w:rPr>
                <w:b w:val="0"/>
                <w:sz w:val="14"/>
              </w:rPr>
              <w:t>68.30</w:t>
            </w:r>
          </w:p>
        </w:tc>
        <w:tc>
          <w:tcPr>
            <w:tcW w:type="dxa" w:w="2091"/>
            <w:vAlign w:val="center"/>
          </w:tcPr>
          <w:p>
            <w:pPr>
              <w:jc w:val="center"/>
            </w:pPr>
            <w:r/>
            <w:r>
              <w:rPr>
                <w:b w:val="0"/>
                <w:sz w:val="14"/>
              </w:rPr>
              <w:t>5.90</w:t>
            </w:r>
          </w:p>
        </w:tc>
        <w:tc>
          <w:tcPr>
            <w:tcW w:type="dxa" w:w="2091"/>
            <w:vAlign w:val="center"/>
          </w:tcPr>
          <w:p>
            <w:pPr>
              <w:jc w:val="center"/>
            </w:pPr>
            <w:r/>
            <w:r>
              <w:rPr>
                <w:b w:val="0"/>
                <w:sz w:val="14"/>
              </w:rPr>
              <w:t>6.89</w:t>
            </w:r>
          </w:p>
        </w:tc>
      </w:tr>
      <w:tr>
        <w:tc>
          <w:tcPr>
            <w:tcW w:type="dxa" w:w="2091"/>
            <w:vAlign w:val="center"/>
          </w:tcPr>
          <w:p>
            <w:pPr>
              <w:jc w:val="center"/>
            </w:pPr>
            <w:r/>
            <w:r>
              <w:rPr>
                <w:b w:val="0"/>
                <w:sz w:val="14"/>
              </w:rPr>
              <w:t>2018</w:t>
            </w:r>
          </w:p>
        </w:tc>
        <w:tc>
          <w:tcPr>
            <w:tcW w:type="dxa" w:w="2091"/>
            <w:vAlign w:val="center"/>
          </w:tcPr>
          <w:p>
            <w:pPr>
              <w:jc w:val="center"/>
            </w:pPr>
            <w:r/>
            <w:r>
              <w:rPr>
                <w:b w:val="0"/>
                <w:sz w:val="14"/>
              </w:rPr>
              <w:t>4.31</w:t>
            </w:r>
          </w:p>
        </w:tc>
        <w:tc>
          <w:tcPr>
            <w:tcW w:type="dxa" w:w="2091"/>
            <w:vAlign w:val="center"/>
          </w:tcPr>
          <w:p>
            <w:pPr>
              <w:jc w:val="center"/>
            </w:pPr>
            <w:r/>
            <w:r>
              <w:rPr>
                <w:b w:val="0"/>
                <w:sz w:val="14"/>
              </w:rPr>
              <w:t>67.80</w:t>
            </w:r>
          </w:p>
        </w:tc>
        <w:tc>
          <w:tcPr>
            <w:tcW w:type="dxa" w:w="2091"/>
            <w:vAlign w:val="center"/>
          </w:tcPr>
          <w:p>
            <w:pPr>
              <w:jc w:val="center"/>
            </w:pPr>
            <w:r/>
            <w:r>
              <w:rPr>
                <w:b w:val="0"/>
                <w:sz w:val="14"/>
              </w:rPr>
              <w:t>7.00</w:t>
            </w:r>
          </w:p>
        </w:tc>
        <w:tc>
          <w:tcPr>
            <w:tcW w:type="dxa" w:w="2091"/>
            <w:vAlign w:val="center"/>
          </w:tcPr>
          <w:p>
            <w:pPr>
              <w:jc w:val="center"/>
            </w:pPr>
            <w:r/>
            <w:r>
              <w:rPr>
                <w:b w:val="0"/>
                <w:sz w:val="14"/>
              </w:rPr>
              <w:t>6.76</w:t>
            </w:r>
          </w:p>
        </w:tc>
      </w:tr>
      <w:tr>
        <w:tc>
          <w:tcPr>
            <w:tcW w:type="dxa" w:w="2091"/>
            <w:vAlign w:val="center"/>
          </w:tcPr>
          <w:p>
            <w:pPr>
              <w:jc w:val="center"/>
            </w:pPr>
            <w:r/>
            <w:r>
              <w:rPr>
                <w:b w:val="0"/>
                <w:sz w:val="14"/>
              </w:rPr>
              <w:t>2019</w:t>
            </w:r>
          </w:p>
        </w:tc>
        <w:tc>
          <w:tcPr>
            <w:tcW w:type="dxa" w:w="2091"/>
            <w:vAlign w:val="center"/>
          </w:tcPr>
          <w:p>
            <w:pPr>
              <w:jc w:val="center"/>
            </w:pPr>
            <w:r/>
            <w:r>
              <w:rPr>
                <w:b w:val="0"/>
                <w:sz w:val="14"/>
              </w:rPr>
              <w:t>4.56</w:t>
            </w:r>
          </w:p>
        </w:tc>
        <w:tc>
          <w:tcPr>
            <w:tcW w:type="dxa" w:w="2091"/>
            <w:vAlign w:val="center"/>
          </w:tcPr>
          <w:p>
            <w:pPr>
              <w:jc w:val="center"/>
            </w:pPr>
            <w:r/>
            <w:r>
              <w:rPr>
                <w:b w:val="0"/>
                <w:sz w:val="14"/>
              </w:rPr>
              <w:t>67.40</w:t>
            </w:r>
          </w:p>
        </w:tc>
        <w:tc>
          <w:tcPr>
            <w:tcW w:type="dxa" w:w="2091"/>
            <w:vAlign w:val="center"/>
          </w:tcPr>
          <w:p>
            <w:pPr>
              <w:jc w:val="center"/>
            </w:pPr>
            <w:r/>
            <w:r>
              <w:rPr>
                <w:b w:val="0"/>
                <w:sz w:val="14"/>
              </w:rPr>
              <w:t>5.60</w:t>
            </w:r>
          </w:p>
        </w:tc>
        <w:tc>
          <w:tcPr>
            <w:tcW w:type="dxa" w:w="2091"/>
            <w:vAlign w:val="center"/>
          </w:tcPr>
          <w:p>
            <w:pPr>
              <w:jc w:val="center"/>
            </w:pPr>
            <w:r/>
            <w:r>
              <w:rPr>
                <w:b w:val="0"/>
                <w:sz w:val="14"/>
              </w:rPr>
              <w:t>6.07</w:t>
            </w:r>
          </w:p>
        </w:tc>
      </w:tr>
      <w:tr>
        <w:tc>
          <w:tcPr>
            <w:tcW w:type="dxa" w:w="2091"/>
            <w:vAlign w:val="center"/>
          </w:tcPr>
          <w:p>
            <w:pPr>
              <w:jc w:val="center"/>
            </w:pPr>
            <w:r/>
            <w:r>
              <w:rPr>
                <w:b w:val="0"/>
                <w:sz w:val="14"/>
              </w:rPr>
              <w:t>2020</w:t>
            </w:r>
          </w:p>
        </w:tc>
        <w:tc>
          <w:tcPr>
            <w:tcW w:type="dxa" w:w="2091"/>
            <w:vAlign w:val="center"/>
          </w:tcPr>
          <w:p>
            <w:pPr>
              <w:jc w:val="center"/>
            </w:pPr>
            <w:r/>
            <w:r>
              <w:rPr>
                <w:b w:val="0"/>
                <w:sz w:val="14"/>
              </w:rPr>
              <w:t>5.00</w:t>
            </w:r>
          </w:p>
        </w:tc>
        <w:tc>
          <w:tcPr>
            <w:tcW w:type="dxa" w:w="2091"/>
            <w:vAlign w:val="center"/>
          </w:tcPr>
          <w:p>
            <w:pPr>
              <w:jc w:val="center"/>
            </w:pPr>
            <w:r/>
            <w:r>
              <w:rPr>
                <w:b w:val="0"/>
                <w:sz w:val="14"/>
              </w:rPr>
              <w:t>65.70</w:t>
            </w:r>
          </w:p>
        </w:tc>
        <w:tc>
          <w:tcPr>
            <w:tcW w:type="dxa" w:w="2091"/>
            <w:vAlign w:val="center"/>
          </w:tcPr>
          <w:p>
            <w:pPr>
              <w:jc w:val="center"/>
            </w:pPr>
            <w:r/>
            <w:r>
              <w:rPr>
                <w:b w:val="0"/>
                <w:sz w:val="14"/>
              </w:rPr>
              <w:t>5.20</w:t>
            </w:r>
          </w:p>
        </w:tc>
        <w:tc>
          <w:tcPr>
            <w:tcW w:type="dxa" w:w="2091"/>
            <w:vAlign w:val="center"/>
          </w:tcPr>
          <w:p>
            <w:pPr>
              <w:jc w:val="center"/>
            </w:pPr>
            <w:r/>
            <w:r>
              <w:rPr>
                <w:b w:val="0"/>
                <w:sz w:val="14"/>
              </w:rPr>
              <w:t>2.34</w:t>
            </w:r>
          </w:p>
        </w:tc>
      </w:tr>
      <w:tr>
        <w:tc>
          <w:tcPr>
            <w:tcW w:type="dxa" w:w="2091"/>
            <w:vAlign w:val="center"/>
          </w:tcPr>
          <w:p>
            <w:pPr>
              <w:jc w:val="center"/>
            </w:pPr>
            <w:r/>
            <w:r>
              <w:rPr>
                <w:b w:val="0"/>
                <w:sz w:val="14"/>
              </w:rPr>
              <w:t>2021</w:t>
            </w:r>
          </w:p>
        </w:tc>
        <w:tc>
          <w:tcPr>
            <w:tcW w:type="dxa" w:w="2091"/>
            <w:vAlign w:val="center"/>
          </w:tcPr>
          <w:p>
            <w:pPr>
              <w:jc w:val="center"/>
            </w:pPr>
            <w:r/>
            <w:r>
              <w:rPr>
                <w:b w:val="0"/>
                <w:sz w:val="14"/>
              </w:rPr>
              <w:t>4.55</w:t>
            </w:r>
          </w:p>
        </w:tc>
        <w:tc>
          <w:tcPr>
            <w:tcW w:type="dxa" w:w="2091"/>
            <w:vAlign w:val="center"/>
          </w:tcPr>
          <w:p>
            <w:pPr>
              <w:jc w:val="center"/>
            </w:pPr>
            <w:r/>
            <w:r>
              <w:rPr>
                <w:b w:val="0"/>
                <w:sz w:val="14"/>
              </w:rPr>
              <w:t>67.10</w:t>
            </w:r>
          </w:p>
        </w:tc>
        <w:tc>
          <w:tcPr>
            <w:tcW w:type="dxa" w:w="2091"/>
            <w:vAlign w:val="center"/>
          </w:tcPr>
          <w:p>
            <w:pPr>
              <w:jc w:val="center"/>
            </w:pPr>
            <w:r/>
            <w:r>
              <w:rPr>
                <w:b w:val="0"/>
                <w:sz w:val="14"/>
              </w:rPr>
              <w:t>8.60</w:t>
            </w:r>
          </w:p>
        </w:tc>
        <w:tc>
          <w:tcPr>
            <w:tcW w:type="dxa" w:w="2091"/>
            <w:vAlign w:val="center"/>
          </w:tcPr>
          <w:p>
            <w:pPr>
              <w:jc w:val="center"/>
            </w:pPr>
            <w:r/>
            <w:r>
              <w:rPr>
                <w:b w:val="0"/>
                <w:sz w:val="14"/>
              </w:rPr>
              <w:t>8.57</w:t>
            </w:r>
          </w:p>
        </w:tc>
      </w:tr>
      <w:tr>
        <w:tc>
          <w:tcPr>
            <w:tcW w:type="dxa" w:w="2091"/>
            <w:vAlign w:val="center"/>
          </w:tcPr>
          <w:p>
            <w:pPr>
              <w:jc w:val="center"/>
            </w:pPr>
            <w:r/>
            <w:r>
              <w:rPr>
                <w:b w:val="0"/>
                <w:sz w:val="14"/>
              </w:rPr>
              <w:t>2022</w:t>
            </w:r>
          </w:p>
        </w:tc>
        <w:tc>
          <w:tcPr>
            <w:tcW w:type="dxa" w:w="2091"/>
            <w:vAlign w:val="center"/>
          </w:tcPr>
          <w:p>
            <w:pPr>
              <w:jc w:val="center"/>
            </w:pPr>
            <w:r/>
            <w:r>
              <w:rPr>
                <w:b w:val="0"/>
                <w:sz w:val="14"/>
              </w:rPr>
              <w:t>4.98</w:t>
            </w:r>
          </w:p>
        </w:tc>
        <w:tc>
          <w:tcPr>
            <w:tcW w:type="dxa" w:w="2091"/>
            <w:vAlign w:val="center"/>
          </w:tcPr>
          <w:p>
            <w:pPr>
              <w:jc w:val="center"/>
            </w:pPr>
            <w:r/>
            <w:r>
              <w:rPr>
                <w:b w:val="0"/>
                <w:sz w:val="14"/>
              </w:rPr>
              <w:t>65.80</w:t>
            </w:r>
          </w:p>
        </w:tc>
        <w:tc>
          <w:tcPr>
            <w:tcW w:type="dxa" w:w="2091"/>
            <w:vAlign w:val="center"/>
          </w:tcPr>
          <w:p>
            <w:pPr>
              <w:jc w:val="center"/>
            </w:pPr>
            <w:r/>
            <w:r>
              <w:rPr>
                <w:b w:val="0"/>
                <w:sz w:val="14"/>
              </w:rPr>
              <w:t>4.60</w:t>
            </w:r>
          </w:p>
        </w:tc>
        <w:tc>
          <w:tcPr>
            <w:tcW w:type="dxa" w:w="2091"/>
            <w:vAlign w:val="center"/>
          </w:tcPr>
          <w:p>
            <w:pPr>
              <w:jc w:val="center"/>
            </w:pPr>
            <w:r/>
            <w:r>
              <w:rPr>
                <w:b w:val="0"/>
                <w:sz w:val="14"/>
              </w:rPr>
              <w:t>3.13</w:t>
            </w:r>
          </w:p>
        </w:tc>
      </w:tr>
      <w:tr>
        <w:tc>
          <w:tcPr>
            <w:tcW w:type="dxa" w:w="2091"/>
            <w:vAlign w:val="center"/>
          </w:tcPr>
          <w:p>
            <w:pPr>
              <w:jc w:val="center"/>
            </w:pPr>
            <w:r/>
            <w:r>
              <w:rPr>
                <w:b w:val="0"/>
                <w:sz w:val="14"/>
              </w:rPr>
              <w:t>2023</w:t>
            </w:r>
          </w:p>
        </w:tc>
        <w:tc>
          <w:tcPr>
            <w:tcW w:type="dxa" w:w="2091"/>
            <w:vAlign w:val="center"/>
          </w:tcPr>
          <w:p>
            <w:pPr>
              <w:jc w:val="center"/>
            </w:pPr>
            <w:r/>
            <w:r>
              <w:rPr>
                <w:b w:val="0"/>
                <w:sz w:val="14"/>
              </w:rPr>
              <w:t>4.67</w:t>
            </w:r>
          </w:p>
        </w:tc>
        <w:tc>
          <w:tcPr>
            <w:tcW w:type="dxa" w:w="2091"/>
            <w:vAlign w:val="center"/>
          </w:tcPr>
          <w:p>
            <w:pPr>
              <w:jc w:val="center"/>
            </w:pPr>
            <w:r/>
            <w:r>
              <w:rPr>
                <w:b w:val="0"/>
                <w:sz w:val="14"/>
              </w:rPr>
              <w:t>65.80</w:t>
            </w:r>
          </w:p>
        </w:tc>
        <w:tc>
          <w:tcPr>
            <w:tcW w:type="dxa" w:w="2091"/>
            <w:vAlign w:val="center"/>
          </w:tcPr>
          <w:p>
            <w:pPr>
              <w:jc w:val="center"/>
            </w:pPr>
            <w:r/>
            <w:r>
              <w:rPr>
                <w:b w:val="0"/>
                <w:sz w:val="14"/>
              </w:rPr>
              <w:t>5.50</w:t>
            </w:r>
          </w:p>
        </w:tc>
        <w:tc>
          <w:tcPr>
            <w:tcW w:type="dxa" w:w="2091"/>
            <w:vAlign w:val="center"/>
          </w:tcPr>
          <w:p>
            <w:pPr>
              <w:jc w:val="center"/>
            </w:pPr>
            <w:r/>
            <w:r>
              <w:rPr>
                <w:b w:val="0"/>
                <w:sz w:val="14"/>
              </w:rPr>
              <w:t>5.42</w:t>
            </w:r>
          </w:p>
        </w:tc>
      </w:tr>
      <w:tr>
        <w:tc>
          <w:tcPr>
            <w:tcW w:type="dxa" w:w="2091"/>
            <w:vAlign w:val="center"/>
          </w:tcPr>
          <w:p>
            <w:pPr>
              <w:jc w:val="center"/>
            </w:pPr>
            <w:r/>
            <w:r>
              <w:rPr>
                <w:b w:val="0"/>
                <w:sz w:val="14"/>
              </w:rPr>
              <w:t>2024</w:t>
            </w:r>
          </w:p>
        </w:tc>
        <w:tc>
          <w:tcPr>
            <w:tcW w:type="dxa" w:w="2091"/>
            <w:vAlign w:val="center"/>
          </w:tcPr>
          <w:p>
            <w:pPr>
              <w:jc w:val="center"/>
            </w:pPr>
            <w:r/>
            <w:r>
              <w:rPr>
                <w:b w:val="0"/>
                <w:sz w:val="14"/>
              </w:rPr>
              <w:t>4.57</w:t>
            </w:r>
          </w:p>
        </w:tc>
        <w:tc>
          <w:tcPr>
            <w:tcW w:type="dxa" w:w="2091"/>
            <w:vAlign w:val="center"/>
          </w:tcPr>
          <w:p>
            <w:pPr>
              <w:jc w:val="center"/>
            </w:pPr>
            <w:r/>
            <w:r>
              <w:rPr>
                <w:b w:val="0"/>
                <w:sz w:val="14"/>
              </w:rPr>
              <w:t>64.90</w:t>
            </w:r>
          </w:p>
        </w:tc>
        <w:tc>
          <w:tcPr>
            <w:tcW w:type="dxa" w:w="2091"/>
            <w:vAlign w:val="center"/>
          </w:tcPr>
          <w:p>
            <w:pPr>
              <w:jc w:val="center"/>
            </w:pPr>
            <w:r/>
            <w:r>
              <w:rPr>
                <w:b w:val="0"/>
                <w:sz w:val="14"/>
              </w:rPr>
              <w:t>2.60</w:t>
            </w:r>
          </w:p>
        </w:tc>
        <w:tc>
          <w:tcPr>
            <w:tcW w:type="dxa" w:w="2091"/>
            <w:vAlign w:val="center"/>
          </w:tcPr>
          <w:p>
            <w:pPr>
              <w:jc w:val="center"/>
            </w:pPr>
            <w:r/>
            <w:r>
              <w:rPr>
                <w:b w:val="0"/>
                <w:sz w:val="14"/>
              </w:rPr>
              <w:t>4.96</w:t>
            </w:r>
          </w:p>
        </w:tc>
      </w:tr>
      <w:tr>
        <w:tc>
          <w:tcPr>
            <w:tcW w:type="dxa" w:w="2091"/>
            <w:vAlign w:val="center"/>
          </w:tcPr>
          <w:p>
            <w:pPr>
              <w:jc w:val="center"/>
            </w:pPr>
            <w:r/>
            <w:r>
              <w:rPr>
                <w:b w:val="0"/>
                <w:sz w:val="14"/>
              </w:rPr>
              <w:t>2025</w:t>
            </w:r>
          </w:p>
        </w:tc>
        <w:tc>
          <w:tcPr>
            <w:tcW w:type="dxa" w:w="2091"/>
            <w:vAlign w:val="center"/>
          </w:tcPr>
          <w:p>
            <w:pPr>
              <w:jc w:val="center"/>
            </w:pPr>
            <w:r/>
            <w:r>
              <w:rPr>
                <w:b w:val="0"/>
                <w:sz w:val="14"/>
              </w:rPr>
              <w:t>4.60</w:t>
            </w:r>
          </w:p>
        </w:tc>
        <w:tc>
          <w:tcPr>
            <w:tcW w:type="dxa" w:w="2091"/>
            <w:vAlign w:val="center"/>
          </w:tcPr>
          <w:p>
            <w:pPr>
              <w:jc w:val="center"/>
            </w:pPr>
            <w:r/>
            <w:r>
              <w:rPr>
                <w:b w:val="0"/>
                <w:sz w:val="14"/>
              </w:rPr>
              <w:t>64.60</w:t>
            </w:r>
          </w:p>
        </w:tc>
        <w:tc>
          <w:tcPr>
            <w:tcW w:type="dxa" w:w="2091"/>
            <w:vAlign w:val="center"/>
          </w:tcPr>
          <w:p>
            <w:pPr>
              <w:jc w:val="center"/>
            </w:pPr>
            <w:r/>
            <w:r>
              <w:rPr>
                <w:b w:val="0"/>
                <w:sz w:val="14"/>
              </w:rPr>
              <w:t>4.20</w:t>
            </w:r>
          </w:p>
        </w:tc>
        <w:tc>
          <w:tcPr>
            <w:tcW w:type="dxa" w:w="2091"/>
            <w:vAlign w:val="center"/>
          </w:tcPr>
          <w:p>
            <w:pPr>
              <w:jc w:val="center"/>
            </w:pPr>
            <w:r/>
            <w:r>
              <w:rPr>
                <w:b w:val="0"/>
                <w:sz w:val="14"/>
              </w:rPr>
              <w:t>4.96</w:t>
            </w:r>
          </w:p>
        </w:tc>
      </w:tr>
    </w:tbl>
    <w:p>
      <w:pPr>
        <w:spacing w:after="100" w:line="252" w:lineRule="auto"/>
      </w:pPr>
      <w:r>
        <w:t>Status: historical series reproduced from the China master macro database used for this report. Definitions must remain consistent when the database is refreshed.</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BrandEssence Economic Intelligence  |  China Macroeconomic Outlook 2026–27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