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CC5" w14:textId="77777777" w:rsidR="000F56DE" w:rsidRDefault="00000000">
      <w:pPr>
        <w:pStyle w:val="Kicker"/>
        <w:jc w:val="center"/>
      </w:pPr>
      <w:r>
        <w:t>BRANDESSENCE ECONOMIC INTELLIGENCE</w:t>
      </w:r>
    </w:p>
    <w:p w14:paraId="5452CAEC" w14:textId="77777777" w:rsidR="000F56DE" w:rsidRDefault="00000000">
      <w:r>
        <w:br/>
      </w:r>
    </w:p>
    <w:p w14:paraId="073F92E9" w14:textId="77777777" w:rsidR="000F56DE" w:rsidRDefault="00000000">
      <w:pPr>
        <w:pStyle w:val="Title"/>
        <w:jc w:val="center"/>
      </w:pPr>
      <w:r>
        <w:t>U.S. MACROECONOMIC</w:t>
      </w:r>
      <w:r>
        <w:br/>
        <w:t>OUTLOOK 2026–27</w:t>
      </w:r>
    </w:p>
    <w:p w14:paraId="2CF39996" w14:textId="6F2C4DCC" w:rsidR="000F56DE" w:rsidRPr="00222B13" w:rsidRDefault="00000000" w:rsidP="00222B13">
      <w:pPr>
        <w:jc w:val="center"/>
        <w:rPr>
          <w:b/>
          <w:color w:val="2F5597"/>
          <w:sz w:val="26"/>
        </w:rPr>
      </w:pPr>
      <w:r>
        <w:rPr>
          <w:b/>
          <w:color w:val="2F5597"/>
          <w:sz w:val="26"/>
        </w:rPr>
        <w:t>Growth • Inflation • Federal Reserve • Fiscal Policy • Markets • Country Risk</w:t>
      </w:r>
    </w:p>
    <w:p w14:paraId="1857D807" w14:textId="77777777" w:rsidR="000F56DE" w:rsidRDefault="00000000">
      <w:r>
        <w:br/>
      </w:r>
      <w:r>
        <w:br/>
      </w:r>
    </w:p>
    <w:p w14:paraId="7D07316C" w14:textId="77777777" w:rsidR="000F56DE" w:rsidRDefault="00000000">
      <w:pPr>
        <w:jc w:val="center"/>
      </w:pPr>
      <w:r>
        <w:rPr>
          <w:sz w:val="22"/>
        </w:rPr>
        <w:t>Management-ready macroeconomic intelligence report</w:t>
      </w:r>
      <w:r>
        <w:rPr>
          <w:sz w:val="22"/>
        </w:rPr>
        <w:br/>
        <w:t>Management-ready assessment of U.S. growth, inflation, monetary policy, financial conditions, fiscal dynamics and structural risks.</w:t>
      </w:r>
    </w:p>
    <w:p w14:paraId="17FFF4DF" w14:textId="77777777" w:rsidR="000F56DE" w:rsidRDefault="00000000">
      <w:r>
        <w:br/>
      </w:r>
      <w:r>
        <w:br/>
      </w:r>
    </w:p>
    <w:p w14:paraId="5161D392" w14:textId="77777777" w:rsidR="000F56DE" w:rsidRDefault="00000000">
      <w:pPr>
        <w:jc w:val="center"/>
      </w:pPr>
      <w:r>
        <w:rPr>
          <w:b/>
        </w:rPr>
        <w:t>September 2026</w:t>
      </w:r>
    </w:p>
    <w:p w14:paraId="30FE6999" w14:textId="77777777" w:rsidR="000F56DE" w:rsidRDefault="00000000">
      <w:pPr>
        <w:spacing w:before="60"/>
        <w:jc w:val="right"/>
      </w:pPr>
      <w:r>
        <w:t>BrandEssence Economic Intelligence   |   Chapter 1: Cover Page   |   1</w:t>
      </w:r>
    </w:p>
    <w:p w14:paraId="2B25D917" w14:textId="77777777" w:rsidR="000F56DE" w:rsidRDefault="00000000">
      <w:r>
        <w:br w:type="page"/>
      </w:r>
    </w:p>
    <w:p w14:paraId="66061E45" w14:textId="77777777" w:rsidR="000F56DE" w:rsidRDefault="00000000">
      <w:pPr>
        <w:pStyle w:val="Title"/>
        <w:pageBreakBefore/>
      </w:pPr>
      <w:r>
        <w:rPr>
          <w:rFonts w:ascii="Aptos Display" w:hAnsi="Aptos Display"/>
          <w:b/>
          <w:color w:val="1F4E79"/>
          <w:sz w:val="48"/>
        </w:rPr>
        <w:lastRenderedPageBreak/>
        <w:t>TABLE OF CONTENTS</w:t>
      </w:r>
    </w:p>
    <w:p w14:paraId="13C431E2" w14:textId="77777777" w:rsidR="000F56DE" w:rsidRDefault="00000000">
      <w:pPr>
        <w:pStyle w:val="Subtitle"/>
      </w:pPr>
      <w:r>
        <w:t>U.S. Macroeconomic Outlook 2026–27</w:t>
      </w:r>
    </w:p>
    <w:tbl>
      <w:tblPr>
        <w:tblW w:w="0" w:type="auto"/>
        <w:jc w:val="center"/>
        <w:tblLayout w:type="fixed"/>
        <w:tblLook w:val="04A0" w:firstRow="1" w:lastRow="0" w:firstColumn="1" w:lastColumn="0" w:noHBand="0" w:noVBand="1"/>
      </w:tblPr>
      <w:tblGrid>
        <w:gridCol w:w="792"/>
        <w:gridCol w:w="7992"/>
        <w:gridCol w:w="1296"/>
      </w:tblGrid>
      <w:tr w:rsidR="000F56DE" w14:paraId="0BD136F2" w14:textId="77777777">
        <w:trPr>
          <w:jc w:val="center"/>
        </w:trPr>
        <w:tc>
          <w:tcPr>
            <w:tcW w:w="792" w:type="dxa"/>
            <w:shd w:val="clear" w:color="auto" w:fill="1F4E78"/>
            <w:vAlign w:val="center"/>
          </w:tcPr>
          <w:p w14:paraId="68BA6565" w14:textId="77777777" w:rsidR="000F56DE" w:rsidRDefault="00000000">
            <w:r>
              <w:rPr>
                <w:b/>
                <w:color w:val="FFFFFF"/>
              </w:rPr>
              <w:t>No.</w:t>
            </w:r>
          </w:p>
        </w:tc>
        <w:tc>
          <w:tcPr>
            <w:tcW w:w="7992" w:type="dxa"/>
            <w:shd w:val="clear" w:color="auto" w:fill="1F4E78"/>
            <w:vAlign w:val="center"/>
          </w:tcPr>
          <w:p w14:paraId="51D0B9AB" w14:textId="77777777" w:rsidR="000F56DE" w:rsidRDefault="00000000">
            <w:r>
              <w:rPr>
                <w:b/>
                <w:color w:val="FFFFFF"/>
              </w:rPr>
              <w:t>Section / Chapter</w:t>
            </w:r>
          </w:p>
        </w:tc>
        <w:tc>
          <w:tcPr>
            <w:tcW w:w="1296" w:type="dxa"/>
            <w:shd w:val="clear" w:color="auto" w:fill="1F4E78"/>
            <w:vAlign w:val="center"/>
          </w:tcPr>
          <w:p w14:paraId="4F6FB720" w14:textId="77777777" w:rsidR="000F56DE" w:rsidRDefault="00000000">
            <w:r>
              <w:rPr>
                <w:b/>
                <w:color w:val="FFFFFF"/>
              </w:rPr>
              <w:t>Page</w:t>
            </w:r>
          </w:p>
        </w:tc>
      </w:tr>
      <w:tr w:rsidR="000F56DE" w14:paraId="20FEF36C" w14:textId="77777777">
        <w:trPr>
          <w:jc w:val="center"/>
        </w:trPr>
        <w:tc>
          <w:tcPr>
            <w:tcW w:w="792" w:type="dxa"/>
            <w:vAlign w:val="center"/>
          </w:tcPr>
          <w:p w14:paraId="7435A01A" w14:textId="77777777" w:rsidR="000F56DE" w:rsidRDefault="00000000">
            <w:pPr>
              <w:jc w:val="center"/>
            </w:pPr>
            <w:r>
              <w:rPr>
                <w:sz w:val="17"/>
              </w:rPr>
              <w:t>1</w:t>
            </w:r>
          </w:p>
        </w:tc>
        <w:tc>
          <w:tcPr>
            <w:tcW w:w="7992" w:type="dxa"/>
            <w:vAlign w:val="center"/>
          </w:tcPr>
          <w:p w14:paraId="484BFC82" w14:textId="77777777" w:rsidR="000F56DE" w:rsidRDefault="00000000">
            <w:r>
              <w:t>Chapter 1. Cover Page</w:t>
            </w:r>
          </w:p>
        </w:tc>
        <w:tc>
          <w:tcPr>
            <w:tcW w:w="1296" w:type="dxa"/>
            <w:vAlign w:val="center"/>
          </w:tcPr>
          <w:p w14:paraId="2622D2D5" w14:textId="77777777" w:rsidR="000F56DE" w:rsidRDefault="00000000">
            <w:pPr>
              <w:jc w:val="center"/>
            </w:pPr>
            <w:r>
              <w:rPr>
                <w:sz w:val="17"/>
              </w:rPr>
              <w:t>1</w:t>
            </w:r>
          </w:p>
        </w:tc>
      </w:tr>
      <w:tr w:rsidR="000F56DE" w14:paraId="579CE542" w14:textId="77777777">
        <w:trPr>
          <w:jc w:val="center"/>
        </w:trPr>
        <w:tc>
          <w:tcPr>
            <w:tcW w:w="792" w:type="dxa"/>
            <w:shd w:val="clear" w:color="auto" w:fill="EAF2F8"/>
            <w:vAlign w:val="center"/>
          </w:tcPr>
          <w:p w14:paraId="6FCD38FE" w14:textId="77777777" w:rsidR="000F56DE" w:rsidRDefault="00000000">
            <w:pPr>
              <w:jc w:val="center"/>
            </w:pPr>
            <w:r>
              <w:rPr>
                <w:sz w:val="17"/>
              </w:rPr>
              <w:t>2</w:t>
            </w:r>
          </w:p>
        </w:tc>
        <w:tc>
          <w:tcPr>
            <w:tcW w:w="7992" w:type="dxa"/>
            <w:shd w:val="clear" w:color="auto" w:fill="EAF2F8"/>
            <w:vAlign w:val="center"/>
          </w:tcPr>
          <w:p w14:paraId="2F106268" w14:textId="77777777" w:rsidR="000F56DE" w:rsidRDefault="00000000">
            <w:r>
              <w:t>Chapter 2. Executive Summary</w:t>
            </w:r>
          </w:p>
        </w:tc>
        <w:tc>
          <w:tcPr>
            <w:tcW w:w="1296" w:type="dxa"/>
            <w:shd w:val="clear" w:color="auto" w:fill="EAF2F8"/>
            <w:vAlign w:val="center"/>
          </w:tcPr>
          <w:p w14:paraId="229C0C9F" w14:textId="77777777" w:rsidR="000F56DE" w:rsidRDefault="00000000">
            <w:pPr>
              <w:jc w:val="center"/>
            </w:pPr>
            <w:r>
              <w:rPr>
                <w:sz w:val="17"/>
              </w:rPr>
              <w:t>2–4</w:t>
            </w:r>
          </w:p>
        </w:tc>
      </w:tr>
      <w:tr w:rsidR="000F56DE" w14:paraId="37EE1576" w14:textId="77777777">
        <w:trPr>
          <w:jc w:val="center"/>
        </w:trPr>
        <w:tc>
          <w:tcPr>
            <w:tcW w:w="792" w:type="dxa"/>
            <w:vAlign w:val="center"/>
          </w:tcPr>
          <w:p w14:paraId="39140957" w14:textId="77777777" w:rsidR="000F56DE" w:rsidRDefault="00000000">
            <w:pPr>
              <w:jc w:val="center"/>
            </w:pPr>
            <w:r>
              <w:rPr>
                <w:sz w:val="17"/>
              </w:rPr>
              <w:t>3</w:t>
            </w:r>
          </w:p>
        </w:tc>
        <w:tc>
          <w:tcPr>
            <w:tcW w:w="7992" w:type="dxa"/>
            <w:vAlign w:val="center"/>
          </w:tcPr>
          <w:p w14:paraId="50B72BD1" w14:textId="77777777" w:rsidR="000F56DE" w:rsidRDefault="00000000">
            <w:r>
              <w:t>Chapter 3. U.S. Macro Dashboard</w:t>
            </w:r>
          </w:p>
        </w:tc>
        <w:tc>
          <w:tcPr>
            <w:tcW w:w="1296" w:type="dxa"/>
            <w:vAlign w:val="center"/>
          </w:tcPr>
          <w:p w14:paraId="1E18C945" w14:textId="77777777" w:rsidR="000F56DE" w:rsidRDefault="00000000">
            <w:pPr>
              <w:jc w:val="center"/>
            </w:pPr>
            <w:r>
              <w:rPr>
                <w:sz w:val="17"/>
              </w:rPr>
              <w:t>5</w:t>
            </w:r>
          </w:p>
        </w:tc>
      </w:tr>
      <w:tr w:rsidR="000F56DE" w14:paraId="5C726254" w14:textId="77777777">
        <w:trPr>
          <w:jc w:val="center"/>
        </w:trPr>
        <w:tc>
          <w:tcPr>
            <w:tcW w:w="792" w:type="dxa"/>
            <w:shd w:val="clear" w:color="auto" w:fill="EAF2F8"/>
            <w:vAlign w:val="center"/>
          </w:tcPr>
          <w:p w14:paraId="43BA2EF4" w14:textId="77777777" w:rsidR="000F56DE" w:rsidRDefault="00000000">
            <w:pPr>
              <w:jc w:val="center"/>
            </w:pPr>
            <w:r>
              <w:rPr>
                <w:sz w:val="17"/>
              </w:rPr>
              <w:t>4</w:t>
            </w:r>
          </w:p>
        </w:tc>
        <w:tc>
          <w:tcPr>
            <w:tcW w:w="7992" w:type="dxa"/>
            <w:shd w:val="clear" w:color="auto" w:fill="EAF2F8"/>
            <w:vAlign w:val="center"/>
          </w:tcPr>
          <w:p w14:paraId="58A80D5F" w14:textId="77777777" w:rsidR="000F56DE" w:rsidRDefault="00000000">
            <w:r>
              <w:t>Chapter 4. BrandEssence U.S. Macro View</w:t>
            </w:r>
          </w:p>
        </w:tc>
        <w:tc>
          <w:tcPr>
            <w:tcW w:w="1296" w:type="dxa"/>
            <w:shd w:val="clear" w:color="auto" w:fill="EAF2F8"/>
            <w:vAlign w:val="center"/>
          </w:tcPr>
          <w:p w14:paraId="4215E155" w14:textId="77777777" w:rsidR="000F56DE" w:rsidRDefault="00000000">
            <w:pPr>
              <w:jc w:val="center"/>
            </w:pPr>
            <w:r>
              <w:rPr>
                <w:sz w:val="17"/>
              </w:rPr>
              <w:t>6</w:t>
            </w:r>
          </w:p>
        </w:tc>
      </w:tr>
      <w:tr w:rsidR="000F56DE" w14:paraId="38DDBCDF" w14:textId="77777777">
        <w:trPr>
          <w:jc w:val="center"/>
        </w:trPr>
        <w:tc>
          <w:tcPr>
            <w:tcW w:w="792" w:type="dxa"/>
            <w:vAlign w:val="center"/>
          </w:tcPr>
          <w:p w14:paraId="2B33124C" w14:textId="77777777" w:rsidR="000F56DE" w:rsidRDefault="00000000">
            <w:pPr>
              <w:jc w:val="center"/>
            </w:pPr>
            <w:r>
              <w:rPr>
                <w:sz w:val="17"/>
              </w:rPr>
              <w:t>5</w:t>
            </w:r>
          </w:p>
        </w:tc>
        <w:tc>
          <w:tcPr>
            <w:tcW w:w="7992" w:type="dxa"/>
            <w:vAlign w:val="center"/>
          </w:tcPr>
          <w:p w14:paraId="6151C905" w14:textId="77777777" w:rsidR="000F56DE" w:rsidRDefault="00000000">
            <w:r>
              <w:t>Chapter 5. Global Economy &amp; U.S. Position</w:t>
            </w:r>
          </w:p>
        </w:tc>
        <w:tc>
          <w:tcPr>
            <w:tcW w:w="1296" w:type="dxa"/>
            <w:vAlign w:val="center"/>
          </w:tcPr>
          <w:p w14:paraId="1999B5BC" w14:textId="77777777" w:rsidR="000F56DE" w:rsidRDefault="00000000">
            <w:pPr>
              <w:jc w:val="center"/>
            </w:pPr>
            <w:r>
              <w:rPr>
                <w:sz w:val="17"/>
              </w:rPr>
              <w:t>7–10</w:t>
            </w:r>
          </w:p>
        </w:tc>
      </w:tr>
      <w:tr w:rsidR="000F56DE" w14:paraId="7A4FB5CB" w14:textId="77777777">
        <w:trPr>
          <w:jc w:val="center"/>
        </w:trPr>
        <w:tc>
          <w:tcPr>
            <w:tcW w:w="792" w:type="dxa"/>
            <w:shd w:val="clear" w:color="auto" w:fill="EAF2F8"/>
            <w:vAlign w:val="center"/>
          </w:tcPr>
          <w:p w14:paraId="2DA38D1B" w14:textId="77777777" w:rsidR="000F56DE" w:rsidRDefault="00000000">
            <w:pPr>
              <w:jc w:val="center"/>
            </w:pPr>
            <w:r>
              <w:rPr>
                <w:sz w:val="17"/>
              </w:rPr>
              <w:t>6</w:t>
            </w:r>
          </w:p>
        </w:tc>
        <w:tc>
          <w:tcPr>
            <w:tcW w:w="7992" w:type="dxa"/>
            <w:shd w:val="clear" w:color="auto" w:fill="EAF2F8"/>
            <w:vAlign w:val="center"/>
          </w:tcPr>
          <w:p w14:paraId="76691355" w14:textId="77777777" w:rsidR="000F56DE" w:rsidRDefault="00000000">
            <w:r>
              <w:t>Chapter 6. GDP &amp; Economic Growth</w:t>
            </w:r>
          </w:p>
        </w:tc>
        <w:tc>
          <w:tcPr>
            <w:tcW w:w="1296" w:type="dxa"/>
            <w:shd w:val="clear" w:color="auto" w:fill="EAF2F8"/>
            <w:vAlign w:val="center"/>
          </w:tcPr>
          <w:p w14:paraId="38178B81" w14:textId="77777777" w:rsidR="000F56DE" w:rsidRDefault="00000000">
            <w:pPr>
              <w:jc w:val="center"/>
            </w:pPr>
            <w:r>
              <w:rPr>
                <w:sz w:val="17"/>
              </w:rPr>
              <w:t>11–16</w:t>
            </w:r>
          </w:p>
        </w:tc>
      </w:tr>
      <w:tr w:rsidR="000F56DE" w14:paraId="232C3A49" w14:textId="77777777">
        <w:trPr>
          <w:jc w:val="center"/>
        </w:trPr>
        <w:tc>
          <w:tcPr>
            <w:tcW w:w="792" w:type="dxa"/>
            <w:vAlign w:val="center"/>
          </w:tcPr>
          <w:p w14:paraId="5EFE1618" w14:textId="77777777" w:rsidR="000F56DE" w:rsidRDefault="00000000">
            <w:pPr>
              <w:jc w:val="center"/>
            </w:pPr>
            <w:r>
              <w:rPr>
                <w:sz w:val="17"/>
              </w:rPr>
              <w:t>7</w:t>
            </w:r>
          </w:p>
        </w:tc>
        <w:tc>
          <w:tcPr>
            <w:tcW w:w="7992" w:type="dxa"/>
            <w:vAlign w:val="center"/>
          </w:tcPr>
          <w:p w14:paraId="54A27F8B" w14:textId="77777777" w:rsidR="000F56DE" w:rsidRDefault="00000000">
            <w:r>
              <w:t>Chapter 7. Consumer Economy</w:t>
            </w:r>
          </w:p>
        </w:tc>
        <w:tc>
          <w:tcPr>
            <w:tcW w:w="1296" w:type="dxa"/>
            <w:vAlign w:val="center"/>
          </w:tcPr>
          <w:p w14:paraId="7903D5C1" w14:textId="77777777" w:rsidR="000F56DE" w:rsidRDefault="00000000">
            <w:pPr>
              <w:jc w:val="center"/>
            </w:pPr>
            <w:r>
              <w:rPr>
                <w:sz w:val="17"/>
              </w:rPr>
              <w:t>17–21</w:t>
            </w:r>
          </w:p>
        </w:tc>
      </w:tr>
      <w:tr w:rsidR="000F56DE" w14:paraId="04F1A550" w14:textId="77777777">
        <w:trPr>
          <w:jc w:val="center"/>
        </w:trPr>
        <w:tc>
          <w:tcPr>
            <w:tcW w:w="792" w:type="dxa"/>
            <w:shd w:val="clear" w:color="auto" w:fill="EAF2F8"/>
            <w:vAlign w:val="center"/>
          </w:tcPr>
          <w:p w14:paraId="72C4CF05" w14:textId="77777777" w:rsidR="000F56DE" w:rsidRDefault="00000000">
            <w:pPr>
              <w:jc w:val="center"/>
            </w:pPr>
            <w:r>
              <w:rPr>
                <w:sz w:val="17"/>
              </w:rPr>
              <w:t>8</w:t>
            </w:r>
          </w:p>
        </w:tc>
        <w:tc>
          <w:tcPr>
            <w:tcW w:w="7992" w:type="dxa"/>
            <w:shd w:val="clear" w:color="auto" w:fill="EAF2F8"/>
            <w:vAlign w:val="center"/>
          </w:tcPr>
          <w:p w14:paraId="0346DE1E" w14:textId="77777777" w:rsidR="000F56DE" w:rsidRDefault="00000000">
            <w:r>
              <w:t>Chapter 8. Business Investment &amp; Corporate Sector</w:t>
            </w:r>
          </w:p>
        </w:tc>
        <w:tc>
          <w:tcPr>
            <w:tcW w:w="1296" w:type="dxa"/>
            <w:shd w:val="clear" w:color="auto" w:fill="EAF2F8"/>
            <w:vAlign w:val="center"/>
          </w:tcPr>
          <w:p w14:paraId="50C3DC92" w14:textId="77777777" w:rsidR="000F56DE" w:rsidRDefault="00000000">
            <w:pPr>
              <w:jc w:val="center"/>
            </w:pPr>
            <w:r>
              <w:rPr>
                <w:sz w:val="17"/>
              </w:rPr>
              <w:t>22–26</w:t>
            </w:r>
          </w:p>
        </w:tc>
      </w:tr>
      <w:tr w:rsidR="000F56DE" w14:paraId="31B4970A" w14:textId="77777777">
        <w:trPr>
          <w:jc w:val="center"/>
        </w:trPr>
        <w:tc>
          <w:tcPr>
            <w:tcW w:w="792" w:type="dxa"/>
            <w:vAlign w:val="center"/>
          </w:tcPr>
          <w:p w14:paraId="455F9121" w14:textId="77777777" w:rsidR="000F56DE" w:rsidRDefault="00000000">
            <w:pPr>
              <w:jc w:val="center"/>
            </w:pPr>
            <w:r>
              <w:rPr>
                <w:sz w:val="17"/>
              </w:rPr>
              <w:t>9</w:t>
            </w:r>
          </w:p>
        </w:tc>
        <w:tc>
          <w:tcPr>
            <w:tcW w:w="7992" w:type="dxa"/>
            <w:vAlign w:val="center"/>
          </w:tcPr>
          <w:p w14:paraId="7E4F7920" w14:textId="77777777" w:rsidR="000F56DE" w:rsidRDefault="00000000">
            <w:r>
              <w:t>Chapter 9. Industrial &amp; Manufacturing Economy</w:t>
            </w:r>
          </w:p>
        </w:tc>
        <w:tc>
          <w:tcPr>
            <w:tcW w:w="1296" w:type="dxa"/>
            <w:vAlign w:val="center"/>
          </w:tcPr>
          <w:p w14:paraId="49E6AE2B" w14:textId="77777777" w:rsidR="000F56DE" w:rsidRDefault="00000000">
            <w:pPr>
              <w:jc w:val="center"/>
            </w:pPr>
            <w:r>
              <w:rPr>
                <w:sz w:val="17"/>
              </w:rPr>
              <w:t>27–31</w:t>
            </w:r>
          </w:p>
        </w:tc>
      </w:tr>
      <w:tr w:rsidR="000F56DE" w14:paraId="437DA42D" w14:textId="77777777">
        <w:trPr>
          <w:jc w:val="center"/>
        </w:trPr>
        <w:tc>
          <w:tcPr>
            <w:tcW w:w="792" w:type="dxa"/>
            <w:shd w:val="clear" w:color="auto" w:fill="EAF2F8"/>
            <w:vAlign w:val="center"/>
          </w:tcPr>
          <w:p w14:paraId="7813384A" w14:textId="77777777" w:rsidR="000F56DE" w:rsidRDefault="00000000">
            <w:pPr>
              <w:jc w:val="center"/>
            </w:pPr>
            <w:r>
              <w:rPr>
                <w:sz w:val="17"/>
              </w:rPr>
              <w:t>10</w:t>
            </w:r>
          </w:p>
        </w:tc>
        <w:tc>
          <w:tcPr>
            <w:tcW w:w="7992" w:type="dxa"/>
            <w:shd w:val="clear" w:color="auto" w:fill="EAF2F8"/>
            <w:vAlign w:val="center"/>
          </w:tcPr>
          <w:p w14:paraId="14637109" w14:textId="77777777" w:rsidR="000F56DE" w:rsidRDefault="00000000">
            <w:r>
              <w:t>Chapter 10. Services Economy</w:t>
            </w:r>
          </w:p>
        </w:tc>
        <w:tc>
          <w:tcPr>
            <w:tcW w:w="1296" w:type="dxa"/>
            <w:shd w:val="clear" w:color="auto" w:fill="EAF2F8"/>
            <w:vAlign w:val="center"/>
          </w:tcPr>
          <w:p w14:paraId="45F42D60" w14:textId="77777777" w:rsidR="000F56DE" w:rsidRDefault="00000000">
            <w:pPr>
              <w:jc w:val="center"/>
            </w:pPr>
            <w:r>
              <w:rPr>
                <w:sz w:val="17"/>
              </w:rPr>
              <w:t>32–34</w:t>
            </w:r>
          </w:p>
        </w:tc>
      </w:tr>
      <w:tr w:rsidR="000F56DE" w14:paraId="7ABA8863" w14:textId="77777777">
        <w:trPr>
          <w:jc w:val="center"/>
        </w:trPr>
        <w:tc>
          <w:tcPr>
            <w:tcW w:w="792" w:type="dxa"/>
            <w:vAlign w:val="center"/>
          </w:tcPr>
          <w:p w14:paraId="46102631" w14:textId="77777777" w:rsidR="000F56DE" w:rsidRDefault="00000000">
            <w:pPr>
              <w:jc w:val="center"/>
            </w:pPr>
            <w:r>
              <w:rPr>
                <w:sz w:val="17"/>
              </w:rPr>
              <w:t>11</w:t>
            </w:r>
          </w:p>
        </w:tc>
        <w:tc>
          <w:tcPr>
            <w:tcW w:w="7992" w:type="dxa"/>
            <w:vAlign w:val="center"/>
          </w:tcPr>
          <w:p w14:paraId="74960974" w14:textId="77777777" w:rsidR="000F56DE" w:rsidRDefault="00000000">
            <w:r>
              <w:t>Chapter 11. Inflation &amp; Price Stability</w:t>
            </w:r>
          </w:p>
        </w:tc>
        <w:tc>
          <w:tcPr>
            <w:tcW w:w="1296" w:type="dxa"/>
            <w:vAlign w:val="center"/>
          </w:tcPr>
          <w:p w14:paraId="3AF5974F" w14:textId="77777777" w:rsidR="000F56DE" w:rsidRDefault="00000000">
            <w:pPr>
              <w:jc w:val="center"/>
            </w:pPr>
            <w:r>
              <w:rPr>
                <w:sz w:val="17"/>
              </w:rPr>
              <w:t>35–40</w:t>
            </w:r>
          </w:p>
        </w:tc>
      </w:tr>
      <w:tr w:rsidR="000F56DE" w14:paraId="70A16ADD" w14:textId="77777777">
        <w:trPr>
          <w:jc w:val="center"/>
        </w:trPr>
        <w:tc>
          <w:tcPr>
            <w:tcW w:w="792" w:type="dxa"/>
            <w:shd w:val="clear" w:color="auto" w:fill="EAF2F8"/>
            <w:vAlign w:val="center"/>
          </w:tcPr>
          <w:p w14:paraId="610F443C" w14:textId="77777777" w:rsidR="000F56DE" w:rsidRDefault="00000000">
            <w:pPr>
              <w:jc w:val="center"/>
            </w:pPr>
            <w:r>
              <w:rPr>
                <w:sz w:val="17"/>
              </w:rPr>
              <w:t>12</w:t>
            </w:r>
          </w:p>
        </w:tc>
        <w:tc>
          <w:tcPr>
            <w:tcW w:w="7992" w:type="dxa"/>
            <w:shd w:val="clear" w:color="auto" w:fill="EAF2F8"/>
            <w:vAlign w:val="center"/>
          </w:tcPr>
          <w:p w14:paraId="21B99ED2" w14:textId="77777777" w:rsidR="000F56DE" w:rsidRDefault="00000000">
            <w:r>
              <w:t>Chapter 12. Federal Reserve &amp; Monetary Policy</w:t>
            </w:r>
          </w:p>
        </w:tc>
        <w:tc>
          <w:tcPr>
            <w:tcW w:w="1296" w:type="dxa"/>
            <w:shd w:val="clear" w:color="auto" w:fill="EAF2F8"/>
            <w:vAlign w:val="center"/>
          </w:tcPr>
          <w:p w14:paraId="690E9CC7" w14:textId="77777777" w:rsidR="000F56DE" w:rsidRDefault="00000000">
            <w:pPr>
              <w:jc w:val="center"/>
            </w:pPr>
            <w:r>
              <w:rPr>
                <w:sz w:val="17"/>
              </w:rPr>
              <w:t>41–47</w:t>
            </w:r>
          </w:p>
        </w:tc>
      </w:tr>
      <w:tr w:rsidR="000F56DE" w14:paraId="3CD822A7" w14:textId="77777777">
        <w:trPr>
          <w:jc w:val="center"/>
        </w:trPr>
        <w:tc>
          <w:tcPr>
            <w:tcW w:w="792" w:type="dxa"/>
            <w:vAlign w:val="center"/>
          </w:tcPr>
          <w:p w14:paraId="7B8D81B0" w14:textId="77777777" w:rsidR="000F56DE" w:rsidRDefault="00000000">
            <w:pPr>
              <w:jc w:val="center"/>
            </w:pPr>
            <w:r>
              <w:rPr>
                <w:sz w:val="17"/>
              </w:rPr>
              <w:t>13</w:t>
            </w:r>
          </w:p>
        </w:tc>
        <w:tc>
          <w:tcPr>
            <w:tcW w:w="7992" w:type="dxa"/>
            <w:vAlign w:val="center"/>
          </w:tcPr>
          <w:p w14:paraId="7EB5423B" w14:textId="77777777" w:rsidR="000F56DE" w:rsidRDefault="00000000">
            <w:r>
              <w:t>Chapter 13. Financial Conditions &amp; Markets</w:t>
            </w:r>
          </w:p>
        </w:tc>
        <w:tc>
          <w:tcPr>
            <w:tcW w:w="1296" w:type="dxa"/>
            <w:vAlign w:val="center"/>
          </w:tcPr>
          <w:p w14:paraId="0ABAD709" w14:textId="77777777" w:rsidR="000F56DE" w:rsidRDefault="00000000">
            <w:pPr>
              <w:jc w:val="center"/>
            </w:pPr>
            <w:r>
              <w:rPr>
                <w:sz w:val="17"/>
              </w:rPr>
              <w:t>48–53</w:t>
            </w:r>
          </w:p>
        </w:tc>
      </w:tr>
      <w:tr w:rsidR="000F56DE" w14:paraId="4171658A" w14:textId="77777777">
        <w:trPr>
          <w:jc w:val="center"/>
        </w:trPr>
        <w:tc>
          <w:tcPr>
            <w:tcW w:w="792" w:type="dxa"/>
            <w:shd w:val="clear" w:color="auto" w:fill="EAF2F8"/>
            <w:vAlign w:val="center"/>
          </w:tcPr>
          <w:p w14:paraId="4AB624DA" w14:textId="77777777" w:rsidR="000F56DE" w:rsidRDefault="00000000">
            <w:pPr>
              <w:jc w:val="center"/>
            </w:pPr>
            <w:r>
              <w:rPr>
                <w:sz w:val="17"/>
              </w:rPr>
              <w:t>14</w:t>
            </w:r>
          </w:p>
        </w:tc>
        <w:tc>
          <w:tcPr>
            <w:tcW w:w="7992" w:type="dxa"/>
            <w:shd w:val="clear" w:color="auto" w:fill="EAF2F8"/>
            <w:vAlign w:val="center"/>
          </w:tcPr>
          <w:p w14:paraId="48B0A446" w14:textId="77777777" w:rsidR="000F56DE" w:rsidRDefault="00000000">
            <w:r>
              <w:t>Chapter 14. Banking &amp; Credit System</w:t>
            </w:r>
          </w:p>
        </w:tc>
        <w:tc>
          <w:tcPr>
            <w:tcW w:w="1296" w:type="dxa"/>
            <w:shd w:val="clear" w:color="auto" w:fill="EAF2F8"/>
            <w:vAlign w:val="center"/>
          </w:tcPr>
          <w:p w14:paraId="3B9AEC8B" w14:textId="77777777" w:rsidR="000F56DE" w:rsidRDefault="00000000">
            <w:pPr>
              <w:jc w:val="center"/>
            </w:pPr>
            <w:r>
              <w:rPr>
                <w:sz w:val="17"/>
              </w:rPr>
              <w:t>54–57</w:t>
            </w:r>
          </w:p>
        </w:tc>
      </w:tr>
      <w:tr w:rsidR="000F56DE" w14:paraId="0D3EE14C" w14:textId="77777777">
        <w:trPr>
          <w:jc w:val="center"/>
        </w:trPr>
        <w:tc>
          <w:tcPr>
            <w:tcW w:w="792" w:type="dxa"/>
            <w:vAlign w:val="center"/>
          </w:tcPr>
          <w:p w14:paraId="36513F31" w14:textId="77777777" w:rsidR="000F56DE" w:rsidRDefault="00000000">
            <w:pPr>
              <w:jc w:val="center"/>
            </w:pPr>
            <w:r>
              <w:rPr>
                <w:sz w:val="17"/>
              </w:rPr>
              <w:t>15</w:t>
            </w:r>
          </w:p>
        </w:tc>
        <w:tc>
          <w:tcPr>
            <w:tcW w:w="7992" w:type="dxa"/>
            <w:vAlign w:val="center"/>
          </w:tcPr>
          <w:p w14:paraId="65F20F65" w14:textId="77777777" w:rsidR="000F56DE" w:rsidRDefault="00000000">
            <w:r>
              <w:t>Chapter 15. Housing &amp; Real Estate</w:t>
            </w:r>
          </w:p>
        </w:tc>
        <w:tc>
          <w:tcPr>
            <w:tcW w:w="1296" w:type="dxa"/>
            <w:vAlign w:val="center"/>
          </w:tcPr>
          <w:p w14:paraId="1245724E" w14:textId="77777777" w:rsidR="000F56DE" w:rsidRDefault="00000000">
            <w:pPr>
              <w:jc w:val="center"/>
            </w:pPr>
            <w:r>
              <w:rPr>
                <w:sz w:val="17"/>
              </w:rPr>
              <w:t>58–62</w:t>
            </w:r>
          </w:p>
        </w:tc>
      </w:tr>
      <w:tr w:rsidR="000F56DE" w14:paraId="12C3C174" w14:textId="77777777">
        <w:trPr>
          <w:jc w:val="center"/>
        </w:trPr>
        <w:tc>
          <w:tcPr>
            <w:tcW w:w="792" w:type="dxa"/>
            <w:shd w:val="clear" w:color="auto" w:fill="EAF2F8"/>
            <w:vAlign w:val="center"/>
          </w:tcPr>
          <w:p w14:paraId="4055D49C" w14:textId="77777777" w:rsidR="000F56DE" w:rsidRDefault="00000000">
            <w:pPr>
              <w:jc w:val="center"/>
            </w:pPr>
            <w:r>
              <w:rPr>
                <w:sz w:val="17"/>
              </w:rPr>
              <w:t>16</w:t>
            </w:r>
          </w:p>
        </w:tc>
        <w:tc>
          <w:tcPr>
            <w:tcW w:w="7992" w:type="dxa"/>
            <w:shd w:val="clear" w:color="auto" w:fill="EAF2F8"/>
            <w:vAlign w:val="center"/>
          </w:tcPr>
          <w:p w14:paraId="37CA40C2" w14:textId="77777777" w:rsidR="000F56DE" w:rsidRDefault="00000000">
            <w:r>
              <w:t>Chapter 16. Fiscal Policy &amp; Federal Budget</w:t>
            </w:r>
          </w:p>
        </w:tc>
        <w:tc>
          <w:tcPr>
            <w:tcW w:w="1296" w:type="dxa"/>
            <w:shd w:val="clear" w:color="auto" w:fill="EAF2F8"/>
            <w:vAlign w:val="center"/>
          </w:tcPr>
          <w:p w14:paraId="65233561" w14:textId="77777777" w:rsidR="000F56DE" w:rsidRDefault="00000000">
            <w:pPr>
              <w:jc w:val="center"/>
            </w:pPr>
            <w:r>
              <w:rPr>
                <w:sz w:val="17"/>
              </w:rPr>
              <w:t>63–69</w:t>
            </w:r>
          </w:p>
        </w:tc>
      </w:tr>
      <w:tr w:rsidR="000F56DE" w14:paraId="3BDDF78B" w14:textId="77777777">
        <w:trPr>
          <w:jc w:val="center"/>
        </w:trPr>
        <w:tc>
          <w:tcPr>
            <w:tcW w:w="792" w:type="dxa"/>
            <w:vAlign w:val="center"/>
          </w:tcPr>
          <w:p w14:paraId="7AE1323D" w14:textId="77777777" w:rsidR="000F56DE" w:rsidRDefault="00000000">
            <w:pPr>
              <w:jc w:val="center"/>
            </w:pPr>
            <w:r>
              <w:rPr>
                <w:sz w:val="17"/>
              </w:rPr>
              <w:t>17</w:t>
            </w:r>
          </w:p>
        </w:tc>
        <w:tc>
          <w:tcPr>
            <w:tcW w:w="7992" w:type="dxa"/>
            <w:vAlign w:val="center"/>
          </w:tcPr>
          <w:p w14:paraId="2C5149B8" w14:textId="77777777" w:rsidR="000F56DE" w:rsidRDefault="00000000">
            <w:r>
              <w:t>Chapter 17. Public Debt &amp; Debt Sustainability</w:t>
            </w:r>
          </w:p>
        </w:tc>
        <w:tc>
          <w:tcPr>
            <w:tcW w:w="1296" w:type="dxa"/>
            <w:vAlign w:val="center"/>
          </w:tcPr>
          <w:p w14:paraId="4585DF8D" w14:textId="77777777" w:rsidR="000F56DE" w:rsidRDefault="00000000">
            <w:pPr>
              <w:jc w:val="center"/>
            </w:pPr>
            <w:r>
              <w:rPr>
                <w:sz w:val="17"/>
              </w:rPr>
              <w:t>70–73</w:t>
            </w:r>
          </w:p>
        </w:tc>
      </w:tr>
    </w:tbl>
    <w:p w14:paraId="4D6E68BC" w14:textId="77777777" w:rsidR="000F56DE" w:rsidRDefault="00000000">
      <w:pPr>
        <w:jc w:val="right"/>
      </w:pPr>
      <w:r>
        <w:rPr>
          <w:i/>
          <w:color w:val="5A5A5A"/>
          <w:sz w:val="16"/>
        </w:rPr>
        <w:t>Page references follow the fixed 155-page report architecture.</w:t>
      </w:r>
    </w:p>
    <w:p w14:paraId="1FB4DAF3" w14:textId="77777777" w:rsidR="000F56DE" w:rsidRDefault="00000000">
      <w:r>
        <w:br w:type="page"/>
      </w:r>
    </w:p>
    <w:p w14:paraId="78407045" w14:textId="77777777" w:rsidR="000F56DE" w:rsidRDefault="00000000">
      <w:pPr>
        <w:pStyle w:val="Title"/>
      </w:pPr>
      <w:r>
        <w:rPr>
          <w:rFonts w:ascii="Aptos Display" w:hAnsi="Aptos Display"/>
          <w:b/>
          <w:color w:val="1F4E79"/>
          <w:sz w:val="48"/>
        </w:rPr>
        <w:lastRenderedPageBreak/>
        <w:t>TABLE OF CONTENTS — CONTINUED</w:t>
      </w:r>
    </w:p>
    <w:p w14:paraId="5B1FF8A8" w14:textId="77777777" w:rsidR="000F56DE" w:rsidRDefault="00000000">
      <w:pPr>
        <w:pStyle w:val="Subtitle"/>
      </w:pPr>
      <w:r>
        <w:t>U.S. Macroeconomic Outlook 2026–27</w:t>
      </w:r>
    </w:p>
    <w:tbl>
      <w:tblPr>
        <w:tblW w:w="0" w:type="auto"/>
        <w:jc w:val="center"/>
        <w:tblLayout w:type="fixed"/>
        <w:tblLook w:val="04A0" w:firstRow="1" w:lastRow="0" w:firstColumn="1" w:lastColumn="0" w:noHBand="0" w:noVBand="1"/>
      </w:tblPr>
      <w:tblGrid>
        <w:gridCol w:w="792"/>
        <w:gridCol w:w="7992"/>
        <w:gridCol w:w="1296"/>
      </w:tblGrid>
      <w:tr w:rsidR="000F56DE" w14:paraId="5F08B3D1" w14:textId="77777777">
        <w:trPr>
          <w:jc w:val="center"/>
        </w:trPr>
        <w:tc>
          <w:tcPr>
            <w:tcW w:w="792" w:type="dxa"/>
            <w:shd w:val="clear" w:color="auto" w:fill="1F4E78"/>
            <w:vAlign w:val="center"/>
          </w:tcPr>
          <w:p w14:paraId="74932CF4" w14:textId="77777777" w:rsidR="000F56DE" w:rsidRDefault="00000000">
            <w:r>
              <w:rPr>
                <w:b/>
                <w:color w:val="FFFFFF"/>
              </w:rPr>
              <w:t>No.</w:t>
            </w:r>
          </w:p>
        </w:tc>
        <w:tc>
          <w:tcPr>
            <w:tcW w:w="7992" w:type="dxa"/>
            <w:shd w:val="clear" w:color="auto" w:fill="1F4E78"/>
            <w:vAlign w:val="center"/>
          </w:tcPr>
          <w:p w14:paraId="4D308A5F" w14:textId="77777777" w:rsidR="000F56DE" w:rsidRDefault="00000000">
            <w:r>
              <w:rPr>
                <w:b/>
                <w:color w:val="FFFFFF"/>
              </w:rPr>
              <w:t>Section / Chapter</w:t>
            </w:r>
          </w:p>
        </w:tc>
        <w:tc>
          <w:tcPr>
            <w:tcW w:w="1296" w:type="dxa"/>
            <w:shd w:val="clear" w:color="auto" w:fill="1F4E78"/>
            <w:vAlign w:val="center"/>
          </w:tcPr>
          <w:p w14:paraId="5A39308F" w14:textId="77777777" w:rsidR="000F56DE" w:rsidRDefault="00000000">
            <w:r>
              <w:rPr>
                <w:b/>
                <w:color w:val="FFFFFF"/>
              </w:rPr>
              <w:t>Page</w:t>
            </w:r>
          </w:p>
        </w:tc>
      </w:tr>
      <w:tr w:rsidR="000F56DE" w14:paraId="27580A0F" w14:textId="77777777">
        <w:trPr>
          <w:jc w:val="center"/>
        </w:trPr>
        <w:tc>
          <w:tcPr>
            <w:tcW w:w="792" w:type="dxa"/>
            <w:shd w:val="clear" w:color="auto" w:fill="EAF2F8"/>
            <w:vAlign w:val="center"/>
          </w:tcPr>
          <w:p w14:paraId="6BE738E8" w14:textId="77777777" w:rsidR="000F56DE" w:rsidRDefault="00000000">
            <w:pPr>
              <w:jc w:val="center"/>
            </w:pPr>
            <w:r>
              <w:rPr>
                <w:sz w:val="17"/>
              </w:rPr>
              <w:t>18</w:t>
            </w:r>
          </w:p>
        </w:tc>
        <w:tc>
          <w:tcPr>
            <w:tcW w:w="7992" w:type="dxa"/>
            <w:shd w:val="clear" w:color="auto" w:fill="EAF2F8"/>
            <w:vAlign w:val="center"/>
          </w:tcPr>
          <w:p w14:paraId="207F1046" w14:textId="77777777" w:rsidR="000F56DE" w:rsidRDefault="00000000">
            <w:r>
              <w:t>Chapter 18. Trade &amp; External Sector</w:t>
            </w:r>
          </w:p>
        </w:tc>
        <w:tc>
          <w:tcPr>
            <w:tcW w:w="1296" w:type="dxa"/>
            <w:shd w:val="clear" w:color="auto" w:fill="EAF2F8"/>
            <w:vAlign w:val="center"/>
          </w:tcPr>
          <w:p w14:paraId="45A007CC" w14:textId="77777777" w:rsidR="000F56DE" w:rsidRDefault="00000000">
            <w:pPr>
              <w:jc w:val="center"/>
            </w:pPr>
            <w:r>
              <w:rPr>
                <w:sz w:val="17"/>
              </w:rPr>
              <w:t>74–80</w:t>
            </w:r>
          </w:p>
        </w:tc>
      </w:tr>
      <w:tr w:rsidR="000F56DE" w14:paraId="5D97372E" w14:textId="77777777">
        <w:trPr>
          <w:jc w:val="center"/>
        </w:trPr>
        <w:tc>
          <w:tcPr>
            <w:tcW w:w="792" w:type="dxa"/>
            <w:vAlign w:val="center"/>
          </w:tcPr>
          <w:p w14:paraId="778698F8" w14:textId="77777777" w:rsidR="000F56DE" w:rsidRDefault="00000000">
            <w:pPr>
              <w:jc w:val="center"/>
            </w:pPr>
            <w:r>
              <w:rPr>
                <w:sz w:val="17"/>
              </w:rPr>
              <w:t>19</w:t>
            </w:r>
          </w:p>
        </w:tc>
        <w:tc>
          <w:tcPr>
            <w:tcW w:w="7992" w:type="dxa"/>
            <w:vAlign w:val="center"/>
          </w:tcPr>
          <w:p w14:paraId="01A752CA" w14:textId="77777777" w:rsidR="000F56DE" w:rsidRDefault="00000000">
            <w:r>
              <w:t>Chapter 19. U.S. Dollar &amp; Global Liquidity</w:t>
            </w:r>
          </w:p>
        </w:tc>
        <w:tc>
          <w:tcPr>
            <w:tcW w:w="1296" w:type="dxa"/>
            <w:vAlign w:val="center"/>
          </w:tcPr>
          <w:p w14:paraId="0B1FCA0E" w14:textId="77777777" w:rsidR="000F56DE" w:rsidRDefault="00000000">
            <w:pPr>
              <w:jc w:val="center"/>
            </w:pPr>
            <w:r>
              <w:rPr>
                <w:sz w:val="17"/>
              </w:rPr>
              <w:t>81–84</w:t>
            </w:r>
          </w:p>
        </w:tc>
      </w:tr>
      <w:tr w:rsidR="000F56DE" w14:paraId="62234DC3" w14:textId="77777777">
        <w:trPr>
          <w:jc w:val="center"/>
        </w:trPr>
        <w:tc>
          <w:tcPr>
            <w:tcW w:w="792" w:type="dxa"/>
            <w:shd w:val="clear" w:color="auto" w:fill="EAF2F8"/>
            <w:vAlign w:val="center"/>
          </w:tcPr>
          <w:p w14:paraId="0D2CB89E" w14:textId="77777777" w:rsidR="000F56DE" w:rsidRDefault="00000000">
            <w:pPr>
              <w:jc w:val="center"/>
            </w:pPr>
            <w:r>
              <w:rPr>
                <w:sz w:val="17"/>
              </w:rPr>
              <w:t>20</w:t>
            </w:r>
          </w:p>
        </w:tc>
        <w:tc>
          <w:tcPr>
            <w:tcW w:w="7992" w:type="dxa"/>
            <w:shd w:val="clear" w:color="auto" w:fill="EAF2F8"/>
            <w:vAlign w:val="center"/>
          </w:tcPr>
          <w:p w14:paraId="07B3398D" w14:textId="77777777" w:rsidR="000F56DE" w:rsidRDefault="00000000">
            <w:r>
              <w:t>Chapter 20. Labor Market &amp; Wages</w:t>
            </w:r>
          </w:p>
        </w:tc>
        <w:tc>
          <w:tcPr>
            <w:tcW w:w="1296" w:type="dxa"/>
            <w:shd w:val="clear" w:color="auto" w:fill="EAF2F8"/>
            <w:vAlign w:val="center"/>
          </w:tcPr>
          <w:p w14:paraId="01B399E3" w14:textId="77777777" w:rsidR="000F56DE" w:rsidRDefault="00000000">
            <w:pPr>
              <w:jc w:val="center"/>
            </w:pPr>
            <w:r>
              <w:rPr>
                <w:sz w:val="17"/>
              </w:rPr>
              <w:t>85–90</w:t>
            </w:r>
          </w:p>
        </w:tc>
      </w:tr>
      <w:tr w:rsidR="000F56DE" w14:paraId="291833D1" w14:textId="77777777">
        <w:trPr>
          <w:jc w:val="center"/>
        </w:trPr>
        <w:tc>
          <w:tcPr>
            <w:tcW w:w="792" w:type="dxa"/>
            <w:vAlign w:val="center"/>
          </w:tcPr>
          <w:p w14:paraId="7F6B29CD" w14:textId="77777777" w:rsidR="000F56DE" w:rsidRDefault="00000000">
            <w:pPr>
              <w:jc w:val="center"/>
            </w:pPr>
            <w:r>
              <w:rPr>
                <w:sz w:val="17"/>
              </w:rPr>
              <w:t>21</w:t>
            </w:r>
          </w:p>
        </w:tc>
        <w:tc>
          <w:tcPr>
            <w:tcW w:w="7992" w:type="dxa"/>
            <w:vAlign w:val="center"/>
          </w:tcPr>
          <w:p w14:paraId="4D2F86E5" w14:textId="77777777" w:rsidR="000F56DE" w:rsidRDefault="00000000">
            <w:r>
              <w:t>Chapter 21. Productivity &amp; Potential Growth</w:t>
            </w:r>
          </w:p>
        </w:tc>
        <w:tc>
          <w:tcPr>
            <w:tcW w:w="1296" w:type="dxa"/>
            <w:vAlign w:val="center"/>
          </w:tcPr>
          <w:p w14:paraId="3356EEE9" w14:textId="77777777" w:rsidR="000F56DE" w:rsidRDefault="00000000">
            <w:pPr>
              <w:jc w:val="center"/>
            </w:pPr>
            <w:r>
              <w:rPr>
                <w:sz w:val="17"/>
              </w:rPr>
              <w:t>91–94</w:t>
            </w:r>
          </w:p>
        </w:tc>
      </w:tr>
      <w:tr w:rsidR="000F56DE" w14:paraId="4C391217" w14:textId="77777777">
        <w:trPr>
          <w:jc w:val="center"/>
        </w:trPr>
        <w:tc>
          <w:tcPr>
            <w:tcW w:w="792" w:type="dxa"/>
            <w:shd w:val="clear" w:color="auto" w:fill="EAF2F8"/>
            <w:vAlign w:val="center"/>
          </w:tcPr>
          <w:p w14:paraId="2088A43B" w14:textId="77777777" w:rsidR="000F56DE" w:rsidRDefault="00000000">
            <w:pPr>
              <w:jc w:val="center"/>
            </w:pPr>
            <w:r>
              <w:rPr>
                <w:sz w:val="17"/>
              </w:rPr>
              <w:t>22</w:t>
            </w:r>
          </w:p>
        </w:tc>
        <w:tc>
          <w:tcPr>
            <w:tcW w:w="7992" w:type="dxa"/>
            <w:shd w:val="clear" w:color="auto" w:fill="EAF2F8"/>
            <w:vAlign w:val="center"/>
          </w:tcPr>
          <w:p w14:paraId="351133F7" w14:textId="77777777" w:rsidR="000F56DE" w:rsidRDefault="00000000">
            <w:r>
              <w:t>Chapter 22. Technology, AI &amp; New Economy</w:t>
            </w:r>
          </w:p>
        </w:tc>
        <w:tc>
          <w:tcPr>
            <w:tcW w:w="1296" w:type="dxa"/>
            <w:shd w:val="clear" w:color="auto" w:fill="EAF2F8"/>
            <w:vAlign w:val="center"/>
          </w:tcPr>
          <w:p w14:paraId="70035DF9" w14:textId="77777777" w:rsidR="000F56DE" w:rsidRDefault="00000000">
            <w:pPr>
              <w:jc w:val="center"/>
            </w:pPr>
            <w:r>
              <w:rPr>
                <w:sz w:val="17"/>
              </w:rPr>
              <w:t>95–99</w:t>
            </w:r>
          </w:p>
        </w:tc>
      </w:tr>
      <w:tr w:rsidR="000F56DE" w14:paraId="1F08E8CF" w14:textId="77777777">
        <w:trPr>
          <w:jc w:val="center"/>
        </w:trPr>
        <w:tc>
          <w:tcPr>
            <w:tcW w:w="792" w:type="dxa"/>
            <w:vAlign w:val="center"/>
          </w:tcPr>
          <w:p w14:paraId="4477E747" w14:textId="77777777" w:rsidR="000F56DE" w:rsidRDefault="00000000">
            <w:pPr>
              <w:jc w:val="center"/>
            </w:pPr>
            <w:r>
              <w:rPr>
                <w:sz w:val="17"/>
              </w:rPr>
              <w:t>23</w:t>
            </w:r>
          </w:p>
        </w:tc>
        <w:tc>
          <w:tcPr>
            <w:tcW w:w="7992" w:type="dxa"/>
            <w:vAlign w:val="center"/>
          </w:tcPr>
          <w:p w14:paraId="46F07059" w14:textId="77777777" w:rsidR="000F56DE" w:rsidRDefault="00000000">
            <w:r>
              <w:t>Chapter 23. Energy &amp; Commodity Economy</w:t>
            </w:r>
          </w:p>
        </w:tc>
        <w:tc>
          <w:tcPr>
            <w:tcW w:w="1296" w:type="dxa"/>
            <w:vAlign w:val="center"/>
          </w:tcPr>
          <w:p w14:paraId="1112F335" w14:textId="77777777" w:rsidR="000F56DE" w:rsidRDefault="00000000">
            <w:pPr>
              <w:jc w:val="center"/>
            </w:pPr>
            <w:r>
              <w:rPr>
                <w:sz w:val="17"/>
              </w:rPr>
              <w:t>100–103</w:t>
            </w:r>
          </w:p>
        </w:tc>
      </w:tr>
      <w:tr w:rsidR="000F56DE" w14:paraId="67D42FF9" w14:textId="77777777">
        <w:trPr>
          <w:jc w:val="center"/>
        </w:trPr>
        <w:tc>
          <w:tcPr>
            <w:tcW w:w="792" w:type="dxa"/>
            <w:shd w:val="clear" w:color="auto" w:fill="EAF2F8"/>
            <w:vAlign w:val="center"/>
          </w:tcPr>
          <w:p w14:paraId="33D81BA6" w14:textId="77777777" w:rsidR="000F56DE" w:rsidRDefault="00000000">
            <w:pPr>
              <w:jc w:val="center"/>
            </w:pPr>
            <w:r>
              <w:rPr>
                <w:sz w:val="17"/>
              </w:rPr>
              <w:t>24</w:t>
            </w:r>
          </w:p>
        </w:tc>
        <w:tc>
          <w:tcPr>
            <w:tcW w:w="7992" w:type="dxa"/>
            <w:shd w:val="clear" w:color="auto" w:fill="EAF2F8"/>
            <w:vAlign w:val="center"/>
          </w:tcPr>
          <w:p w14:paraId="04A98FF7" w14:textId="77777777" w:rsidR="000F56DE" w:rsidRDefault="00000000">
            <w:r>
              <w:t>Chapter 24. Demographics &amp; Structural Trends</w:t>
            </w:r>
          </w:p>
        </w:tc>
        <w:tc>
          <w:tcPr>
            <w:tcW w:w="1296" w:type="dxa"/>
            <w:shd w:val="clear" w:color="auto" w:fill="EAF2F8"/>
            <w:vAlign w:val="center"/>
          </w:tcPr>
          <w:p w14:paraId="7804B657" w14:textId="77777777" w:rsidR="000F56DE" w:rsidRDefault="00000000">
            <w:pPr>
              <w:jc w:val="center"/>
            </w:pPr>
            <w:r>
              <w:rPr>
                <w:sz w:val="17"/>
              </w:rPr>
              <w:t>104–106</w:t>
            </w:r>
          </w:p>
        </w:tc>
      </w:tr>
      <w:tr w:rsidR="000F56DE" w14:paraId="5C68CAEA" w14:textId="77777777">
        <w:trPr>
          <w:jc w:val="center"/>
        </w:trPr>
        <w:tc>
          <w:tcPr>
            <w:tcW w:w="792" w:type="dxa"/>
            <w:vAlign w:val="center"/>
          </w:tcPr>
          <w:p w14:paraId="524153C6" w14:textId="77777777" w:rsidR="000F56DE" w:rsidRDefault="00000000">
            <w:pPr>
              <w:jc w:val="center"/>
            </w:pPr>
            <w:r>
              <w:rPr>
                <w:sz w:val="17"/>
              </w:rPr>
              <w:t>25</w:t>
            </w:r>
          </w:p>
        </w:tc>
        <w:tc>
          <w:tcPr>
            <w:tcW w:w="7992" w:type="dxa"/>
            <w:vAlign w:val="center"/>
          </w:tcPr>
          <w:p w14:paraId="2F37B77C" w14:textId="77777777" w:rsidR="000F56DE" w:rsidRDefault="00000000">
            <w:r>
              <w:t>Chapter 25. Climate &amp; Environmental Economic Risk</w:t>
            </w:r>
          </w:p>
        </w:tc>
        <w:tc>
          <w:tcPr>
            <w:tcW w:w="1296" w:type="dxa"/>
            <w:vAlign w:val="center"/>
          </w:tcPr>
          <w:p w14:paraId="0786E0C0" w14:textId="77777777" w:rsidR="000F56DE" w:rsidRDefault="00000000">
            <w:pPr>
              <w:jc w:val="center"/>
            </w:pPr>
            <w:r>
              <w:rPr>
                <w:sz w:val="17"/>
              </w:rPr>
              <w:t>107–109</w:t>
            </w:r>
          </w:p>
        </w:tc>
      </w:tr>
      <w:tr w:rsidR="000F56DE" w14:paraId="03934D93" w14:textId="77777777">
        <w:trPr>
          <w:jc w:val="center"/>
        </w:trPr>
        <w:tc>
          <w:tcPr>
            <w:tcW w:w="792" w:type="dxa"/>
            <w:shd w:val="clear" w:color="auto" w:fill="EAF2F8"/>
            <w:vAlign w:val="center"/>
          </w:tcPr>
          <w:p w14:paraId="3B3D5072" w14:textId="77777777" w:rsidR="000F56DE" w:rsidRDefault="00000000">
            <w:pPr>
              <w:jc w:val="center"/>
            </w:pPr>
            <w:r>
              <w:rPr>
                <w:sz w:val="17"/>
              </w:rPr>
              <w:t>26</w:t>
            </w:r>
          </w:p>
        </w:tc>
        <w:tc>
          <w:tcPr>
            <w:tcW w:w="7992" w:type="dxa"/>
            <w:shd w:val="clear" w:color="auto" w:fill="EAF2F8"/>
            <w:vAlign w:val="center"/>
          </w:tcPr>
          <w:p w14:paraId="3A43EC4C" w14:textId="77777777" w:rsidR="000F56DE" w:rsidRDefault="00000000">
            <w:r>
              <w:t>Chapter 26. Geopolitical &amp; Policy Risk</w:t>
            </w:r>
          </w:p>
        </w:tc>
        <w:tc>
          <w:tcPr>
            <w:tcW w:w="1296" w:type="dxa"/>
            <w:shd w:val="clear" w:color="auto" w:fill="EAF2F8"/>
            <w:vAlign w:val="center"/>
          </w:tcPr>
          <w:p w14:paraId="5ACCF301" w14:textId="77777777" w:rsidR="000F56DE" w:rsidRDefault="00000000">
            <w:pPr>
              <w:jc w:val="center"/>
            </w:pPr>
            <w:r>
              <w:rPr>
                <w:sz w:val="17"/>
              </w:rPr>
              <w:t>110–113</w:t>
            </w:r>
          </w:p>
        </w:tc>
      </w:tr>
      <w:tr w:rsidR="000F56DE" w14:paraId="611EDE84" w14:textId="77777777">
        <w:trPr>
          <w:jc w:val="center"/>
        </w:trPr>
        <w:tc>
          <w:tcPr>
            <w:tcW w:w="792" w:type="dxa"/>
            <w:vAlign w:val="center"/>
          </w:tcPr>
          <w:p w14:paraId="4513BC92" w14:textId="77777777" w:rsidR="000F56DE" w:rsidRDefault="00000000">
            <w:pPr>
              <w:jc w:val="center"/>
            </w:pPr>
            <w:r>
              <w:rPr>
                <w:sz w:val="17"/>
              </w:rPr>
              <w:t>27</w:t>
            </w:r>
          </w:p>
        </w:tc>
        <w:tc>
          <w:tcPr>
            <w:tcW w:w="7992" w:type="dxa"/>
            <w:vAlign w:val="center"/>
          </w:tcPr>
          <w:p w14:paraId="21360169" w14:textId="77777777" w:rsidR="000F56DE" w:rsidRDefault="00000000">
            <w:r>
              <w:t>Chapter 27. U.S. Country Risk Intelligence</w:t>
            </w:r>
          </w:p>
        </w:tc>
        <w:tc>
          <w:tcPr>
            <w:tcW w:w="1296" w:type="dxa"/>
            <w:vAlign w:val="center"/>
          </w:tcPr>
          <w:p w14:paraId="2FE0E0DA" w14:textId="77777777" w:rsidR="000F56DE" w:rsidRDefault="00000000">
            <w:pPr>
              <w:jc w:val="center"/>
            </w:pPr>
            <w:r>
              <w:rPr>
                <w:sz w:val="17"/>
              </w:rPr>
              <w:t>114–118</w:t>
            </w:r>
          </w:p>
        </w:tc>
      </w:tr>
      <w:tr w:rsidR="000F56DE" w14:paraId="15B078C3" w14:textId="77777777">
        <w:trPr>
          <w:jc w:val="center"/>
        </w:trPr>
        <w:tc>
          <w:tcPr>
            <w:tcW w:w="792" w:type="dxa"/>
            <w:shd w:val="clear" w:color="auto" w:fill="EAF2F8"/>
            <w:vAlign w:val="center"/>
          </w:tcPr>
          <w:p w14:paraId="784B4731" w14:textId="77777777" w:rsidR="000F56DE" w:rsidRDefault="00000000">
            <w:pPr>
              <w:jc w:val="center"/>
            </w:pPr>
            <w:r>
              <w:rPr>
                <w:sz w:val="17"/>
              </w:rPr>
              <w:t>28</w:t>
            </w:r>
          </w:p>
        </w:tc>
        <w:tc>
          <w:tcPr>
            <w:tcW w:w="7992" w:type="dxa"/>
            <w:shd w:val="clear" w:color="auto" w:fill="EAF2F8"/>
            <w:vAlign w:val="center"/>
          </w:tcPr>
          <w:p w14:paraId="7AF70973" w14:textId="77777777" w:rsidR="000F56DE" w:rsidRDefault="00000000">
            <w:r>
              <w:t>Chapter 28. Macro Transmission Analysis</w:t>
            </w:r>
          </w:p>
        </w:tc>
        <w:tc>
          <w:tcPr>
            <w:tcW w:w="1296" w:type="dxa"/>
            <w:shd w:val="clear" w:color="auto" w:fill="EAF2F8"/>
            <w:vAlign w:val="center"/>
          </w:tcPr>
          <w:p w14:paraId="72327B48" w14:textId="77777777" w:rsidR="000F56DE" w:rsidRDefault="00000000">
            <w:pPr>
              <w:jc w:val="center"/>
            </w:pPr>
            <w:r>
              <w:rPr>
                <w:sz w:val="17"/>
              </w:rPr>
              <w:t>119–122</w:t>
            </w:r>
          </w:p>
        </w:tc>
      </w:tr>
      <w:tr w:rsidR="000F56DE" w14:paraId="1E00FC0F" w14:textId="77777777">
        <w:trPr>
          <w:jc w:val="center"/>
        </w:trPr>
        <w:tc>
          <w:tcPr>
            <w:tcW w:w="792" w:type="dxa"/>
            <w:vAlign w:val="center"/>
          </w:tcPr>
          <w:p w14:paraId="2E159134" w14:textId="77777777" w:rsidR="000F56DE" w:rsidRDefault="00000000">
            <w:pPr>
              <w:jc w:val="center"/>
            </w:pPr>
            <w:r>
              <w:rPr>
                <w:sz w:val="17"/>
              </w:rPr>
              <w:t>29</w:t>
            </w:r>
          </w:p>
        </w:tc>
        <w:tc>
          <w:tcPr>
            <w:tcW w:w="7992" w:type="dxa"/>
            <w:vAlign w:val="center"/>
          </w:tcPr>
          <w:p w14:paraId="0C7052DB" w14:textId="77777777" w:rsidR="000F56DE" w:rsidRDefault="00000000">
            <w:r>
              <w:t>Chapter 29. Scenario Analysis</w:t>
            </w:r>
          </w:p>
        </w:tc>
        <w:tc>
          <w:tcPr>
            <w:tcW w:w="1296" w:type="dxa"/>
            <w:vAlign w:val="center"/>
          </w:tcPr>
          <w:p w14:paraId="4C2762AA" w14:textId="77777777" w:rsidR="000F56DE" w:rsidRDefault="00000000">
            <w:pPr>
              <w:jc w:val="center"/>
            </w:pPr>
            <w:r>
              <w:rPr>
                <w:sz w:val="17"/>
              </w:rPr>
              <w:t>123–127</w:t>
            </w:r>
          </w:p>
        </w:tc>
      </w:tr>
      <w:tr w:rsidR="000F56DE" w14:paraId="559135E6" w14:textId="77777777">
        <w:trPr>
          <w:jc w:val="center"/>
        </w:trPr>
        <w:tc>
          <w:tcPr>
            <w:tcW w:w="792" w:type="dxa"/>
            <w:shd w:val="clear" w:color="auto" w:fill="EAF2F8"/>
            <w:vAlign w:val="center"/>
          </w:tcPr>
          <w:p w14:paraId="26D29F4C" w14:textId="77777777" w:rsidR="000F56DE" w:rsidRDefault="00000000">
            <w:pPr>
              <w:jc w:val="center"/>
            </w:pPr>
            <w:r>
              <w:rPr>
                <w:sz w:val="17"/>
              </w:rPr>
              <w:t>30</w:t>
            </w:r>
          </w:p>
        </w:tc>
        <w:tc>
          <w:tcPr>
            <w:tcW w:w="7992" w:type="dxa"/>
            <w:shd w:val="clear" w:color="auto" w:fill="EAF2F8"/>
            <w:vAlign w:val="center"/>
          </w:tcPr>
          <w:p w14:paraId="7935E3E6" w14:textId="77777777" w:rsidR="000F56DE" w:rsidRDefault="00000000">
            <w:r>
              <w:t>Chapter 30. BrandEssence Forecasts</w:t>
            </w:r>
          </w:p>
        </w:tc>
        <w:tc>
          <w:tcPr>
            <w:tcW w:w="1296" w:type="dxa"/>
            <w:shd w:val="clear" w:color="auto" w:fill="EAF2F8"/>
            <w:vAlign w:val="center"/>
          </w:tcPr>
          <w:p w14:paraId="2374DEB9" w14:textId="77777777" w:rsidR="000F56DE" w:rsidRDefault="00000000">
            <w:pPr>
              <w:jc w:val="center"/>
            </w:pPr>
            <w:r>
              <w:rPr>
                <w:sz w:val="17"/>
              </w:rPr>
              <w:t>128–130</w:t>
            </w:r>
          </w:p>
        </w:tc>
      </w:tr>
      <w:tr w:rsidR="000F56DE" w14:paraId="1AF46026" w14:textId="77777777">
        <w:trPr>
          <w:jc w:val="center"/>
        </w:trPr>
        <w:tc>
          <w:tcPr>
            <w:tcW w:w="792" w:type="dxa"/>
            <w:vAlign w:val="center"/>
          </w:tcPr>
          <w:p w14:paraId="3ECD9877" w14:textId="77777777" w:rsidR="000F56DE" w:rsidRDefault="00000000">
            <w:pPr>
              <w:jc w:val="center"/>
            </w:pPr>
            <w:r>
              <w:rPr>
                <w:sz w:val="17"/>
              </w:rPr>
              <w:t>31</w:t>
            </w:r>
          </w:p>
        </w:tc>
        <w:tc>
          <w:tcPr>
            <w:tcW w:w="7992" w:type="dxa"/>
            <w:vAlign w:val="center"/>
          </w:tcPr>
          <w:p w14:paraId="705ED3E3" w14:textId="77777777" w:rsidR="000F56DE" w:rsidRDefault="00000000">
            <w:r>
              <w:t>Chapter 31. Business &amp; Investment Implications</w:t>
            </w:r>
          </w:p>
        </w:tc>
        <w:tc>
          <w:tcPr>
            <w:tcW w:w="1296" w:type="dxa"/>
            <w:vAlign w:val="center"/>
          </w:tcPr>
          <w:p w14:paraId="00F39053" w14:textId="77777777" w:rsidR="000F56DE" w:rsidRDefault="00000000">
            <w:pPr>
              <w:jc w:val="center"/>
            </w:pPr>
            <w:r>
              <w:rPr>
                <w:sz w:val="17"/>
              </w:rPr>
              <w:t>131–134</w:t>
            </w:r>
          </w:p>
        </w:tc>
      </w:tr>
      <w:tr w:rsidR="000F56DE" w14:paraId="3CEA3E61" w14:textId="77777777">
        <w:trPr>
          <w:jc w:val="center"/>
        </w:trPr>
        <w:tc>
          <w:tcPr>
            <w:tcW w:w="792" w:type="dxa"/>
            <w:shd w:val="clear" w:color="auto" w:fill="EAF2F8"/>
            <w:vAlign w:val="center"/>
          </w:tcPr>
          <w:p w14:paraId="2C195ACA" w14:textId="77777777" w:rsidR="000F56DE" w:rsidRDefault="00000000">
            <w:pPr>
              <w:jc w:val="center"/>
            </w:pPr>
            <w:r>
              <w:rPr>
                <w:sz w:val="17"/>
              </w:rPr>
              <w:t>32</w:t>
            </w:r>
          </w:p>
        </w:tc>
        <w:tc>
          <w:tcPr>
            <w:tcW w:w="7992" w:type="dxa"/>
            <w:shd w:val="clear" w:color="auto" w:fill="EAF2F8"/>
            <w:vAlign w:val="center"/>
          </w:tcPr>
          <w:p w14:paraId="63BCB336" w14:textId="77777777" w:rsidR="000F56DE" w:rsidRDefault="00000000">
            <w:r>
              <w:t>Chapter 32. BrandEssence U.S. Macro Risk Scorecard</w:t>
            </w:r>
          </w:p>
        </w:tc>
        <w:tc>
          <w:tcPr>
            <w:tcW w:w="1296" w:type="dxa"/>
            <w:shd w:val="clear" w:color="auto" w:fill="EAF2F8"/>
            <w:vAlign w:val="center"/>
          </w:tcPr>
          <w:p w14:paraId="59340D2C" w14:textId="77777777" w:rsidR="000F56DE" w:rsidRDefault="00000000">
            <w:pPr>
              <w:jc w:val="center"/>
            </w:pPr>
            <w:r>
              <w:rPr>
                <w:sz w:val="17"/>
              </w:rPr>
              <w:t>135–137</w:t>
            </w:r>
          </w:p>
        </w:tc>
      </w:tr>
      <w:tr w:rsidR="000F56DE" w14:paraId="6097C8C4" w14:textId="77777777">
        <w:trPr>
          <w:jc w:val="center"/>
        </w:trPr>
        <w:tc>
          <w:tcPr>
            <w:tcW w:w="792" w:type="dxa"/>
            <w:vAlign w:val="center"/>
          </w:tcPr>
          <w:p w14:paraId="0167F093" w14:textId="77777777" w:rsidR="000F56DE" w:rsidRDefault="00000000">
            <w:pPr>
              <w:jc w:val="center"/>
            </w:pPr>
            <w:r>
              <w:rPr>
                <w:sz w:val="17"/>
              </w:rPr>
              <w:t>33</w:t>
            </w:r>
          </w:p>
        </w:tc>
        <w:tc>
          <w:tcPr>
            <w:tcW w:w="7992" w:type="dxa"/>
            <w:vAlign w:val="center"/>
          </w:tcPr>
          <w:p w14:paraId="0B84E902" w14:textId="77777777" w:rsidR="000F56DE" w:rsidRDefault="00000000">
            <w:r>
              <w:t>Chapter 33. Conclusion &amp; Macro Watchlist</w:t>
            </w:r>
          </w:p>
        </w:tc>
        <w:tc>
          <w:tcPr>
            <w:tcW w:w="1296" w:type="dxa"/>
            <w:vAlign w:val="center"/>
          </w:tcPr>
          <w:p w14:paraId="04EBAEA6" w14:textId="77777777" w:rsidR="000F56DE" w:rsidRDefault="00000000">
            <w:pPr>
              <w:jc w:val="center"/>
            </w:pPr>
            <w:r>
              <w:rPr>
                <w:sz w:val="17"/>
              </w:rPr>
              <w:t>138–139</w:t>
            </w:r>
          </w:p>
        </w:tc>
      </w:tr>
      <w:tr w:rsidR="000F56DE" w14:paraId="49175C71" w14:textId="77777777">
        <w:trPr>
          <w:jc w:val="center"/>
        </w:trPr>
        <w:tc>
          <w:tcPr>
            <w:tcW w:w="792" w:type="dxa"/>
            <w:shd w:val="clear" w:color="auto" w:fill="EAF2F8"/>
            <w:vAlign w:val="center"/>
          </w:tcPr>
          <w:p w14:paraId="39FE0113" w14:textId="77777777" w:rsidR="000F56DE" w:rsidRDefault="00000000">
            <w:pPr>
              <w:jc w:val="center"/>
            </w:pPr>
            <w:r>
              <w:rPr>
                <w:sz w:val="17"/>
              </w:rPr>
              <w:t>34</w:t>
            </w:r>
          </w:p>
        </w:tc>
        <w:tc>
          <w:tcPr>
            <w:tcW w:w="7992" w:type="dxa"/>
            <w:shd w:val="clear" w:color="auto" w:fill="EAF2F8"/>
            <w:vAlign w:val="center"/>
          </w:tcPr>
          <w:p w14:paraId="607C0D6B" w14:textId="77777777" w:rsidR="000F56DE" w:rsidRDefault="00000000">
            <w:r>
              <w:t>Chapter 34. Statistical Annexure</w:t>
            </w:r>
          </w:p>
        </w:tc>
        <w:tc>
          <w:tcPr>
            <w:tcW w:w="1296" w:type="dxa"/>
            <w:shd w:val="clear" w:color="auto" w:fill="EAF2F8"/>
            <w:vAlign w:val="center"/>
          </w:tcPr>
          <w:p w14:paraId="121BA1B5" w14:textId="77777777" w:rsidR="000F56DE" w:rsidRDefault="00000000">
            <w:pPr>
              <w:jc w:val="center"/>
            </w:pPr>
            <w:r>
              <w:rPr>
                <w:sz w:val="17"/>
              </w:rPr>
              <w:t>140–155</w:t>
            </w:r>
          </w:p>
        </w:tc>
      </w:tr>
    </w:tbl>
    <w:p w14:paraId="20424407" w14:textId="77777777" w:rsidR="000F56DE" w:rsidRDefault="00000000">
      <w:pPr>
        <w:jc w:val="right"/>
      </w:pPr>
      <w:r>
        <w:rPr>
          <w:i/>
          <w:color w:val="5A5A5A"/>
          <w:sz w:val="16"/>
        </w:rPr>
        <w:t>Page references follow the fixed 155-page report architecture.</w:t>
      </w:r>
    </w:p>
    <w:p w14:paraId="29388661" w14:textId="77777777" w:rsidR="000F56DE" w:rsidRDefault="00000000">
      <w:pPr>
        <w:pStyle w:val="Kicker"/>
        <w:pageBreakBefore/>
      </w:pPr>
      <w:r>
        <w:lastRenderedPageBreak/>
        <w:t>CHAPTER 02  /  PAGE 002  /  EXECUTIVE SUMMARY</w:t>
      </w:r>
    </w:p>
    <w:p w14:paraId="7887F5CD" w14:textId="341410A7" w:rsidR="000F56DE" w:rsidRDefault="00000000">
      <w:pPr>
        <w:pStyle w:val="Heading1"/>
      </w:pPr>
      <w:r>
        <w:t>2. America in One View</w:t>
      </w:r>
    </w:p>
    <w:p w14:paraId="48881675" w14:textId="77777777" w:rsidR="000F2ABC" w:rsidRPr="000F2ABC" w:rsidRDefault="000F2ABC" w:rsidP="000F2ABC">
      <w:r w:rsidRPr="000F2ABC">
        <w:rPr>
          <w:b/>
        </w:rPr>
        <w:t>AMERICA IN ONE VIEW</w:t>
      </w:r>
    </w:p>
    <w:p w14:paraId="27D25614" w14:textId="77777777" w:rsidR="000F2ABC" w:rsidRPr="000F2ABC" w:rsidRDefault="000F2ABC" w:rsidP="000F2ABC">
      <w:r w:rsidRPr="000F2ABC">
        <w:rPr>
          <w:i/>
        </w:rPr>
        <w:t>Executive Macro Snapshot | 2015–2025</w:t>
      </w:r>
    </w:p>
    <w:p w14:paraId="4B3D135C" w14:textId="77777777" w:rsidR="000F2ABC" w:rsidRPr="000F2ABC" w:rsidRDefault="000F2ABC" w:rsidP="000F2ABC">
      <w:r w:rsidRPr="000F2ABC">
        <w:t>The U.S. economy remained on a steady growth path in 2025, although the pace was slower than the strong recovery seen after 2020. Consumer spending continued to support activity, while inflation moved much closer to normal levels after the sharp increase in 2021 and 2022. The labor market also remained relatively stable, despite some gradual cooling.</w:t>
      </w:r>
    </w:p>
    <w:p w14:paraId="011C7EF3" w14:textId="77777777" w:rsidR="000F2ABC" w:rsidRPr="000F2ABC" w:rsidRDefault="000F2ABC" w:rsidP="000F2ABC">
      <w:r w:rsidRPr="000F2ABC">
        <w:t>At the same time, the economic environment is more challenging than it was a few years ago. Interest rates remain relatively high, housing affordability is still under pressure, and the federal government continues to carry a large fiscal burden. Business investment, particularly in technology, AI and data centers, is becoming an important source of new activity.</w:t>
      </w:r>
    </w:p>
    <w:p w14:paraId="3D3EF18A" w14:textId="77777777" w:rsidR="000F2ABC" w:rsidRPr="000F2ABC" w:rsidRDefault="000F2ABC" w:rsidP="000F2ABC">
      <w:r w:rsidRPr="000F2ABC">
        <w:t>Overall, the economy remains resilient, but growth is becoming more balanced and moderate. The main question going forward is whether inflation can continue to ease while growth and employment remain stable.</w:t>
      </w:r>
    </w:p>
    <w:tbl>
      <w:tblPr>
        <w:tblW w:w="0" w:type="auto"/>
        <w:jc w:val="center"/>
        <w:tblLook w:val="04A0" w:firstRow="1" w:lastRow="0" w:firstColumn="1" w:lastColumn="0" w:noHBand="0" w:noVBand="1"/>
      </w:tblPr>
      <w:tblGrid>
        <w:gridCol w:w="3456"/>
        <w:gridCol w:w="3456"/>
        <w:gridCol w:w="3456"/>
      </w:tblGrid>
      <w:tr w:rsidR="000F2ABC" w:rsidRPr="000F2ABC" w14:paraId="0A9EFB6F" w14:textId="77777777">
        <w:trPr>
          <w:jc w:val="center"/>
        </w:trPr>
        <w:tc>
          <w:tcPr>
            <w:tcW w:w="3456" w:type="dxa"/>
            <w:shd w:val="clear" w:color="auto" w:fill="EAF0F8"/>
            <w:vAlign w:val="center"/>
            <w:hideMark/>
          </w:tcPr>
          <w:p w14:paraId="32C51CFE" w14:textId="77777777" w:rsidR="000F2ABC" w:rsidRPr="000F2ABC" w:rsidRDefault="000F2ABC" w:rsidP="000F2ABC">
            <w:r w:rsidRPr="000F2ABC">
              <w:rPr>
                <w:b/>
              </w:rPr>
              <w:t>Real GDP Growth</w:t>
            </w:r>
            <w:r w:rsidRPr="000F2ABC">
              <w:rPr>
                <w:b/>
              </w:rPr>
              <w:br/>
              <w:t>2.1%</w:t>
            </w:r>
            <w:r w:rsidRPr="000F2ABC">
              <w:rPr>
                <w:b/>
              </w:rPr>
              <w:br/>
            </w:r>
            <w:r w:rsidRPr="000F2ABC">
              <w:t>2025</w:t>
            </w:r>
          </w:p>
        </w:tc>
        <w:tc>
          <w:tcPr>
            <w:tcW w:w="3456" w:type="dxa"/>
            <w:shd w:val="clear" w:color="auto" w:fill="EAF0F8"/>
            <w:vAlign w:val="center"/>
            <w:hideMark/>
          </w:tcPr>
          <w:p w14:paraId="4EF603C1" w14:textId="77777777" w:rsidR="000F2ABC" w:rsidRPr="000F2ABC" w:rsidRDefault="000F2ABC" w:rsidP="000F2ABC">
            <w:r w:rsidRPr="000F2ABC">
              <w:rPr>
                <w:b/>
              </w:rPr>
              <w:t>PCE Inflation</w:t>
            </w:r>
            <w:r w:rsidRPr="000F2ABC">
              <w:rPr>
                <w:b/>
              </w:rPr>
              <w:br/>
              <w:t>2.6%</w:t>
            </w:r>
            <w:r w:rsidRPr="000F2ABC">
              <w:rPr>
                <w:b/>
              </w:rPr>
              <w:br/>
            </w:r>
            <w:r w:rsidRPr="000F2ABC">
              <w:t>2025</w:t>
            </w:r>
          </w:p>
        </w:tc>
        <w:tc>
          <w:tcPr>
            <w:tcW w:w="3456" w:type="dxa"/>
            <w:shd w:val="clear" w:color="auto" w:fill="EAF0F8"/>
            <w:vAlign w:val="center"/>
            <w:hideMark/>
          </w:tcPr>
          <w:p w14:paraId="4EFAE7E4" w14:textId="77777777" w:rsidR="000F2ABC" w:rsidRPr="000F2ABC" w:rsidRDefault="000F2ABC" w:rsidP="000F2ABC">
            <w:r w:rsidRPr="000F2ABC">
              <w:rPr>
                <w:b/>
              </w:rPr>
              <w:t>Core PCE Inflation</w:t>
            </w:r>
            <w:r w:rsidRPr="000F2ABC">
              <w:rPr>
                <w:b/>
              </w:rPr>
              <w:br/>
              <w:t>2.8%</w:t>
            </w:r>
            <w:r w:rsidRPr="000F2ABC">
              <w:rPr>
                <w:b/>
              </w:rPr>
              <w:br/>
            </w:r>
            <w:r w:rsidRPr="000F2ABC">
              <w:t>2025</w:t>
            </w:r>
          </w:p>
        </w:tc>
      </w:tr>
      <w:tr w:rsidR="000F2ABC" w:rsidRPr="000F2ABC" w14:paraId="2207DB3D" w14:textId="77777777">
        <w:trPr>
          <w:jc w:val="center"/>
        </w:trPr>
        <w:tc>
          <w:tcPr>
            <w:tcW w:w="3456" w:type="dxa"/>
            <w:shd w:val="clear" w:color="auto" w:fill="EAF0F8"/>
            <w:vAlign w:val="center"/>
            <w:hideMark/>
          </w:tcPr>
          <w:p w14:paraId="1020907E" w14:textId="77777777" w:rsidR="000F2ABC" w:rsidRPr="000F2ABC" w:rsidRDefault="000F2ABC" w:rsidP="000F2ABC">
            <w:r w:rsidRPr="000F2ABC">
              <w:rPr>
                <w:b/>
              </w:rPr>
              <w:t>Fed Funds Rate</w:t>
            </w:r>
            <w:r w:rsidRPr="000F2ABC">
              <w:rPr>
                <w:b/>
              </w:rPr>
              <w:br/>
              <w:t>4.21%</w:t>
            </w:r>
            <w:r w:rsidRPr="000F2ABC">
              <w:rPr>
                <w:b/>
              </w:rPr>
              <w:br/>
            </w:r>
            <w:r w:rsidRPr="000F2ABC">
              <w:t>2025 average</w:t>
            </w:r>
          </w:p>
        </w:tc>
        <w:tc>
          <w:tcPr>
            <w:tcW w:w="3456" w:type="dxa"/>
            <w:shd w:val="clear" w:color="auto" w:fill="EAF0F8"/>
            <w:vAlign w:val="center"/>
            <w:hideMark/>
          </w:tcPr>
          <w:p w14:paraId="4C53E9F8" w14:textId="77777777" w:rsidR="000F2ABC" w:rsidRPr="000F2ABC" w:rsidRDefault="000F2ABC" w:rsidP="000F2ABC">
            <w:r w:rsidRPr="000F2ABC">
              <w:rPr>
                <w:b/>
              </w:rPr>
              <w:t>Unemployment</w:t>
            </w:r>
            <w:r w:rsidRPr="000F2ABC">
              <w:rPr>
                <w:b/>
              </w:rPr>
              <w:br/>
              <w:t>4.2%</w:t>
            </w:r>
            <w:r w:rsidRPr="000F2ABC">
              <w:rPr>
                <w:b/>
              </w:rPr>
              <w:br/>
            </w:r>
            <w:r w:rsidRPr="000F2ABC">
              <w:t>2025 average</w:t>
            </w:r>
          </w:p>
        </w:tc>
        <w:tc>
          <w:tcPr>
            <w:tcW w:w="3456" w:type="dxa"/>
            <w:shd w:val="clear" w:color="auto" w:fill="EAF0F8"/>
            <w:vAlign w:val="center"/>
            <w:hideMark/>
          </w:tcPr>
          <w:p w14:paraId="4A43B1C6" w14:textId="77777777" w:rsidR="000F2ABC" w:rsidRPr="000F2ABC" w:rsidRDefault="000F2ABC" w:rsidP="000F2ABC">
            <w:r w:rsidRPr="000F2ABC">
              <w:rPr>
                <w:b/>
              </w:rPr>
              <w:t>Labor Participation</w:t>
            </w:r>
            <w:r w:rsidRPr="000F2ABC">
              <w:rPr>
                <w:b/>
              </w:rPr>
              <w:br/>
              <w:t>62.4%</w:t>
            </w:r>
            <w:r w:rsidRPr="000F2ABC">
              <w:rPr>
                <w:b/>
              </w:rPr>
              <w:br/>
            </w:r>
            <w:r w:rsidRPr="000F2ABC">
              <w:t>2025 average</w:t>
            </w:r>
          </w:p>
        </w:tc>
      </w:tr>
      <w:tr w:rsidR="000F2ABC" w:rsidRPr="000F2ABC" w14:paraId="2EA3B53A" w14:textId="77777777">
        <w:trPr>
          <w:jc w:val="center"/>
        </w:trPr>
        <w:tc>
          <w:tcPr>
            <w:tcW w:w="3456" w:type="dxa"/>
            <w:shd w:val="clear" w:color="auto" w:fill="EAF0F8"/>
            <w:vAlign w:val="center"/>
            <w:hideMark/>
          </w:tcPr>
          <w:p w14:paraId="227272A0" w14:textId="77777777" w:rsidR="000F2ABC" w:rsidRPr="000F2ABC" w:rsidRDefault="000F2ABC" w:rsidP="000F2ABC">
            <w:r w:rsidRPr="000F2ABC">
              <w:rPr>
                <w:b/>
              </w:rPr>
              <w:t>Current Account / GDP</w:t>
            </w:r>
            <w:r w:rsidRPr="000F2ABC">
              <w:rPr>
                <w:b/>
              </w:rPr>
              <w:br/>
              <w:t>-3.6%</w:t>
            </w:r>
            <w:r w:rsidRPr="000F2ABC">
              <w:rPr>
                <w:b/>
              </w:rPr>
              <w:br/>
            </w:r>
            <w:r w:rsidRPr="000F2ABC">
              <w:t>2025</w:t>
            </w:r>
          </w:p>
        </w:tc>
        <w:tc>
          <w:tcPr>
            <w:tcW w:w="3456" w:type="dxa"/>
            <w:shd w:val="clear" w:color="auto" w:fill="EAF0F8"/>
            <w:vAlign w:val="center"/>
            <w:hideMark/>
          </w:tcPr>
          <w:p w14:paraId="1BA43832" w14:textId="77777777" w:rsidR="000F2ABC" w:rsidRPr="000F2ABC" w:rsidRDefault="000F2ABC" w:rsidP="000F2ABC">
            <w:r w:rsidRPr="000F2ABC">
              <w:rPr>
                <w:b/>
              </w:rPr>
              <w:t>Federal Deficit / GDP</w:t>
            </w:r>
            <w:r w:rsidRPr="000F2ABC">
              <w:rPr>
                <w:b/>
              </w:rPr>
              <w:br/>
              <w:t>5.9%</w:t>
            </w:r>
            <w:r w:rsidRPr="000F2ABC">
              <w:rPr>
                <w:b/>
              </w:rPr>
              <w:br/>
            </w:r>
            <w:r w:rsidRPr="000F2ABC">
              <w:t>FY2025</w:t>
            </w:r>
          </w:p>
        </w:tc>
        <w:tc>
          <w:tcPr>
            <w:tcW w:w="3456" w:type="dxa"/>
            <w:shd w:val="clear" w:color="auto" w:fill="EAF0F8"/>
            <w:vAlign w:val="center"/>
            <w:hideMark/>
          </w:tcPr>
          <w:p w14:paraId="060CA85D" w14:textId="77777777" w:rsidR="000F2ABC" w:rsidRPr="000F2ABC" w:rsidRDefault="000F2ABC" w:rsidP="000F2ABC">
            <w:r w:rsidRPr="000F2ABC">
              <w:rPr>
                <w:b/>
              </w:rPr>
              <w:t>Debt Held by Public / GDP</w:t>
            </w:r>
            <w:r w:rsidRPr="000F2ABC">
              <w:rPr>
                <w:b/>
              </w:rPr>
              <w:br/>
              <w:t>99.8%</w:t>
            </w:r>
            <w:r w:rsidRPr="000F2ABC">
              <w:rPr>
                <w:b/>
              </w:rPr>
              <w:br/>
            </w:r>
            <w:r w:rsidRPr="000F2ABC">
              <w:t>FY2025</w:t>
            </w:r>
          </w:p>
        </w:tc>
      </w:tr>
    </w:tbl>
    <w:p w14:paraId="596C49CF" w14:textId="77777777" w:rsidR="000F2ABC" w:rsidRPr="000F2ABC" w:rsidRDefault="000F2ABC" w:rsidP="000F2ABC"/>
    <w:p w14:paraId="2A587EF0" w14:textId="3EE385D4" w:rsidR="000F2ABC" w:rsidRPr="000F2ABC" w:rsidRDefault="000F2ABC" w:rsidP="000F2ABC">
      <w:r w:rsidRPr="000F2ABC">
        <w:rPr>
          <w:noProof/>
        </w:rPr>
        <w:drawing>
          <wp:inline distT="0" distB="0" distL="0" distR="0" wp14:anchorId="0C508F8C" wp14:editId="13FBD33D">
            <wp:extent cx="4480560" cy="2240280"/>
            <wp:effectExtent l="0" t="0" r="0" b="7620"/>
            <wp:docPr id="20238481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0560" cy="2240280"/>
                    </a:xfrm>
                    <a:prstGeom prst="rect">
                      <a:avLst/>
                    </a:prstGeom>
                    <a:noFill/>
                    <a:ln>
                      <a:noFill/>
                    </a:ln>
                  </pic:spPr>
                </pic:pic>
              </a:graphicData>
            </a:graphic>
          </wp:inline>
        </w:drawing>
      </w:r>
    </w:p>
    <w:p w14:paraId="200A96E1" w14:textId="77777777" w:rsidR="000F2ABC" w:rsidRPr="000F2ABC" w:rsidRDefault="000F2ABC" w:rsidP="000F2ABC">
      <w:r w:rsidRPr="000F2ABC">
        <w:rPr>
          <w:b/>
        </w:rPr>
      </w:r>
      <w:r w:rsidRPr="000F2ABC">
        <w:t>U.S. growth has slowed from the strong recovery seen after 2020, but the economy continues to expand. The recent pattern looks more like a return to normal growth than a sharp downturn.</w:t>
      </w:r>
    </w:p>
    <w:p w14:paraId="514AF979" w14:textId="77777777" w:rsidR="000F2ABC" w:rsidRPr="000F2ABC" w:rsidRDefault="000F2ABC" w:rsidP="000F2ABC">
      <w:r w:rsidRPr="000F2ABC">
        <w:br w:type="page"/>
      </w:r>
    </w:p>
    <w:p w14:paraId="44517897" w14:textId="77777777" w:rsidR="000F2ABC" w:rsidRPr="000F2ABC" w:rsidRDefault="000F2ABC" w:rsidP="000F2ABC">
      <w:pPr>
        <w:rPr>
          <w:b/>
          <w:bCs/>
        </w:rPr>
      </w:pPr>
      <w:r w:rsidRPr="000F2ABC">
        <w:rPr>
          <w:b/>
          <w:bCs/>
        </w:rPr>
        <w:lastRenderedPageBreak/>
        <w:t>15 Key Macro Messages</w:t>
      </w:r>
    </w:p>
    <w:p w14:paraId="048C0656" w14:textId="77777777" w:rsidR="000F2ABC" w:rsidRPr="000F2ABC" w:rsidRDefault="000F2ABC" w:rsidP="000F2ABC">
      <w:r w:rsidRPr="000F2ABC">
        <w:rPr>
          <w:b/>
        </w:rPr>
        <w:t xml:space="preserve">1. Economic Growth: </w:t>
      </w:r>
      <w:r w:rsidRPr="000F2ABC">
        <w:t>The U.S. economy continues to grow, but the pace has slowed from the strong rebound seen after 2020. The current trend looks more like a return to normal growth than a major slowdown.</w:t>
      </w:r>
    </w:p>
    <w:p w14:paraId="0ADBBDAE" w14:textId="77777777" w:rsidR="000F2ABC" w:rsidRPr="000F2ABC" w:rsidRDefault="000F2ABC" w:rsidP="000F2ABC">
      <w:r w:rsidRPr="000F2ABC">
        <w:rPr>
          <w:b/>
        </w:rPr>
        <w:t xml:space="preserve">2. Consumer Spending: </w:t>
      </w:r>
      <w:r w:rsidRPr="000F2ABC">
        <w:t>Consumer spending remains one of the main supports for the economy. Households are still spending, although growth in consumption has become more moderate.</w:t>
      </w:r>
    </w:p>
    <w:p w14:paraId="2B0864AC" w14:textId="77777777" w:rsidR="000F2ABC" w:rsidRPr="000F2ABC" w:rsidRDefault="000F2ABC" w:rsidP="000F2ABC">
      <w:r w:rsidRPr="000F2ABC">
        <w:rPr>
          <w:b/>
        </w:rPr>
        <w:t xml:space="preserve">3. Inflation: </w:t>
      </w:r>
      <w:r w:rsidRPr="000F2ABC">
        <w:t>Inflation has come down significantly from its 2022 peak. This has reduced some pressure on household budgets and business costs, although prices are still rising.</w:t>
      </w:r>
    </w:p>
    <w:p w14:paraId="7C0AF79E" w14:textId="77777777" w:rsidR="000F2ABC" w:rsidRPr="000F2ABC" w:rsidRDefault="000F2ABC" w:rsidP="000F2ABC">
      <w:r w:rsidRPr="000F2ABC">
        <w:rPr>
          <w:b/>
        </w:rPr>
        <w:t xml:space="preserve">4. Core Inflation: </w:t>
      </w:r>
      <w:r w:rsidRPr="000F2ABC">
        <w:t>Underlying inflation is also moving lower, but the improvement has been gradual. Inflation is becoming more manageable, but it has not completely disappeared as a concern.</w:t>
      </w:r>
    </w:p>
    <w:p w14:paraId="4BCA6022" w14:textId="77777777" w:rsidR="000F2ABC" w:rsidRPr="000F2ABC" w:rsidRDefault="000F2ABC" w:rsidP="000F2ABC">
      <w:r w:rsidRPr="000F2ABC">
        <w:rPr>
          <w:b/>
        </w:rPr>
        <w:t xml:space="preserve">5. Interest Rates: </w:t>
      </w:r>
      <w:r w:rsidRPr="000F2ABC">
        <w:t>Interest rates remain much higher than they were before 2022. Even after some easing, borrowing costs continue to affect households, businesses and investment decisions.</w:t>
      </w:r>
    </w:p>
    <w:p w14:paraId="2DD6DC62" w14:textId="77777777" w:rsidR="000F2ABC" w:rsidRPr="000F2ABC" w:rsidRDefault="000F2ABC" w:rsidP="000F2ABC">
      <w:r w:rsidRPr="000F2ABC">
        <w:rPr>
          <w:b/>
        </w:rPr>
        <w:t xml:space="preserve">6. Labor Market: </w:t>
      </w:r>
      <w:r w:rsidRPr="000F2ABC">
        <w:t>The labor market remains relatively strong. Unemployment has increased slightly from recent lows, but there is no sign of a sharp deterioration in employment conditions.</w:t>
      </w:r>
    </w:p>
    <w:p w14:paraId="26D161E3" w14:textId="77777777" w:rsidR="000F2ABC" w:rsidRPr="000F2ABC" w:rsidRDefault="000F2ABC" w:rsidP="000F2ABC">
      <w:r w:rsidRPr="000F2ABC">
        <w:rPr>
          <w:b/>
        </w:rPr>
        <w:t xml:space="preserve">7. Labor Supply: </w:t>
      </w:r>
      <w:r w:rsidRPr="000F2ABC">
        <w:t>Labor-force participation has recovered from the 2020 decline, although it remains below its earlier peak. Labor availability therefore remains an issue for some industries.</w:t>
      </w:r>
    </w:p>
    <w:p w14:paraId="49A5037A" w14:textId="77777777" w:rsidR="000F2ABC" w:rsidRPr="000F2ABC" w:rsidRDefault="000F2ABC" w:rsidP="000F2ABC">
      <w:r w:rsidRPr="000F2ABC">
        <w:rPr>
          <w:b/>
        </w:rPr>
        <w:t xml:space="preserve">8. Wages: </w:t>
      </w:r>
      <w:r w:rsidRPr="000F2ABC">
        <w:t>Wage growth has become more moderate as labor-market conditions have started to balance. This may reduce some cost pressure on businesses while continuing to support household income.</w:t>
      </w:r>
    </w:p>
    <w:p w14:paraId="5A833A22" w14:textId="77777777" w:rsidR="000F2ABC" w:rsidRPr="000F2ABC" w:rsidRDefault="000F2ABC" w:rsidP="000F2ABC">
      <w:r w:rsidRPr="000F2ABC">
        <w:rPr>
          <w:b/>
        </w:rPr>
        <w:t xml:space="preserve">9. Housing Market: </w:t>
      </w:r>
      <w:r w:rsidRPr="000F2ABC">
        <w:t xml:space="preserve">Housing remains under pressure from high mortgage rates and elevated home prices. Demand has weakened, but limited housing supply continues to provide some support </w:t>
      </w:r>
      <w:proofErr w:type="gramStart"/>
      <w:r w:rsidRPr="000F2ABC">
        <w:t>to</w:t>
      </w:r>
      <w:proofErr w:type="gramEnd"/>
      <w:r w:rsidRPr="000F2ABC">
        <w:t xml:space="preserve"> the market.</w:t>
      </w:r>
    </w:p>
    <w:p w14:paraId="775A09E2" w14:textId="77777777" w:rsidR="000F2ABC" w:rsidRPr="000F2ABC" w:rsidRDefault="000F2ABC" w:rsidP="000F2ABC">
      <w:r w:rsidRPr="000F2ABC">
        <w:rPr>
          <w:b/>
        </w:rPr>
        <w:t xml:space="preserve">10. Business Investment: </w:t>
      </w:r>
      <w:r w:rsidRPr="000F2ABC">
        <w:t>Companies continue to invest, but the pattern of investment is changing. Technology, automation and digital infrastructure are becoming more important areas of capital spending.</w:t>
      </w:r>
    </w:p>
    <w:p w14:paraId="543A13A5" w14:textId="77777777" w:rsidR="000F2ABC" w:rsidRPr="000F2ABC" w:rsidRDefault="000F2ABC" w:rsidP="000F2ABC">
      <w:r w:rsidRPr="000F2ABC">
        <w:rPr>
          <w:b/>
        </w:rPr>
        <w:t xml:space="preserve">11. AI and Data Centers: </w:t>
      </w:r>
      <w:r w:rsidRPr="000F2ABC">
        <w:t>Investment in AI and data centers is growing quickly. This is supporting equipment, construction and electricity demand, while grid capacity and power availability are becoming practical constraints.</w:t>
      </w:r>
    </w:p>
    <w:p w14:paraId="53107430" w14:textId="77777777" w:rsidR="000F2ABC" w:rsidRPr="000F2ABC" w:rsidRDefault="000F2ABC" w:rsidP="000F2ABC">
      <w:r w:rsidRPr="000F2ABC">
        <w:rPr>
          <w:b/>
        </w:rPr>
        <w:t xml:space="preserve">12. Banking and Credit: </w:t>
      </w:r>
      <w:r w:rsidRPr="000F2ABC">
        <w:t>Higher interest rates have made borrowing more expensive. Credit conditions remain important for households and businesses, particularly those that need refinancing or new loans.</w:t>
      </w:r>
    </w:p>
    <w:p w14:paraId="394627B6" w14:textId="77777777" w:rsidR="000F2ABC" w:rsidRPr="000F2ABC" w:rsidRDefault="000F2ABC" w:rsidP="000F2ABC">
      <w:r w:rsidRPr="000F2ABC">
        <w:rPr>
          <w:b/>
        </w:rPr>
        <w:t xml:space="preserve">13. Fiscal Position: </w:t>
      </w:r>
      <w:r w:rsidRPr="000F2ABC">
        <w:t>The federal budget deficit remains large. Continued high deficits could increase pressure on government borrowing and interest costs over time.</w:t>
      </w:r>
    </w:p>
    <w:p w14:paraId="536E3587" w14:textId="77777777" w:rsidR="000F2ABC" w:rsidRPr="000F2ABC" w:rsidRDefault="000F2ABC" w:rsidP="000F2ABC">
      <w:r w:rsidRPr="000F2ABC">
        <w:rPr>
          <w:b/>
        </w:rPr>
        <w:t xml:space="preserve">14. Public Debt and External Balance: </w:t>
      </w:r>
      <w:r w:rsidRPr="000F2ABC">
        <w:t xml:space="preserve">High public debt and the continuing </w:t>
      </w:r>
      <w:proofErr w:type="gramStart"/>
      <w:r w:rsidRPr="000F2ABC">
        <w:t>current-account</w:t>
      </w:r>
      <w:proofErr w:type="gramEnd"/>
      <w:r w:rsidRPr="000F2ABC">
        <w:t xml:space="preserve"> deficit remain important structural issues. Both increase the importance of stable financial markets and continued investor demand for U.S. assets.</w:t>
      </w:r>
    </w:p>
    <w:p w14:paraId="46084FAA" w14:textId="77777777" w:rsidR="000F2ABC" w:rsidRPr="000F2ABC" w:rsidRDefault="000F2ABC" w:rsidP="000F2ABC">
      <w:r w:rsidRPr="000F2ABC">
        <w:rPr>
          <w:b/>
        </w:rPr>
        <w:t xml:space="preserve">15. Overall U.S. Macro View: </w:t>
      </w:r>
      <w:r w:rsidRPr="000F2ABC">
        <w:t xml:space="preserve">The U.S. economy remains in a relatively stable position, with </w:t>
      </w:r>
      <w:proofErr w:type="gramStart"/>
      <w:r w:rsidRPr="000F2ABC">
        <w:t>positive growth</w:t>
      </w:r>
      <w:proofErr w:type="gramEnd"/>
      <w:r w:rsidRPr="000F2ABC">
        <w:t>, lower inflation and a still-resilient labor market. High borrowing costs, fiscal pressure and housing affordability remain important challenges.</w:t>
      </w:r>
    </w:p>
    <w:p w14:paraId="47E4FB82" w14:textId="77777777" w:rsidR="000F2ABC" w:rsidRPr="000F2ABC" w:rsidRDefault="000F2ABC" w:rsidP="000F2ABC">
      <w:r w:rsidRPr="000F2ABC">
        <w:br w:type="page"/>
      </w:r>
    </w:p>
    <w:p w14:paraId="36918065" w14:textId="77777777" w:rsidR="000F2ABC" w:rsidRPr="000F2ABC" w:rsidRDefault="000F2ABC" w:rsidP="000F2ABC">
      <w:pPr>
        <w:rPr>
          <w:b/>
          <w:bCs/>
        </w:rPr>
      </w:pPr>
      <w:r w:rsidRPr="000F2ABC">
        <w:rPr>
          <w:b/>
          <w:bCs/>
        </w:rPr>
        <w:lastRenderedPageBreak/>
        <w:t>Macro Dashboard</w:t>
      </w:r>
    </w:p>
    <w:p w14:paraId="06F77830" w14:textId="77777777" w:rsidR="000F2ABC" w:rsidRPr="000F2ABC" w:rsidRDefault="000F2ABC" w:rsidP="000F2ABC">
      <w:r w:rsidRPr="000F2ABC">
        <w:t>These four indicators give a quick view of the main changes in growth, inflation, interest rates and employment.</w:t>
      </w:r>
    </w:p>
    <w:tbl>
      <w:tblPr>
        <w:tblW w:w="0" w:type="auto"/>
        <w:jc w:val="center"/>
        <w:tblLook w:val="04A0" w:firstRow="1" w:lastRow="0" w:firstColumn="1" w:lastColumn="0" w:noHBand="0" w:noVBand="1"/>
      </w:tblPr>
      <w:tblGrid>
        <w:gridCol w:w="5184"/>
        <w:gridCol w:w="5184"/>
      </w:tblGrid>
      <w:tr w:rsidR="000F2ABC" w:rsidRPr="000F2ABC" w14:paraId="171ABE80" w14:textId="77777777">
        <w:trPr>
          <w:jc w:val="center"/>
        </w:trPr>
        <w:tc>
          <w:tcPr>
            <w:tcW w:w="5184" w:type="dxa"/>
            <w:hideMark/>
          </w:tcPr>
          <w:p w14:paraId="5ECA8694" w14:textId="53A90948" w:rsidR="000F2ABC" w:rsidRPr="000F2ABC" w:rsidRDefault="000F2ABC" w:rsidP="000F2ABC">
            <w:r w:rsidRPr="000F2ABC">
              <w:rPr>
                <w:noProof/>
              </w:rPr>
              <w:drawing>
                <wp:inline distT="0" distB="0" distL="0" distR="0" wp14:anchorId="099FABFB" wp14:editId="73AD1FC7">
                  <wp:extent cx="2926080" cy="1463040"/>
                  <wp:effectExtent l="0" t="0" r="7620" b="3810"/>
                  <wp:docPr id="5137448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tc>
        <w:tc>
          <w:tcPr>
            <w:tcW w:w="5184" w:type="dxa"/>
            <w:hideMark/>
          </w:tcPr>
          <w:p w14:paraId="1A99BE00" w14:textId="6971CE81" w:rsidR="000F2ABC" w:rsidRPr="000F2ABC" w:rsidRDefault="000F2ABC" w:rsidP="000F2ABC">
            <w:r w:rsidRPr="000F2ABC">
              <w:rPr>
                <w:noProof/>
              </w:rPr>
              <w:drawing>
                <wp:inline distT="0" distB="0" distL="0" distR="0" wp14:anchorId="4D955F8D" wp14:editId="13F99911">
                  <wp:extent cx="2926080" cy="1463040"/>
                  <wp:effectExtent l="0" t="0" r="7620" b="3810"/>
                  <wp:docPr id="5518946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tc>
      </w:tr>
      <w:tr w:rsidR="000F2ABC" w:rsidRPr="000F2ABC" w14:paraId="1F212892" w14:textId="77777777">
        <w:trPr>
          <w:jc w:val="center"/>
        </w:trPr>
        <w:tc>
          <w:tcPr>
            <w:tcW w:w="5184" w:type="dxa"/>
            <w:hideMark/>
          </w:tcPr>
          <w:p w14:paraId="780AE653" w14:textId="52F5D3A2" w:rsidR="000F2ABC" w:rsidRPr="000F2ABC" w:rsidRDefault="000F2ABC" w:rsidP="000F2ABC">
            <w:r w:rsidRPr="000F2ABC">
              <w:rPr>
                <w:noProof/>
              </w:rPr>
              <w:drawing>
                <wp:inline distT="0" distB="0" distL="0" distR="0" wp14:anchorId="767F73DE" wp14:editId="7DD7982C">
                  <wp:extent cx="2926080" cy="1463040"/>
                  <wp:effectExtent l="0" t="0" r="7620" b="3810"/>
                  <wp:docPr id="3882757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tc>
        <w:tc>
          <w:tcPr>
            <w:tcW w:w="5184" w:type="dxa"/>
            <w:hideMark/>
          </w:tcPr>
          <w:p w14:paraId="5532F656" w14:textId="2EC3A97C" w:rsidR="000F2ABC" w:rsidRPr="000F2ABC" w:rsidRDefault="000F2ABC" w:rsidP="000F2ABC">
            <w:r w:rsidRPr="000F2ABC">
              <w:rPr>
                <w:noProof/>
              </w:rPr>
              <w:drawing>
                <wp:inline distT="0" distB="0" distL="0" distR="0" wp14:anchorId="128D0F13" wp14:editId="124CFE47">
                  <wp:extent cx="2926080" cy="1463040"/>
                  <wp:effectExtent l="0" t="0" r="7620" b="3810"/>
                  <wp:docPr id="16240209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tc>
      </w:tr>
    </w:tbl>
    <w:p w14:paraId="561E2F05" w14:textId="77777777" w:rsidR="000F2ABC" w:rsidRPr="000F2ABC" w:rsidRDefault="000F2ABC" w:rsidP="000F2ABC">
      <w:r w:rsidRPr="000F2ABC">
        <w:rPr>
          <w:b/>
        </w:rPr>
        <w:t xml:space="preserve">Growth – </w:t>
      </w:r>
      <w:r w:rsidRPr="000F2ABC">
        <w:t>U.S. economic growth has slowed from the strong recovery seen after 2020, but the economy continues to expand. The trend suggests normalization rather than a sharp loss of momentum.</w:t>
      </w:r>
    </w:p>
    <w:p w14:paraId="5EFEC5AE" w14:textId="77777777" w:rsidR="000F2ABC" w:rsidRPr="000F2ABC" w:rsidRDefault="000F2ABC" w:rsidP="000F2ABC">
      <w:r w:rsidRPr="000F2ABC">
        <w:rPr>
          <w:b/>
        </w:rPr>
        <w:t xml:space="preserve">Inflation – </w:t>
      </w:r>
      <w:r w:rsidRPr="000F2ABC">
        <w:t>Inflation increased sharply during 2021 and 2022 but has eased considerably since then. Both CPI and PCE inflation moved lower by 2025, improving the overall price environment.</w:t>
      </w:r>
    </w:p>
    <w:p w14:paraId="6EF28F81" w14:textId="77777777" w:rsidR="000F2ABC" w:rsidRPr="000F2ABC" w:rsidRDefault="000F2ABC" w:rsidP="000F2ABC">
      <w:r w:rsidRPr="000F2ABC">
        <w:rPr>
          <w:b/>
        </w:rPr>
        <w:t xml:space="preserve">Federal Funds Rate – </w:t>
      </w:r>
      <w:r w:rsidRPr="000F2ABC">
        <w:t>Interest rates increased rapidly as the Federal Reserve responded to higher inflation. Rates later started to ease, but borrowing costs remain much higher than during the earlier low-rate period.</w:t>
      </w:r>
    </w:p>
    <w:p w14:paraId="6A784C42" w14:textId="77777777" w:rsidR="000F2ABC" w:rsidRPr="000F2ABC" w:rsidRDefault="000F2ABC" w:rsidP="000F2ABC">
      <w:r w:rsidRPr="000F2ABC">
        <w:rPr>
          <w:b/>
        </w:rPr>
        <w:t xml:space="preserve">Labor Market – </w:t>
      </w:r>
      <w:r w:rsidRPr="000F2ABC">
        <w:t>The labor market recovered strongly after the 2020 disruption. Unemployment remains relatively low, although it has moved slightly higher from the lows seen in 2022 and 2023.</w:t>
      </w:r>
    </w:p>
    <w:p w14:paraId="24127EAF" w14:textId="77777777" w:rsidR="000F2ABC" w:rsidRPr="000F2ABC" w:rsidRDefault="000F2ABC" w:rsidP="000F2ABC">
      <w:pPr>
        <w:rPr>
          <w:b/>
          <w:bCs/>
        </w:rPr>
      </w:pPr>
      <w:r>
        <w:t>Overall Economic Impact</w:t>
      </w:r>
    </w:p>
    <w:p w14:paraId="7492B8F7" w14:textId="77777777" w:rsidR="000F2ABC" w:rsidRPr="000F2ABC" w:rsidRDefault="000F2ABC" w:rsidP="000F2ABC">
      <w:r w:rsidRPr="000F2ABC">
        <w:t>The main indicators show that the U.S. economy has moved away from the unusual conditions seen between 2020 and 2022. Growth has become more moderate, inflation has fallen and the labor market remains relatively stable. The main pressure now comes from higher borrowing costs, fiscal concerns and weaker affordability in interest-sensitive areas such as housing.</w:t>
      </w:r>
    </w:p>
    <w:p w14:paraId="3BCEE12E" w14:textId="77777777" w:rsidR="000F2ABC" w:rsidRPr="000F2ABC" w:rsidRDefault="000F2ABC" w:rsidP="000F2ABC">
      <w:r w:rsidRPr="000F2ABC">
        <w:t>At the same time, investment in technology, AI and infrastructure is creating new sources of economic activity. The overall picture is therefore mixed but relatively stable: the economy is still growing, but businesses and households are operating in a more expensive financial environment.</w:t>
      </w:r>
    </w:p>
    <w:p w14:paraId="0AA16886" w14:textId="77777777" w:rsidR="000F2ABC" w:rsidRPr="000F2ABC" w:rsidRDefault="000F2ABC" w:rsidP="000F2ABC">
      <w:pPr>
        <w:rPr>
          <w:b/>
          <w:bCs/>
        </w:rPr>
      </w:pPr>
      <w:r w:rsidRPr="000F2ABC">
        <w:rPr>
          <w:b/>
          <w:bCs/>
        </w:rPr>
        <w:t>What to Watch Next</w:t>
      </w:r>
    </w:p>
    <w:p w14:paraId="6D3382BE" w14:textId="77777777" w:rsidR="000F2ABC" w:rsidRPr="000F2ABC" w:rsidRDefault="000F2ABC" w:rsidP="000F2ABC">
      <w:r w:rsidRPr="000F2ABC">
        <w:t>The pace of U.S. economic growth.</w:t>
      </w:r>
    </w:p>
    <w:p w14:paraId="6C2B975A" w14:textId="77777777" w:rsidR="000F2ABC" w:rsidRPr="000F2ABC" w:rsidRDefault="000F2ABC" w:rsidP="000F2ABC">
      <w:r w:rsidRPr="000F2ABC">
        <w:t>Further improvement in CPI and core PCE inflation.</w:t>
      </w:r>
    </w:p>
    <w:p w14:paraId="5F5A39ED" w14:textId="77777777" w:rsidR="000F2ABC" w:rsidRPr="000F2ABC" w:rsidRDefault="000F2ABC" w:rsidP="000F2ABC">
      <w:r w:rsidRPr="000F2ABC">
        <w:t>Changes in Federal Reserve interest rates.</w:t>
      </w:r>
    </w:p>
    <w:p w14:paraId="236D1809" w14:textId="77777777" w:rsidR="000F2ABC" w:rsidRPr="000F2ABC" w:rsidRDefault="000F2ABC" w:rsidP="000F2ABC">
      <w:r w:rsidRPr="000F2ABC">
        <w:t>Unemployment and job creation.</w:t>
      </w:r>
    </w:p>
    <w:p w14:paraId="2B3FCA11" w14:textId="77777777" w:rsidR="000F2ABC" w:rsidRPr="000F2ABC" w:rsidRDefault="000F2ABC" w:rsidP="000F2ABC">
      <w:r w:rsidRPr="000F2ABC">
        <w:t>Consumer spending and household income.</w:t>
      </w:r>
    </w:p>
    <w:p w14:paraId="4937BBE0" w14:textId="77777777" w:rsidR="000F2ABC" w:rsidRPr="000F2ABC" w:rsidRDefault="000F2ABC" w:rsidP="000F2ABC">
      <w:r w:rsidRPr="000F2ABC">
        <w:t>Mortgage rates and housing affordability.</w:t>
      </w:r>
    </w:p>
    <w:p w14:paraId="7A2F6813" w14:textId="77777777" w:rsidR="000F2ABC" w:rsidRPr="000F2ABC" w:rsidRDefault="000F2ABC" w:rsidP="000F2ABC">
      <w:r w:rsidRPr="000F2ABC">
        <w:lastRenderedPageBreak/>
        <w:t>Business investment and credit conditions.</w:t>
      </w:r>
    </w:p>
    <w:p w14:paraId="07B889BB" w14:textId="77777777" w:rsidR="000F2ABC" w:rsidRPr="000F2ABC" w:rsidRDefault="000F2ABC" w:rsidP="000F2ABC">
      <w:r w:rsidRPr="000F2ABC">
        <w:t>AI and data-center investment.</w:t>
      </w:r>
    </w:p>
    <w:p w14:paraId="4D8882E8" w14:textId="77777777" w:rsidR="000F2ABC" w:rsidRPr="000F2ABC" w:rsidRDefault="000F2ABC" w:rsidP="000F2ABC">
      <w:r w:rsidRPr="000F2ABC">
        <w:t>Federal deficit and government interest costs.</w:t>
      </w:r>
    </w:p>
    <w:p w14:paraId="0912CC0F" w14:textId="77777777" w:rsidR="000F2ABC" w:rsidRPr="000F2ABC" w:rsidRDefault="000F2ABC" w:rsidP="000F2ABC">
      <w:r w:rsidRPr="000F2ABC">
        <w:t>Treasury yields and investor demand.</w:t>
      </w:r>
    </w:p>
    <w:p w14:paraId="312B23C2" w14:textId="77777777" w:rsidR="000F2ABC" w:rsidRPr="000F2ABC" w:rsidRDefault="000F2ABC" w:rsidP="000F2ABC">
      <w:proofErr w:type="gramStart"/>
      <w:r w:rsidRPr="000F2ABC">
        <w:t>Current-account</w:t>
      </w:r>
      <w:proofErr w:type="gramEnd"/>
      <w:r w:rsidRPr="000F2ABC">
        <w:t xml:space="preserve"> and trade developments.</w:t>
      </w:r>
    </w:p>
    <w:p w14:paraId="5F0787D1" w14:textId="77777777" w:rsidR="000F2ABC" w:rsidRPr="000F2ABC" w:rsidRDefault="000F2ABC" w:rsidP="000F2ABC">
      <w:r w:rsidRPr="000F2ABC">
        <w:t xml:space="preserve">Energy and electricity demand </w:t>
      </w:r>
      <w:proofErr w:type="gramStart"/>
      <w:r w:rsidRPr="000F2ABC">
        <w:t>linked</w:t>
      </w:r>
      <w:proofErr w:type="gramEnd"/>
      <w:r w:rsidRPr="000F2ABC">
        <w:t xml:space="preserve"> to new investment.</w:t>
      </w:r>
    </w:p>
    <w:p w14:paraId="3EF23B90" w14:textId="77777777" w:rsidR="000F2ABC" w:rsidRPr="000F2ABC" w:rsidRDefault="000F2ABC" w:rsidP="000F2ABC">
      <w:r w:rsidRPr="000F2ABC">
        <w:rPr>
          <w:b/>
        </w:rPr>
        <w:t xml:space="preserve">Overall Executive View: </w:t>
      </w:r>
      <w:r w:rsidRPr="000F2ABC">
        <w:t>The U.S. economy is not showing a single dominant weakness. Instead, the outlook reflects a balance between resilient real activity and tighter structural constraints. For businesses and investors, the key issue is how well growth can be maintained while financing costs, fiscal pressure and capacity constraints remain elevated.</w:t>
      </w:r>
    </w:p>
    <w:p w14:paraId="6DE3C698" w14:textId="77777777" w:rsidR="000F2ABC" w:rsidRPr="000F2ABC" w:rsidRDefault="000F2ABC" w:rsidP="000F2ABC">
      <w:r w:rsidRPr="000F2ABC">
        <w:rPr>
          <w:b/>
        </w:rPr>
        <w:t xml:space="preserve">Source note: </w:t>
      </w:r>
      <w:r w:rsidRPr="000F2ABC">
        <w:rPr>
          <w:i/>
        </w:rPr>
        <w:t xml:space="preserve">Core historical values use the validated report dataset based on BEA, BLS/FRED, Federal Reserve and CBO series. Fiscal indicators are shown on a </w:t>
      </w:r>
      <w:proofErr w:type="gramStart"/>
      <w:r w:rsidRPr="000F2ABC">
        <w:rPr>
          <w:i/>
        </w:rPr>
        <w:t>fiscal-year</w:t>
      </w:r>
      <w:proofErr w:type="gramEnd"/>
      <w:r w:rsidRPr="000F2ABC">
        <w:rPr>
          <w:i/>
        </w:rPr>
        <w:t xml:space="preserve"> basis.</w:t>
      </w:r>
    </w:p>
    <w:p w14:paraId="7742E8ED" w14:textId="77777777" w:rsidR="006500A7" w:rsidRDefault="006500A7" w:rsidP="006500A7"/>
    <w:p w14:paraId="4CEA5CB5" w14:textId="77777777" w:rsidR="006500A7" w:rsidRDefault="006500A7" w:rsidP="006500A7"/>
    <w:p w14:paraId="74EF3100" w14:textId="77777777" w:rsidR="006500A7" w:rsidRDefault="006500A7" w:rsidP="006500A7"/>
    <w:p w14:paraId="522FBC91" w14:textId="77777777" w:rsidR="006500A7" w:rsidRDefault="006500A7" w:rsidP="006500A7"/>
    <w:p w14:paraId="223116A7" w14:textId="77777777" w:rsidR="006500A7" w:rsidRDefault="006500A7" w:rsidP="006500A7"/>
    <w:p w14:paraId="1424F2D8" w14:textId="77777777" w:rsidR="006500A7" w:rsidRDefault="006500A7" w:rsidP="006500A7"/>
    <w:p w14:paraId="380D23E7" w14:textId="77777777" w:rsidR="000F56DE" w:rsidRDefault="00000000">
      <w:r>
        <w:br w:type="page"/>
      </w:r>
    </w:p>
    <w:p w14:paraId="6B27283C" w14:textId="77777777" w:rsidR="000F56DE" w:rsidRDefault="00000000">
      <w:pPr>
        <w:pStyle w:val="Kicker"/>
      </w:pPr>
      <w:r>
        <w:lastRenderedPageBreak/>
        <w:t xml:space="preserve">CHAPTER </w:t>
      </w:r>
      <w:proofErr w:type="gramStart"/>
      <w:r>
        <w:t>02  /</w:t>
      </w:r>
      <w:proofErr w:type="gramEnd"/>
      <w:r>
        <w:t xml:space="preserve">  PAGE </w:t>
      </w:r>
      <w:proofErr w:type="gramStart"/>
      <w:r>
        <w:t>003  /</w:t>
      </w:r>
      <w:proofErr w:type="gramEnd"/>
      <w:r>
        <w:t xml:space="preserve">  EXECUTIVE SUMMARY</w:t>
      </w:r>
    </w:p>
    <w:p w14:paraId="403686F3" w14:textId="77777777" w:rsidR="00F37E98" w:rsidRDefault="00F37E98" w:rsidP="00F37E98">
      <w:pPr>
        <w:pStyle w:val="Heading1"/>
      </w:pPr>
      <w:r w:rsidRPr="00F37E98">
        <w:t>WHAT CHANGED IN 2026?</w:t>
      </w:r>
    </w:p>
    <w:p w14:paraId="5A48CB1A" w14:textId="77777777" w:rsidR="003F0753" w:rsidRPr="003F0753" w:rsidRDefault="003F0753" w:rsidP="003F0753">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3F0753">
        <w:rPr>
          <w:b/>
          <w:i/>
          <w:color w:val="8064A2" w:themeColor="accent4"/>
          <w14:textOutline w14:w="0" w14:cap="flat" w14:cmpd="sng" w14:algn="ctr">
            <w14:noFill/>
            <w14:prstDash w14:val="solid"/>
            <w14:round/>
          </w14:textOutline>
          <w14:props3d w14:extrusionH="57150" w14:contourW="0" w14:prstMaterial="softEdge">
            <w14:bevelT w14:w="25400" w14:h="38100" w14:prst="circle"/>
          </w14:props3d>
        </w:rPr>
        <w:t>How the 2026 environment differs from the 2015-2025 period</w:t>
      </w:r>
    </w:p>
    <w:p w14:paraId="35A48807" w14:textId="77777777" w:rsidR="003F0753" w:rsidRPr="003F0753" w:rsidRDefault="003F0753" w:rsidP="003F0753">
      <w:r w:rsidRPr="003F0753">
        <w:t>The U.S. economy entered 2026 after a decade that included steady pre-pandemic growth, a sharp disruption, a strong recovery, an inflation surge and a major change in interest rates. Compared with that period, 2026 looks less like another major turning point and more like a transition toward slower and more balanced conditions.</w:t>
      </w:r>
    </w:p>
    <w:p w14:paraId="04033762" w14:textId="77777777" w:rsidR="003F0753" w:rsidRPr="003F0753" w:rsidRDefault="003F0753" w:rsidP="003F0753">
      <w:r w:rsidRPr="003F0753">
        <w:t>Growth is continuing, but the economy no longer has the same recovery momentum seen after the pandemic. Inflation is less intense than during the peak years, while borrowing costs remain much higher than they were during most of the earlier decade. The labor market is also becoming more balanced, and businesses are placing greater emphasis on productivity, technology investment and careful capital allocation.</w:t>
      </w:r>
    </w:p>
    <w:p w14:paraId="0A705EFB" w14:textId="6304A60F" w:rsidR="003F0753" w:rsidRPr="003F0753" w:rsidRDefault="003F0753" w:rsidP="003F0753">
      <w:r w:rsidRPr="003F0753">
        <w:drawing>
          <wp:inline distT="0" distB="0" distL="0" distR="0" wp14:anchorId="3D967E6D" wp14:editId="22BDB63A">
            <wp:extent cx="5760720" cy="2796540"/>
            <wp:effectExtent l="0" t="0" r="0" b="3810"/>
            <wp:docPr id="652159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796540"/>
                    </a:xfrm>
                    <a:prstGeom prst="rect">
                      <a:avLst/>
                    </a:prstGeom>
                    <a:noFill/>
                    <a:ln>
                      <a:noFill/>
                    </a:ln>
                  </pic:spPr>
                </pic:pic>
              </a:graphicData>
            </a:graphic>
          </wp:inline>
        </w:drawing>
      </w:r>
    </w:p>
    <w:p w14:paraId="13F87563" w14:textId="77777777" w:rsidR="003F0753" w:rsidRPr="003F0753" w:rsidRDefault="003F0753" w:rsidP="003F0753">
      <w:r w:rsidRPr="003F0753">
        <w:rPr>
          <w:b/>
        </w:rPr>
      </w:r>
      <w:r w:rsidRPr="003F0753">
        <w:t>Between 2015 and 2025, U.S. growth moved through a steady expansion, a sharp disruption and a strong recovery. In 2026, the economy appears to be moving into a more moderate phase. Growth is continuing, but the pace is less aggressive than during the recovery years.</w:t>
      </w:r>
    </w:p>
    <w:p w14:paraId="3DBC2544" w14:textId="77777777" w:rsidR="003F0753" w:rsidRPr="003F0753" w:rsidRDefault="003F0753" w:rsidP="003F0753">
      <w:r w:rsidRPr="003F0753">
        <w:br w:type="page"/>
      </w:r>
    </w:p>
    <w:p w14:paraId="75EE746C" w14:textId="77777777" w:rsidR="003F0753" w:rsidRPr="003F0753" w:rsidRDefault="003F0753" w:rsidP="003F0753">
      <w:pPr>
        <w:rPr>
          <w:b/>
          <w:bCs/>
          <w:sz w:val="44"/>
          <w:szCs w:val="44"/>
        </w:rPr>
      </w:pPr>
      <w:r w:rsidRPr="003F0753">
        <w:rPr>
          <w:b/>
          <w:bCs/>
          <w:sz w:val="44"/>
          <w:szCs w:val="44"/>
        </w:rPr>
        <w:lastRenderedPageBreak/>
        <w:t>Inflation and Interest Rates</w:t>
      </w:r>
    </w:p>
    <w:tbl>
      <w:tblPr>
        <w:tblW w:w="0" w:type="auto"/>
        <w:jc w:val="center"/>
        <w:tblLook w:val="04A0" w:firstRow="1" w:lastRow="0" w:firstColumn="1" w:lastColumn="0" w:noHBand="0" w:noVBand="1"/>
      </w:tblPr>
      <w:tblGrid>
        <w:gridCol w:w="5040"/>
        <w:gridCol w:w="5040"/>
      </w:tblGrid>
      <w:tr w:rsidR="003F0753" w:rsidRPr="003F0753" w14:paraId="129C59ED" w14:textId="77777777">
        <w:trPr>
          <w:jc w:val="center"/>
        </w:trPr>
        <w:tc>
          <w:tcPr>
            <w:tcW w:w="5040" w:type="dxa"/>
            <w:hideMark/>
          </w:tcPr>
          <w:p w14:paraId="57F54174" w14:textId="5B4DFBA6" w:rsidR="003F0753" w:rsidRPr="003F0753" w:rsidRDefault="003F0753" w:rsidP="003F0753">
            <w:r w:rsidRPr="003F0753">
              <w:drawing>
                <wp:inline distT="0" distB="0" distL="0" distR="0" wp14:anchorId="517CF12A" wp14:editId="0520EDC3">
                  <wp:extent cx="2880360" cy="1402080"/>
                  <wp:effectExtent l="0" t="0" r="0" b="7620"/>
                  <wp:docPr id="4282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360" cy="1402080"/>
                          </a:xfrm>
                          <a:prstGeom prst="rect">
                            <a:avLst/>
                          </a:prstGeom>
                          <a:noFill/>
                          <a:ln>
                            <a:noFill/>
                          </a:ln>
                        </pic:spPr>
                      </pic:pic>
                    </a:graphicData>
                  </a:graphic>
                </wp:inline>
              </w:drawing>
            </w:r>
          </w:p>
        </w:tc>
        <w:tc>
          <w:tcPr>
            <w:tcW w:w="5040" w:type="dxa"/>
            <w:hideMark/>
          </w:tcPr>
          <w:p w14:paraId="76DCE078" w14:textId="31C78DC0" w:rsidR="003F0753" w:rsidRPr="003F0753" w:rsidRDefault="003F0753" w:rsidP="003F0753">
            <w:r w:rsidRPr="003F0753">
              <w:drawing>
                <wp:inline distT="0" distB="0" distL="0" distR="0" wp14:anchorId="413CC2BB" wp14:editId="5EEC7EC1">
                  <wp:extent cx="2880360" cy="1402080"/>
                  <wp:effectExtent l="0" t="0" r="0" b="7620"/>
                  <wp:docPr id="1345979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360" cy="1402080"/>
                          </a:xfrm>
                          <a:prstGeom prst="rect">
                            <a:avLst/>
                          </a:prstGeom>
                          <a:noFill/>
                          <a:ln>
                            <a:noFill/>
                          </a:ln>
                        </pic:spPr>
                      </pic:pic>
                    </a:graphicData>
                  </a:graphic>
                </wp:inline>
              </w:drawing>
            </w:r>
          </w:p>
        </w:tc>
      </w:tr>
    </w:tbl>
    <w:p w14:paraId="1332962B" w14:textId="77777777" w:rsidR="003F0753" w:rsidRPr="003F0753" w:rsidRDefault="003F0753" w:rsidP="003F0753">
      <w:r w:rsidRPr="003F0753">
        <w:rPr>
          <w:b/>
        </w:rPr>
      </w:r>
      <w:r w:rsidRPr="003F0753">
        <w:t xml:space="preserve">Inflation was relatively contained during much of the period before 2020, increased sharply during the post-pandemic recovery and then gradually eased. In 2026, inflation is no longer the same immediate </w:t>
      </w:r>
      <w:proofErr w:type="gramStart"/>
      <w:r w:rsidRPr="003F0753">
        <w:t>shock</w:t>
      </w:r>
      <w:proofErr w:type="gramEnd"/>
      <w:r w:rsidRPr="003F0753">
        <w:t xml:space="preserve"> it was a few years earlier, although price stability remains important for households, businesses and monetary policy.</w:t>
      </w:r>
    </w:p>
    <w:p w14:paraId="16B7A486" w14:textId="77777777" w:rsidR="003F0753" w:rsidRPr="003F0753" w:rsidRDefault="003F0753" w:rsidP="003F0753">
      <w:r w:rsidRPr="003F0753">
        <w:rPr>
          <w:b/>
        </w:rPr>
      </w:r>
      <w:r w:rsidRPr="003F0753">
        <w:t>The interest-rate environment has changed significantly compared with most of the 2015-2021 period. Rates moved sharply higher as inflation increased. In 2026, financial conditions are beginning to look less restrictive, but borrowing costs remain well above the earlier low-rate environment.</w:t>
      </w:r>
    </w:p>
    <w:p w14:paraId="1E2F654D" w14:textId="77777777" w:rsidR="003F0753" w:rsidRPr="003F0753" w:rsidRDefault="003F0753" w:rsidP="003F0753">
      <w:pPr>
        <w:rPr>
          <w:b/>
          <w:bCs/>
          <w:sz w:val="40"/>
          <w:szCs w:val="40"/>
        </w:rPr>
      </w:pPr>
      <w:r w:rsidRPr="003F0753">
        <w:rPr>
          <w:b/>
          <w:bCs/>
          <w:sz w:val="40"/>
          <w:szCs w:val="40"/>
        </w:rPr>
        <w:t>What This Means in 2026</w:t>
      </w:r>
    </w:p>
    <w:p w14:paraId="1B4DEC6E" w14:textId="77777777" w:rsidR="003F0753" w:rsidRPr="003F0753" w:rsidRDefault="003F0753" w:rsidP="003F0753">
      <w:r w:rsidRPr="003F0753">
        <w:t>The combination of lower inflation pressure and still-elevated borrowing costs has changed the way households and companies make financial decisions. Housing, credit and capital-intensive investment remain sensitive to interest rates, while companies with stronger balance sheets are better placed to manage the higher cost of capital.</w:t>
      </w:r>
    </w:p>
    <w:p w14:paraId="1773E6F2" w14:textId="77777777" w:rsidR="003F0753" w:rsidRPr="003F0753" w:rsidRDefault="003F0753" w:rsidP="003F0753">
      <w:r w:rsidRPr="003F0753">
        <w:br w:type="page"/>
      </w:r>
    </w:p>
    <w:p w14:paraId="546F811E" w14:textId="77777777" w:rsidR="003F0753" w:rsidRPr="003F0753" w:rsidRDefault="003F0753" w:rsidP="003F0753">
      <w:pPr>
        <w:rPr>
          <w:b/>
          <w:bCs/>
          <w:sz w:val="48"/>
          <w:szCs w:val="48"/>
        </w:rPr>
      </w:pPr>
      <w:r w:rsidRPr="003F0753">
        <w:rPr>
          <w:b/>
          <w:bCs/>
          <w:sz w:val="48"/>
          <w:szCs w:val="48"/>
        </w:rPr>
        <w:lastRenderedPageBreak/>
        <w:t>Labor Market and Broader Economic Shift</w:t>
      </w:r>
    </w:p>
    <w:p w14:paraId="54B9465F" w14:textId="68E8F9A9" w:rsidR="003F0753" w:rsidRPr="003F0753" w:rsidRDefault="003F0753" w:rsidP="003F0753">
      <w:r w:rsidRPr="003F0753">
        <w:drawing>
          <wp:inline distT="0" distB="0" distL="0" distR="0" wp14:anchorId="53075E0B" wp14:editId="54B96F20">
            <wp:extent cx="5760720" cy="2796540"/>
            <wp:effectExtent l="0" t="0" r="0" b="3810"/>
            <wp:docPr id="19334521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96540"/>
                    </a:xfrm>
                    <a:prstGeom prst="rect">
                      <a:avLst/>
                    </a:prstGeom>
                    <a:noFill/>
                    <a:ln>
                      <a:noFill/>
                    </a:ln>
                  </pic:spPr>
                </pic:pic>
              </a:graphicData>
            </a:graphic>
          </wp:inline>
        </w:drawing>
      </w:r>
    </w:p>
    <w:p w14:paraId="62CD889F" w14:textId="77777777" w:rsidR="003F0753" w:rsidRPr="003F0753" w:rsidRDefault="003F0753" w:rsidP="003F0753">
      <w:r w:rsidRPr="003F0753">
        <w:rPr>
          <w:b/>
        </w:rPr>
      </w:r>
      <w:r w:rsidRPr="003F0753">
        <w:t>The labor market changed considerably over the 2015-2025 period, moving from steady improvement to a temporary disruption and then a strong recovery. In 2026, conditions look more balanced. Hiring is no longer as strong as during the early recovery period, but the labor market has not shown a major deterioration.</w:t>
      </w:r>
    </w:p>
    <w:p w14:paraId="01FF1B00" w14:textId="77777777" w:rsidR="003F0753" w:rsidRPr="003F0753" w:rsidRDefault="003F0753" w:rsidP="003F0753">
      <w:pPr>
        <w:rPr>
          <w:b/>
          <w:bCs/>
          <w:sz w:val="28"/>
          <w:szCs w:val="28"/>
        </w:rPr>
      </w:pPr>
      <w:r w:rsidRPr="003F0753">
        <w:rPr>
          <w:b/>
          <w:bCs/>
          <w:sz w:val="28"/>
          <w:szCs w:val="28"/>
        </w:rPr>
        <w:t>Other Changes Visible in 2026</w:t>
      </w:r>
    </w:p>
    <w:p w14:paraId="32BB7D4F" w14:textId="77777777" w:rsidR="003F0753" w:rsidRPr="003F0753" w:rsidRDefault="003F0753" w:rsidP="003F0753">
      <w:r w:rsidRPr="003F0753">
        <w:rPr>
          <w:b/>
        </w:rPr>
        <w:t xml:space="preserve">Consumer Economy: </w:t>
      </w:r>
      <w:r w:rsidRPr="003F0753">
        <w:t>Consumer demand remains an important support to growth, but households are operating in a more expensive borrowing environment than during much of the previous decade.</w:t>
      </w:r>
    </w:p>
    <w:p w14:paraId="5DC2FCEB" w14:textId="77777777" w:rsidR="003F0753" w:rsidRPr="003F0753" w:rsidRDefault="003F0753" w:rsidP="003F0753">
      <w:r w:rsidRPr="003F0753">
        <w:rPr>
          <w:b/>
        </w:rPr>
        <w:t xml:space="preserve">Housing: </w:t>
      </w:r>
      <w:r w:rsidRPr="003F0753">
        <w:t>Housing remains more constrained by affordability and financing costs than it was during the earlier low-rate years. Limited supply, however, continues to support parts of the market.</w:t>
      </w:r>
    </w:p>
    <w:p w14:paraId="1C6D9D36" w14:textId="77777777" w:rsidR="003F0753" w:rsidRPr="003F0753" w:rsidRDefault="003F0753" w:rsidP="003F0753">
      <w:r w:rsidRPr="003F0753">
        <w:rPr>
          <w:b/>
        </w:rPr>
        <w:t xml:space="preserve">Business Investment: </w:t>
      </w:r>
      <w:r w:rsidRPr="003F0753">
        <w:t>Investment is becoming more focused on technology, automation, digital infrastructure and projects that can improve productivity.</w:t>
      </w:r>
    </w:p>
    <w:p w14:paraId="3434F24A" w14:textId="77777777" w:rsidR="003F0753" w:rsidRPr="003F0753" w:rsidRDefault="003F0753" w:rsidP="003F0753">
      <w:r w:rsidRPr="003F0753">
        <w:rPr>
          <w:b/>
        </w:rPr>
        <w:t xml:space="preserve">AI and Data Centers: </w:t>
      </w:r>
      <w:r w:rsidRPr="003F0753">
        <w:t>AI-related investment is becoming more visible across technology, construction, electricity and infrastructure. The opportunity is growing, but power and grid capacity are becoming practical constraints.</w:t>
      </w:r>
    </w:p>
    <w:p w14:paraId="6E3FDA45" w14:textId="77777777" w:rsidR="003F0753" w:rsidRPr="003F0753" w:rsidRDefault="003F0753" w:rsidP="003F0753">
      <w:r w:rsidRPr="003F0753">
        <w:rPr>
          <w:b/>
        </w:rPr>
        <w:t xml:space="preserve">Fiscal Position: </w:t>
      </w:r>
      <w:r w:rsidRPr="003F0753">
        <w:t>Fiscal pressure is more significant than it was in the middle of the last decade. Government borrowing and interest costs now play a larger role in the broader macroeconomic outlook.</w:t>
      </w:r>
    </w:p>
    <w:p w14:paraId="22A57DA8" w14:textId="77777777" w:rsidR="003F0753" w:rsidRPr="003F0753" w:rsidRDefault="003F0753" w:rsidP="003F0753">
      <w:r w:rsidRPr="003F0753">
        <w:rPr>
          <w:b/>
        </w:rPr>
        <w:t xml:space="preserve">Trade and Policy: </w:t>
      </w:r>
      <w:r w:rsidRPr="003F0753">
        <w:t>Trade policy has become a more important source of uncertainty for companies with global supply chains, imported inputs or international exposure.</w:t>
      </w:r>
    </w:p>
    <w:p w14:paraId="41D261C9" w14:textId="77777777" w:rsidR="003F0753" w:rsidRPr="003F0753" w:rsidRDefault="003F0753" w:rsidP="003F0753">
      <w:r w:rsidRPr="003F0753">
        <w:rPr>
          <w:b/>
        </w:rPr>
        <w:t xml:space="preserve">Financial Conditions: </w:t>
      </w:r>
      <w:r w:rsidRPr="003F0753">
        <w:t>The cost of capital remains a bigger consideration than it was during the earlier low-rate period, making financing structure and investment discipline more important.</w:t>
      </w:r>
    </w:p>
    <w:p w14:paraId="3EFE27FF" w14:textId="77777777" w:rsidR="003F0753" w:rsidRPr="003F0753" w:rsidRDefault="003F0753" w:rsidP="003F0753">
      <w:pPr>
        <w:rPr>
          <w:b/>
          <w:bCs/>
        </w:rPr>
      </w:pPr>
      <w:r w:rsidRPr="003F0753">
        <w:rPr>
          <w:b/>
          <w:bCs/>
        </w:rPr>
        <w:t>Overall Inference</w:t>
      </w:r>
    </w:p>
    <w:p w14:paraId="37514285" w14:textId="77777777" w:rsidR="003F0753" w:rsidRPr="003F0753" w:rsidRDefault="003F0753" w:rsidP="003F0753">
      <w:r w:rsidRPr="003F0753">
        <w:t>Compared with the 2015-2025 period, 2026 is best viewed as a year of adjustment rather than a completely new economic cycle. The economy is still growing, inflation pressure has eased and employment remains relatively stable, but the environment is more demanding because borrowing costs, fiscal pressure and policy uncertainty remain elevated.</w:t>
      </w:r>
    </w:p>
    <w:p w14:paraId="4371BCD6" w14:textId="77777777" w:rsidR="003F0753" w:rsidRPr="003F0753" w:rsidRDefault="003F0753" w:rsidP="003F0753">
      <w:r w:rsidRPr="003F0753">
        <w:t>The biggest difference from the earlier part of the decade is that businesses can no longer rely on very low financing costs. At the same time, technology and AI-related investment are opening new areas of growth. This makes productivity, balance-sheet strength and careful capital allocation more important in 2026.</w:t>
      </w:r>
    </w:p>
    <w:p w14:paraId="7D663362" w14:textId="77777777" w:rsidR="003F0753" w:rsidRPr="003F0753" w:rsidRDefault="003F0753" w:rsidP="003F0753">
      <w:r w:rsidRPr="003F0753">
        <w:rPr>
          <w:b/>
        </w:rPr>
        <w:lastRenderedPageBreak/>
        <w:t xml:space="preserve">Source note: </w:t>
      </w:r>
      <w:r w:rsidRPr="003F0753">
        <w:rPr>
          <w:i/>
        </w:rPr>
        <w:t>Historical chart context is based on official U.S. macroeconomic series from BEA, BLS and the Federal Reserve. The written inferences focus on direction and change rather than repeating chart values.</w:t>
      </w:r>
    </w:p>
    <w:p w14:paraId="5BD7D408" w14:textId="77777777" w:rsidR="003F0753" w:rsidRDefault="003F0753" w:rsidP="003F0753"/>
    <w:p w14:paraId="28273CFA" w14:textId="77777777" w:rsidR="003F0753" w:rsidRPr="003F0753" w:rsidRDefault="003F0753" w:rsidP="003F0753"/>
    <w:p w14:paraId="3834248B" w14:textId="77777777" w:rsidR="000F56DE" w:rsidRDefault="00000000">
      <w:pPr>
        <w:pStyle w:val="Kicker"/>
      </w:pPr>
      <w:r>
        <w:t xml:space="preserve">CHAPTER </w:t>
      </w:r>
      <w:proofErr w:type="gramStart"/>
      <w:r>
        <w:t>02  /</w:t>
      </w:r>
      <w:proofErr w:type="gramEnd"/>
      <w:r>
        <w:t xml:space="preserve">  PAGE </w:t>
      </w:r>
      <w:proofErr w:type="gramStart"/>
      <w:r>
        <w:t>004  /</w:t>
      </w:r>
      <w:proofErr w:type="gramEnd"/>
      <w:r>
        <w:t xml:space="preserve">  EXECUTIVE SUMMARY</w:t>
      </w:r>
    </w:p>
    <w:p w14:paraId="7F713621" w14:textId="77777777" w:rsidR="00C90287" w:rsidRDefault="00C90287" w:rsidP="00C90287">
      <w:pPr>
        <w:pStyle w:val="Heading1"/>
      </w:pPr>
      <w:r>
        <w:t>WHAT MATTERS FOR 2027?</w:t>
      </w:r>
    </w:p>
    <w:p w14:paraId="353693CA" w14:textId="77777777" w:rsidR="00C90287" w:rsidRDefault="00C90287" w:rsidP="00C90287">
      <w:r>
        <w:rPr>
          <w:i/>
          <w:color w:val="5A5A5A"/>
        </w:rPr>
        <w:t>Key Outlook Drivers | Executive View</w:t>
      </w:r>
    </w:p>
    <w:p w14:paraId="09D07358" w14:textId="77777777" w:rsidR="00C90287" w:rsidRDefault="00C90287" w:rsidP="00C90287">
      <w:r>
        <w:t>The main issue for 2027 is whether the U.S. economy can keep growing as the effects of earlier policy changes, high financing costs and slower labor-force growth continue to work through the system. The outlook is not centered on one single risk. It depends on how growth, inflation, interest rates, consumer demand and investment develop together.</w:t>
      </w:r>
    </w:p>
    <w:p w14:paraId="1CE5AAF9" w14:textId="77777777" w:rsidR="00C90287" w:rsidRDefault="00C90287" w:rsidP="00C90287">
      <w:r>
        <w:t>Compared with the post-pandemic period, 2027 is likely to be more about the quality of growth than the speed of growth. Productivity, technology investment and business efficiency will matter more, while companies will still need to manage borrowing costs, trade uncertainty and fiscal pressure.</w:t>
      </w:r>
    </w:p>
    <w:p w14:paraId="31DCC82F" w14:textId="77777777" w:rsidR="00C90287" w:rsidRDefault="00C90287" w:rsidP="00C90287">
      <w:pPr>
        <w:jc w:val="center"/>
      </w:pPr>
      <w:r>
        <w:rPr>
          <w:noProof/>
        </w:rPr>
        <w:drawing>
          <wp:inline distT="0" distB="0" distL="0" distR="0" wp14:anchorId="2FDBCD42" wp14:editId="1E5E3000">
            <wp:extent cx="5120640" cy="2640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utlook.png"/>
                    <pic:cNvPicPr/>
                  </pic:nvPicPr>
                  <pic:blipFill>
                    <a:blip r:embed="rId14"/>
                    <a:stretch>
                      <a:fillRect/>
                    </a:stretch>
                  </pic:blipFill>
                  <pic:spPr>
                    <a:xfrm>
                      <a:off x="0" y="0"/>
                      <a:ext cx="5120640" cy="2640330"/>
                    </a:xfrm>
                    <a:prstGeom prst="rect">
                      <a:avLst/>
                    </a:prstGeom>
                  </pic:spPr>
                </pic:pic>
              </a:graphicData>
            </a:graphic>
          </wp:inline>
        </w:drawing>
      </w:r>
    </w:p>
    <w:p w14:paraId="7DF86F9D" w14:textId="77777777" w:rsidR="00C90287" w:rsidRDefault="00C90287" w:rsidP="00C90287">
      <w:r>
        <w:rPr>
          <w:b/>
          <w:color w:val="1F3756"/>
        </w:rPr>
      </w:r>
      <w:r>
        <w:t>Major institutions continue to expect U.S. growth in 2027, although the exact pace differs across forecasts. The common message is that the economy is expected to expand at a moderate rate rather than return to the unusually strong rebound seen earlier in the decade.</w:t>
      </w:r>
    </w:p>
    <w:p w14:paraId="3EDED13F" w14:textId="77777777" w:rsidR="00C90287" w:rsidRDefault="00C90287" w:rsidP="00C90287">
      <w:pPr>
        <w:pStyle w:val="Heading2"/>
      </w:pPr>
      <w:r>
        <w:t>Key Outlook Drivers</w:t>
      </w:r>
    </w:p>
    <w:p w14:paraId="050E376E" w14:textId="77777777" w:rsidR="00C90287" w:rsidRDefault="00C90287" w:rsidP="00C90287">
      <w:r>
        <w:rPr>
          <w:b/>
          <w:color w:val="1F3756"/>
        </w:rPr>
        <w:t xml:space="preserve">Growth and Consumer Demand: </w:t>
      </w:r>
      <w:r>
        <w:t>Consumer spending will remain important, but the outlook will depend on whether household income and employment can continue to support demand as borrowing costs stay relatively high.</w:t>
      </w:r>
    </w:p>
    <w:p w14:paraId="0D712CC3" w14:textId="77777777" w:rsidR="00C90287" w:rsidRDefault="00C90287" w:rsidP="00C90287">
      <w:r>
        <w:rPr>
          <w:b/>
          <w:color w:val="1F3756"/>
        </w:rPr>
        <w:t xml:space="preserve">Inflation: </w:t>
      </w:r>
      <w:r>
        <w:t>Further improvement in inflation would make the overall environment easier for households and businesses. Persistent price pressure, however, could delay a fuller normalization in financial conditions.</w:t>
      </w:r>
    </w:p>
    <w:p w14:paraId="49CEF85A" w14:textId="77777777" w:rsidR="00C90287" w:rsidRDefault="00C90287" w:rsidP="00C90287">
      <w:r>
        <w:rPr>
          <w:b/>
          <w:color w:val="1F3756"/>
        </w:rPr>
        <w:t xml:space="preserve">Federal Reserve Policy: </w:t>
      </w:r>
      <w:r>
        <w:t>The direction of interest rates will remain one of the biggest influences on housing, credit, corporate investment and financial markets. The pace of policy easing matters as much as the final level of rates.</w:t>
      </w:r>
    </w:p>
    <w:p w14:paraId="241A616D" w14:textId="77777777" w:rsidR="00C90287" w:rsidRDefault="00C90287" w:rsidP="00C90287">
      <w:r>
        <w:rPr>
          <w:b/>
          <w:color w:val="1F3756"/>
        </w:rPr>
        <w:t xml:space="preserve">Labor Market: </w:t>
      </w:r>
      <w:r>
        <w:t>A gradual cooling in employment would be manageable if job losses remain limited. A sharper weakening would affect consumer demand, while continued labor-supply constraints could keep wage pressure elevated.</w:t>
      </w:r>
    </w:p>
    <w:p w14:paraId="23184613" w14:textId="77777777" w:rsidR="00C90287" w:rsidRDefault="00C90287" w:rsidP="00C90287">
      <w:r>
        <w:rPr>
          <w:b/>
          <w:color w:val="1F3756"/>
        </w:rPr>
        <w:t xml:space="preserve">Housing and Credit: </w:t>
      </w:r>
      <w:r>
        <w:t>Housing activity has room to improve if financing conditions become easier, but affordability and supply remain important constraints. Credit quality and refinancing conditions will also matter for households and companies.</w:t>
      </w:r>
    </w:p>
    <w:p w14:paraId="75451892" w14:textId="77777777" w:rsidR="00C90287" w:rsidRDefault="00C90287" w:rsidP="00C90287">
      <w:r>
        <w:rPr>
          <w:b/>
          <w:color w:val="1F3756"/>
        </w:rPr>
        <w:lastRenderedPageBreak/>
        <w:t xml:space="preserve">Fiscal and Treasury Conditions: </w:t>
      </w:r>
      <w:r>
        <w:t>Large federal borrowing needs will keep debt, interest costs and Treasury-market conditions in focus. Higher long-term yields could offset some of the benefit from easier short-term monetary policy.</w:t>
      </w:r>
    </w:p>
    <w:p w14:paraId="76CC98CA" w14:textId="77777777" w:rsidR="00C90287" w:rsidRDefault="00C90287" w:rsidP="00C90287">
      <w:r>
        <w:rPr>
          <w:b/>
          <w:color w:val="1F3756"/>
        </w:rPr>
        <w:t xml:space="preserve">Trade and Policy: </w:t>
      </w:r>
      <w:r>
        <w:t>Tariffs and other trade-policy changes remain important for import costs, supply chains and business planning. Greater policy stability would make investment decisions easier.</w:t>
      </w:r>
    </w:p>
    <w:p w14:paraId="220E720C" w14:textId="77777777" w:rsidR="00C90287" w:rsidRDefault="00C90287" w:rsidP="00C90287">
      <w:r>
        <w:rPr>
          <w:b/>
          <w:color w:val="1F3756"/>
        </w:rPr>
        <w:t xml:space="preserve">AI, Data Centers and Productivity: </w:t>
      </w:r>
      <w:r>
        <w:t>Technology investment remains one of the clearest opportunities. AI and data-center expansion can support equipment, construction and productivity, but the scale of investment increasingly depends on electricity and infrastructure capacity.</w:t>
      </w:r>
    </w:p>
    <w:p w14:paraId="1F3A0928" w14:textId="77777777" w:rsidR="00C90287" w:rsidRDefault="00C90287" w:rsidP="00C90287">
      <w:r>
        <w:br w:type="page"/>
      </w:r>
    </w:p>
    <w:p w14:paraId="107E125C" w14:textId="77777777" w:rsidR="00C90287" w:rsidRDefault="00C90287" w:rsidP="00C90287">
      <w:pPr>
        <w:pStyle w:val="Heading1"/>
      </w:pPr>
      <w:r>
        <w:lastRenderedPageBreak/>
        <w:t>Technology, Energy and Infrastructure</w:t>
      </w:r>
    </w:p>
    <w:p w14:paraId="4F930A32" w14:textId="77777777" w:rsidR="00C90287" w:rsidRDefault="00C90287" w:rsidP="00C90287">
      <w:pPr>
        <w:jc w:val="center"/>
      </w:pPr>
      <w:r>
        <w:rPr>
          <w:noProof/>
        </w:rPr>
        <w:drawing>
          <wp:inline distT="0" distB="0" distL="0" distR="0" wp14:anchorId="1E642D5E" wp14:editId="042D3FED">
            <wp:extent cx="5120640" cy="264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ity.png"/>
                    <pic:cNvPicPr/>
                  </pic:nvPicPr>
                  <pic:blipFill>
                    <a:blip r:embed="rId15"/>
                    <a:stretch>
                      <a:fillRect/>
                    </a:stretch>
                  </pic:blipFill>
                  <pic:spPr>
                    <a:xfrm>
                      <a:off x="0" y="0"/>
                      <a:ext cx="5120640" cy="2640330"/>
                    </a:xfrm>
                    <a:prstGeom prst="rect">
                      <a:avLst/>
                    </a:prstGeom>
                  </pic:spPr>
                </pic:pic>
              </a:graphicData>
            </a:graphic>
          </wp:inline>
        </w:drawing>
      </w:r>
    </w:p>
    <w:p w14:paraId="56FAF189" w14:textId="77777777" w:rsidR="00C90287" w:rsidRDefault="00C90287" w:rsidP="00C90287">
      <w:r>
        <w:rPr>
          <w:b/>
          <w:color w:val="1F3756"/>
        </w:rPr>
      </w:r>
      <w:r>
        <w:t>Electricity demand is expected to keep rising in 2027, with data centers and manufacturing among the main drivers. This creates opportunities for utilities, power generation, grid investment and electrical equipment, but it also shows that infrastructure capacity could become a limit on how quickly new projects are developed.</w:t>
      </w:r>
    </w:p>
    <w:p w14:paraId="7410F8A5" w14:textId="77777777" w:rsidR="00C90287" w:rsidRDefault="00C90287" w:rsidP="00C90287">
      <w:r>
        <w:t>AI investment is therefore becoming more than a technology-sector story. The next stage of expansion is increasingly linked to power availability, grid connections, construction capacity and suitable locations. Companies that can solve these infrastructure constraints may benefit alongside the technology firms making the original investment.</w:t>
      </w:r>
    </w:p>
    <w:p w14:paraId="4A1FD704" w14:textId="77777777" w:rsidR="00C90287" w:rsidRDefault="00C90287" w:rsidP="00C90287">
      <w:pPr>
        <w:pStyle w:val="Heading1"/>
      </w:pPr>
      <w:r>
        <w:t>Risk / Opportunity Matrix</w:t>
      </w:r>
    </w:p>
    <w:tbl>
      <w:tblPr>
        <w:tblW w:w="0" w:type="auto"/>
        <w:jc w:val="center"/>
        <w:tblLook w:val="04A0" w:firstRow="1" w:lastRow="0" w:firstColumn="1" w:lastColumn="0" w:noHBand="0" w:noVBand="1"/>
      </w:tblPr>
      <w:tblGrid>
        <w:gridCol w:w="2570"/>
        <w:gridCol w:w="2570"/>
        <w:gridCol w:w="2570"/>
        <w:gridCol w:w="2570"/>
      </w:tblGrid>
      <w:tr w:rsidR="00C90287" w14:paraId="7741AA2D" w14:textId="77777777" w:rsidTr="00406F1D">
        <w:trPr>
          <w:jc w:val="center"/>
        </w:trPr>
        <w:tc>
          <w:tcPr>
            <w:tcW w:w="2570" w:type="dxa"/>
            <w:shd w:val="clear" w:color="auto" w:fill="1F3756"/>
          </w:tcPr>
          <w:p w14:paraId="42887EB5" w14:textId="77777777" w:rsidR="00C90287" w:rsidRDefault="00C90287" w:rsidP="00406F1D">
            <w:r>
              <w:rPr>
                <w:b/>
                <w:color w:val="FFFFFF"/>
                <w:sz w:val="17"/>
              </w:rPr>
              <w:t>Outlook Driver</w:t>
            </w:r>
          </w:p>
        </w:tc>
        <w:tc>
          <w:tcPr>
            <w:tcW w:w="2570" w:type="dxa"/>
            <w:shd w:val="clear" w:color="auto" w:fill="1F3756"/>
          </w:tcPr>
          <w:p w14:paraId="0971BFD2" w14:textId="77777777" w:rsidR="00C90287" w:rsidRDefault="00C90287" w:rsidP="00406F1D">
            <w:r>
              <w:rPr>
                <w:b/>
                <w:color w:val="FFFFFF"/>
                <w:sz w:val="17"/>
              </w:rPr>
              <w:t>Risk</w:t>
            </w:r>
          </w:p>
        </w:tc>
        <w:tc>
          <w:tcPr>
            <w:tcW w:w="2570" w:type="dxa"/>
            <w:shd w:val="clear" w:color="auto" w:fill="1F3756"/>
          </w:tcPr>
          <w:p w14:paraId="6BD89B80" w14:textId="77777777" w:rsidR="00C90287" w:rsidRDefault="00C90287" w:rsidP="00406F1D">
            <w:r>
              <w:rPr>
                <w:b/>
                <w:color w:val="FFFFFF"/>
                <w:sz w:val="17"/>
              </w:rPr>
              <w:t>Opportunity</w:t>
            </w:r>
          </w:p>
        </w:tc>
        <w:tc>
          <w:tcPr>
            <w:tcW w:w="2570" w:type="dxa"/>
            <w:shd w:val="clear" w:color="auto" w:fill="1F3756"/>
          </w:tcPr>
          <w:p w14:paraId="6FD270E3" w14:textId="77777777" w:rsidR="00C90287" w:rsidRDefault="00C90287" w:rsidP="00406F1D">
            <w:r>
              <w:rPr>
                <w:b/>
                <w:color w:val="FFFFFF"/>
                <w:sz w:val="17"/>
              </w:rPr>
              <w:t>What to Watch</w:t>
            </w:r>
          </w:p>
        </w:tc>
      </w:tr>
      <w:tr w:rsidR="00C90287" w14:paraId="2F185BFC" w14:textId="77777777" w:rsidTr="00406F1D">
        <w:trPr>
          <w:jc w:val="center"/>
        </w:trPr>
        <w:tc>
          <w:tcPr>
            <w:tcW w:w="2570" w:type="dxa"/>
            <w:vAlign w:val="center"/>
          </w:tcPr>
          <w:p w14:paraId="2D2A67FA" w14:textId="77777777" w:rsidR="00C90287" w:rsidRDefault="00C90287" w:rsidP="00406F1D">
            <w:r>
              <w:rPr>
                <w:sz w:val="15"/>
              </w:rPr>
              <w:t>Economic Growth</w:t>
            </w:r>
          </w:p>
        </w:tc>
        <w:tc>
          <w:tcPr>
            <w:tcW w:w="2570" w:type="dxa"/>
            <w:vAlign w:val="center"/>
          </w:tcPr>
          <w:p w14:paraId="4EE39D63" w14:textId="77777777" w:rsidR="00C90287" w:rsidRDefault="00C90287" w:rsidP="00406F1D">
            <w:r>
              <w:rPr>
                <w:sz w:val="15"/>
              </w:rPr>
              <w:t>Growth loses more momentum than expected.</w:t>
            </w:r>
          </w:p>
        </w:tc>
        <w:tc>
          <w:tcPr>
            <w:tcW w:w="2570" w:type="dxa"/>
            <w:vAlign w:val="center"/>
          </w:tcPr>
          <w:p w14:paraId="0D19C851" w14:textId="77777777" w:rsidR="00C90287" w:rsidRDefault="00C90287" w:rsidP="00406F1D">
            <w:r>
              <w:rPr>
                <w:sz w:val="15"/>
              </w:rPr>
              <w:t>Stable demand supports a soft-landing style expansion.</w:t>
            </w:r>
          </w:p>
        </w:tc>
        <w:tc>
          <w:tcPr>
            <w:tcW w:w="2570" w:type="dxa"/>
            <w:vAlign w:val="center"/>
          </w:tcPr>
          <w:p w14:paraId="31268DBD" w14:textId="77777777" w:rsidR="00C90287" w:rsidRDefault="00C90287" w:rsidP="00406F1D">
            <w:r>
              <w:rPr>
                <w:sz w:val="15"/>
              </w:rPr>
              <w:t>Consumer spending, business activity and investment.</w:t>
            </w:r>
          </w:p>
        </w:tc>
      </w:tr>
      <w:tr w:rsidR="00C90287" w14:paraId="73C0BB62" w14:textId="77777777" w:rsidTr="00406F1D">
        <w:trPr>
          <w:jc w:val="center"/>
        </w:trPr>
        <w:tc>
          <w:tcPr>
            <w:tcW w:w="2570" w:type="dxa"/>
            <w:vAlign w:val="center"/>
          </w:tcPr>
          <w:p w14:paraId="548DA198" w14:textId="77777777" w:rsidR="00C90287" w:rsidRDefault="00C90287" w:rsidP="00406F1D">
            <w:r>
              <w:rPr>
                <w:sz w:val="15"/>
              </w:rPr>
              <w:t>Inflation</w:t>
            </w:r>
          </w:p>
        </w:tc>
        <w:tc>
          <w:tcPr>
            <w:tcW w:w="2570" w:type="dxa"/>
            <w:vAlign w:val="center"/>
          </w:tcPr>
          <w:p w14:paraId="587D3642" w14:textId="77777777" w:rsidR="00C90287" w:rsidRDefault="00C90287" w:rsidP="00406F1D">
            <w:r>
              <w:rPr>
                <w:sz w:val="15"/>
              </w:rPr>
              <w:t>Price pressure remains sticky or rises again.</w:t>
            </w:r>
          </w:p>
        </w:tc>
        <w:tc>
          <w:tcPr>
            <w:tcW w:w="2570" w:type="dxa"/>
            <w:vAlign w:val="center"/>
          </w:tcPr>
          <w:p w14:paraId="56976D59" w14:textId="77777777" w:rsidR="00C90287" w:rsidRDefault="00C90287" w:rsidP="00406F1D">
            <w:r>
              <w:rPr>
                <w:sz w:val="15"/>
              </w:rPr>
              <w:t>Further disinflation improves purchasing power and financial conditions.</w:t>
            </w:r>
          </w:p>
        </w:tc>
        <w:tc>
          <w:tcPr>
            <w:tcW w:w="2570" w:type="dxa"/>
            <w:vAlign w:val="center"/>
          </w:tcPr>
          <w:p w14:paraId="0A4AD457" w14:textId="77777777" w:rsidR="00C90287" w:rsidRDefault="00C90287" w:rsidP="00406F1D">
            <w:r>
              <w:rPr>
                <w:sz w:val="15"/>
              </w:rPr>
              <w:t>Core inflation, services prices and energy costs.</w:t>
            </w:r>
          </w:p>
        </w:tc>
      </w:tr>
      <w:tr w:rsidR="00C90287" w14:paraId="2E1CE4F7" w14:textId="77777777" w:rsidTr="00406F1D">
        <w:trPr>
          <w:jc w:val="center"/>
        </w:trPr>
        <w:tc>
          <w:tcPr>
            <w:tcW w:w="2570" w:type="dxa"/>
            <w:vAlign w:val="center"/>
          </w:tcPr>
          <w:p w14:paraId="43E19E21" w14:textId="77777777" w:rsidR="00C90287" w:rsidRDefault="00C90287" w:rsidP="00406F1D">
            <w:r>
              <w:rPr>
                <w:sz w:val="15"/>
              </w:rPr>
              <w:t>Interest Rates</w:t>
            </w:r>
          </w:p>
        </w:tc>
        <w:tc>
          <w:tcPr>
            <w:tcW w:w="2570" w:type="dxa"/>
            <w:vAlign w:val="center"/>
          </w:tcPr>
          <w:p w14:paraId="417C37D2" w14:textId="77777777" w:rsidR="00C90287" w:rsidRDefault="00C90287" w:rsidP="00406F1D">
            <w:r>
              <w:rPr>
                <w:sz w:val="15"/>
              </w:rPr>
              <w:t>Rates stay high for longer or long-term yields rise.</w:t>
            </w:r>
          </w:p>
        </w:tc>
        <w:tc>
          <w:tcPr>
            <w:tcW w:w="2570" w:type="dxa"/>
            <w:vAlign w:val="center"/>
          </w:tcPr>
          <w:p w14:paraId="55765957" w14:textId="77777777" w:rsidR="00C90287" w:rsidRDefault="00C90287" w:rsidP="00406F1D">
            <w:r>
              <w:rPr>
                <w:sz w:val="15"/>
              </w:rPr>
              <w:t>Gradual easing improves housing, credit and investment conditions.</w:t>
            </w:r>
          </w:p>
        </w:tc>
        <w:tc>
          <w:tcPr>
            <w:tcW w:w="2570" w:type="dxa"/>
            <w:vAlign w:val="center"/>
          </w:tcPr>
          <w:p w14:paraId="384E4795" w14:textId="77777777" w:rsidR="00C90287" w:rsidRDefault="00C90287" w:rsidP="00406F1D">
            <w:r>
              <w:rPr>
                <w:sz w:val="15"/>
              </w:rPr>
              <w:t>Fed policy, Treasury yields and lending rates.</w:t>
            </w:r>
          </w:p>
        </w:tc>
      </w:tr>
      <w:tr w:rsidR="00C90287" w14:paraId="02ECCA95" w14:textId="77777777" w:rsidTr="00406F1D">
        <w:trPr>
          <w:jc w:val="center"/>
        </w:trPr>
        <w:tc>
          <w:tcPr>
            <w:tcW w:w="2570" w:type="dxa"/>
            <w:vAlign w:val="center"/>
          </w:tcPr>
          <w:p w14:paraId="2588964C" w14:textId="77777777" w:rsidR="00C90287" w:rsidRDefault="00C90287" w:rsidP="00406F1D">
            <w:r>
              <w:rPr>
                <w:sz w:val="15"/>
              </w:rPr>
              <w:t>Labor Market</w:t>
            </w:r>
          </w:p>
        </w:tc>
        <w:tc>
          <w:tcPr>
            <w:tcW w:w="2570" w:type="dxa"/>
            <w:vAlign w:val="center"/>
          </w:tcPr>
          <w:p w14:paraId="03FAAECA" w14:textId="77777777" w:rsidR="00C90287" w:rsidRDefault="00C90287" w:rsidP="00406F1D">
            <w:r>
              <w:rPr>
                <w:sz w:val="15"/>
              </w:rPr>
              <w:t>Hiring weakens sharply and unemployment rises.</w:t>
            </w:r>
          </w:p>
        </w:tc>
        <w:tc>
          <w:tcPr>
            <w:tcW w:w="2570" w:type="dxa"/>
            <w:vAlign w:val="center"/>
          </w:tcPr>
          <w:p w14:paraId="4310324E" w14:textId="77777777" w:rsidR="00C90287" w:rsidRDefault="00C90287" w:rsidP="00406F1D">
            <w:r>
              <w:rPr>
                <w:sz w:val="15"/>
              </w:rPr>
              <w:t>A balanced labor market supports incomes without excessive wage pressure.</w:t>
            </w:r>
          </w:p>
        </w:tc>
        <w:tc>
          <w:tcPr>
            <w:tcW w:w="2570" w:type="dxa"/>
            <w:vAlign w:val="center"/>
          </w:tcPr>
          <w:p w14:paraId="5F66B9A5" w14:textId="77777777" w:rsidR="00C90287" w:rsidRDefault="00C90287" w:rsidP="00406F1D">
            <w:r>
              <w:rPr>
                <w:sz w:val="15"/>
              </w:rPr>
              <w:t>Payrolls, unemployment and wage growth.</w:t>
            </w:r>
          </w:p>
        </w:tc>
      </w:tr>
      <w:tr w:rsidR="00C90287" w14:paraId="3DFED838" w14:textId="77777777" w:rsidTr="00406F1D">
        <w:trPr>
          <w:jc w:val="center"/>
        </w:trPr>
        <w:tc>
          <w:tcPr>
            <w:tcW w:w="2570" w:type="dxa"/>
            <w:vAlign w:val="center"/>
          </w:tcPr>
          <w:p w14:paraId="51246F39" w14:textId="77777777" w:rsidR="00C90287" w:rsidRDefault="00C90287" w:rsidP="00406F1D">
            <w:r>
              <w:rPr>
                <w:sz w:val="15"/>
              </w:rPr>
              <w:t>Fiscal Position</w:t>
            </w:r>
          </w:p>
        </w:tc>
        <w:tc>
          <w:tcPr>
            <w:tcW w:w="2570" w:type="dxa"/>
            <w:vAlign w:val="center"/>
          </w:tcPr>
          <w:p w14:paraId="7DCBC748" w14:textId="77777777" w:rsidR="00C90287" w:rsidRDefault="00C90287" w:rsidP="00406F1D">
            <w:r>
              <w:rPr>
                <w:sz w:val="15"/>
              </w:rPr>
              <w:t>Heavy borrowing keeps pressure on yields and interest costs.</w:t>
            </w:r>
          </w:p>
        </w:tc>
        <w:tc>
          <w:tcPr>
            <w:tcW w:w="2570" w:type="dxa"/>
            <w:vAlign w:val="center"/>
          </w:tcPr>
          <w:p w14:paraId="0DA90361" w14:textId="77777777" w:rsidR="00C90287" w:rsidRDefault="00C90287" w:rsidP="00406F1D">
            <w:r>
              <w:rPr>
                <w:sz w:val="15"/>
              </w:rPr>
              <w:t>Stronger growth and revenue performance improve fiscal outcomes.</w:t>
            </w:r>
          </w:p>
        </w:tc>
        <w:tc>
          <w:tcPr>
            <w:tcW w:w="2570" w:type="dxa"/>
            <w:vAlign w:val="center"/>
          </w:tcPr>
          <w:p w14:paraId="27F35B35" w14:textId="77777777" w:rsidR="00C90287" w:rsidRDefault="00C90287" w:rsidP="00406F1D">
            <w:r>
              <w:rPr>
                <w:sz w:val="15"/>
              </w:rPr>
              <w:t>Deficit, debt service and Treasury issuance.</w:t>
            </w:r>
          </w:p>
        </w:tc>
      </w:tr>
      <w:tr w:rsidR="00C90287" w14:paraId="2CC8F490" w14:textId="77777777" w:rsidTr="00406F1D">
        <w:trPr>
          <w:jc w:val="center"/>
        </w:trPr>
        <w:tc>
          <w:tcPr>
            <w:tcW w:w="2570" w:type="dxa"/>
            <w:vAlign w:val="center"/>
          </w:tcPr>
          <w:p w14:paraId="74B9BF9F" w14:textId="77777777" w:rsidR="00C90287" w:rsidRDefault="00C90287" w:rsidP="00406F1D">
            <w:r>
              <w:rPr>
                <w:sz w:val="15"/>
              </w:rPr>
              <w:t>Trade Policy</w:t>
            </w:r>
          </w:p>
        </w:tc>
        <w:tc>
          <w:tcPr>
            <w:tcW w:w="2570" w:type="dxa"/>
            <w:vAlign w:val="center"/>
          </w:tcPr>
          <w:p w14:paraId="14F92A74" w14:textId="77777777" w:rsidR="00C90287" w:rsidRDefault="00C90287" w:rsidP="00406F1D">
            <w:r>
              <w:rPr>
                <w:sz w:val="15"/>
              </w:rPr>
              <w:t>Tariffs raise costs and disrupt supply chains.</w:t>
            </w:r>
          </w:p>
        </w:tc>
        <w:tc>
          <w:tcPr>
            <w:tcW w:w="2570" w:type="dxa"/>
            <w:vAlign w:val="center"/>
          </w:tcPr>
          <w:p w14:paraId="35DE6900" w14:textId="77777777" w:rsidR="00C90287" w:rsidRDefault="00C90287" w:rsidP="00406F1D">
            <w:r>
              <w:rPr>
                <w:sz w:val="15"/>
              </w:rPr>
              <w:t>Greater policy clarity supports planning and domestic investment.</w:t>
            </w:r>
          </w:p>
        </w:tc>
        <w:tc>
          <w:tcPr>
            <w:tcW w:w="2570" w:type="dxa"/>
            <w:vAlign w:val="center"/>
          </w:tcPr>
          <w:p w14:paraId="306EFC11" w14:textId="77777777" w:rsidR="00C90287" w:rsidRDefault="00C90287" w:rsidP="00406F1D">
            <w:r>
              <w:rPr>
                <w:sz w:val="15"/>
              </w:rPr>
              <w:t>Tariffs, import prices and trade flows.</w:t>
            </w:r>
          </w:p>
        </w:tc>
      </w:tr>
      <w:tr w:rsidR="00C90287" w14:paraId="056BD588" w14:textId="77777777" w:rsidTr="00406F1D">
        <w:trPr>
          <w:jc w:val="center"/>
        </w:trPr>
        <w:tc>
          <w:tcPr>
            <w:tcW w:w="2570" w:type="dxa"/>
            <w:vAlign w:val="center"/>
          </w:tcPr>
          <w:p w14:paraId="345B10BB" w14:textId="77777777" w:rsidR="00C90287" w:rsidRDefault="00C90287" w:rsidP="00406F1D">
            <w:r>
              <w:rPr>
                <w:sz w:val="15"/>
              </w:rPr>
              <w:t>AI / Data Centers</w:t>
            </w:r>
          </w:p>
        </w:tc>
        <w:tc>
          <w:tcPr>
            <w:tcW w:w="2570" w:type="dxa"/>
            <w:vAlign w:val="center"/>
          </w:tcPr>
          <w:p w14:paraId="249D964D" w14:textId="77777777" w:rsidR="00C90287" w:rsidRDefault="00C90287" w:rsidP="00406F1D">
            <w:r>
              <w:rPr>
                <w:sz w:val="15"/>
              </w:rPr>
              <w:t>Power, land and grid constraints delay projects.</w:t>
            </w:r>
          </w:p>
        </w:tc>
        <w:tc>
          <w:tcPr>
            <w:tcW w:w="2570" w:type="dxa"/>
            <w:vAlign w:val="center"/>
          </w:tcPr>
          <w:p w14:paraId="4C9BBC92" w14:textId="77777777" w:rsidR="00C90287" w:rsidRDefault="00C90287" w:rsidP="00406F1D">
            <w:r>
              <w:rPr>
                <w:sz w:val="15"/>
              </w:rPr>
              <w:t>Strong investment supports technology, construction, power and productivity.</w:t>
            </w:r>
          </w:p>
        </w:tc>
        <w:tc>
          <w:tcPr>
            <w:tcW w:w="2570" w:type="dxa"/>
            <w:vAlign w:val="center"/>
          </w:tcPr>
          <w:p w14:paraId="0D9E1A83" w14:textId="77777777" w:rsidR="00C90287" w:rsidRDefault="00C90287" w:rsidP="00406F1D">
            <w:r>
              <w:rPr>
                <w:sz w:val="15"/>
              </w:rPr>
              <w:t>Data-center capex, electricity load and grid projects.</w:t>
            </w:r>
          </w:p>
        </w:tc>
      </w:tr>
      <w:tr w:rsidR="00C90287" w14:paraId="3BFA2CB0" w14:textId="77777777" w:rsidTr="00406F1D">
        <w:trPr>
          <w:jc w:val="center"/>
        </w:trPr>
        <w:tc>
          <w:tcPr>
            <w:tcW w:w="2570" w:type="dxa"/>
            <w:vAlign w:val="center"/>
          </w:tcPr>
          <w:p w14:paraId="14EB6FE4" w14:textId="77777777" w:rsidR="00C90287" w:rsidRDefault="00C90287" w:rsidP="00406F1D">
            <w:r>
              <w:rPr>
                <w:sz w:val="15"/>
              </w:rPr>
              <w:t>Energy</w:t>
            </w:r>
          </w:p>
        </w:tc>
        <w:tc>
          <w:tcPr>
            <w:tcW w:w="2570" w:type="dxa"/>
            <w:vAlign w:val="center"/>
          </w:tcPr>
          <w:p w14:paraId="27303B1F" w14:textId="77777777" w:rsidR="00C90287" w:rsidRDefault="00C90287" w:rsidP="00406F1D">
            <w:r>
              <w:rPr>
                <w:sz w:val="15"/>
              </w:rPr>
              <w:t>Energy-price shocks add to inflation and business costs.</w:t>
            </w:r>
          </w:p>
        </w:tc>
        <w:tc>
          <w:tcPr>
            <w:tcW w:w="2570" w:type="dxa"/>
            <w:vAlign w:val="center"/>
          </w:tcPr>
          <w:p w14:paraId="0058DE12" w14:textId="77777777" w:rsidR="00C90287" w:rsidRDefault="00C90287" w:rsidP="00406F1D">
            <w:r>
              <w:rPr>
                <w:sz w:val="15"/>
              </w:rPr>
              <w:t>Strong domestic supply supports investment and energy security.</w:t>
            </w:r>
          </w:p>
        </w:tc>
        <w:tc>
          <w:tcPr>
            <w:tcW w:w="2570" w:type="dxa"/>
            <w:vAlign w:val="center"/>
          </w:tcPr>
          <w:p w14:paraId="6C4C08CA" w14:textId="77777777" w:rsidR="00C90287" w:rsidRDefault="00C90287" w:rsidP="00406F1D">
            <w:r>
              <w:rPr>
                <w:sz w:val="15"/>
              </w:rPr>
              <w:t>Oil, natural gas, electricity and generation capacity.</w:t>
            </w:r>
          </w:p>
        </w:tc>
      </w:tr>
    </w:tbl>
    <w:p w14:paraId="0791352E" w14:textId="77777777" w:rsidR="00C90287" w:rsidRDefault="00C90287" w:rsidP="00C90287">
      <w:r>
        <w:br w:type="page"/>
      </w:r>
    </w:p>
    <w:p w14:paraId="68B1E5FF" w14:textId="77777777" w:rsidR="00C90287" w:rsidRDefault="00C90287" w:rsidP="00C90287">
      <w:pPr>
        <w:pStyle w:val="Heading1"/>
      </w:pPr>
      <w:r>
        <w:lastRenderedPageBreak/>
        <w:t>2027 Executive Outlook</w:t>
      </w:r>
    </w:p>
    <w:p w14:paraId="0BD16200" w14:textId="77777777" w:rsidR="00C90287" w:rsidRDefault="00C90287" w:rsidP="00C90287">
      <w:r>
        <w:t>The 2027 outlook is likely to depend on whether lower inflation and gradually easier financial conditions can support demand without creating another round of price pressure. Growth does not need to be unusually strong for the environment to remain constructive. A steady expansion, stable employment and improving financing conditions would be enough to support many parts of the economy.</w:t>
      </w:r>
    </w:p>
    <w:p w14:paraId="7AA93EDD" w14:textId="77777777" w:rsidR="00C90287" w:rsidRDefault="00C90287" w:rsidP="00C90287">
      <w:r>
        <w:t>The main risks come from persistent inflation, high long-term interest rates, fiscal pressure, trade-policy uncertainty and a sharper weakening in employment. The strongest opportunities are linked to technology, AI, data centers, power infrastructure and productivity improvement.</w:t>
      </w:r>
    </w:p>
    <w:p w14:paraId="49DD8C36" w14:textId="77777777" w:rsidR="00C90287" w:rsidRDefault="00C90287" w:rsidP="00C90287">
      <w:r>
        <w:t>For businesses, 2027 is likely to reward companies that can protect margins, manage financing carefully and invest in areas that improve productivity. For investors, the key question is whether earnings and economic growth can remain stable as the economy adjusts to a higher-cost capital environment.</w:t>
      </w:r>
    </w:p>
    <w:p w14:paraId="5358CB0F" w14:textId="77777777" w:rsidR="00C90287" w:rsidRDefault="00C90287" w:rsidP="00C90287">
      <w:pPr>
        <w:pStyle w:val="Heading2"/>
      </w:pPr>
      <w:r>
        <w:t>Overall Inference</w:t>
      </w:r>
    </w:p>
    <w:p w14:paraId="1072D751" w14:textId="77777777" w:rsidR="00C90287" w:rsidRDefault="00C90287" w:rsidP="00C90287">
      <w:r>
        <w:t xml:space="preserve">What matters most </w:t>
      </w:r>
      <w:proofErr w:type="gramStart"/>
      <w:r>
        <w:t>for</w:t>
      </w:r>
      <w:proofErr w:type="gramEnd"/>
      <w:r>
        <w:t xml:space="preserve"> 2027 is not whether the economy returns to the conditions of the previous decade. The more important question is whether the U.S. can maintain moderate growth while inflation continues to improve and investment shifts toward technology and infrastructure. If that balance holds, the outlook remains supportive. If inflation, interest rates or policy uncertainty stay elevated for longer, growth could become more uneven.</w:t>
      </w:r>
    </w:p>
    <w:p w14:paraId="20BB023D" w14:textId="77777777" w:rsidR="00C90287" w:rsidRDefault="00C90287" w:rsidP="00C90287">
      <w:pPr>
        <w:pStyle w:val="Heading2"/>
      </w:pPr>
      <w:r>
        <w:t>Source Notes</w:t>
      </w:r>
    </w:p>
    <w:p w14:paraId="4151A066" w14:textId="77777777" w:rsidR="00C90287" w:rsidRDefault="00C90287" w:rsidP="00C90287">
      <w:pPr>
        <w:pStyle w:val="ListBullet"/>
        <w:spacing w:after="60"/>
      </w:pPr>
      <w:r>
        <w:t>Congressional Budget Office, The Budget and Economic Outlook: 2026 to 2036 (February 2026).</w:t>
      </w:r>
    </w:p>
    <w:p w14:paraId="73833268" w14:textId="77777777" w:rsidR="00C90287" w:rsidRDefault="00C90287" w:rsidP="00C90287">
      <w:pPr>
        <w:pStyle w:val="ListBullet"/>
        <w:spacing w:after="60"/>
      </w:pPr>
      <w:r>
        <w:t>Federal Reserve, Summary of Economic Projections (March 2026).</w:t>
      </w:r>
    </w:p>
    <w:p w14:paraId="0B31B952" w14:textId="77777777" w:rsidR="00C90287" w:rsidRDefault="00C90287" w:rsidP="00C90287">
      <w:pPr>
        <w:pStyle w:val="ListBullet"/>
        <w:spacing w:after="60"/>
      </w:pPr>
      <w:r>
        <w:t>International Monetary Fund, 2026 Article IV Consultation with the United States.</w:t>
      </w:r>
    </w:p>
    <w:p w14:paraId="0D9F23E2" w14:textId="77777777" w:rsidR="00C90287" w:rsidRDefault="00C90287" w:rsidP="00C90287">
      <w:pPr>
        <w:pStyle w:val="ListBullet"/>
        <w:spacing w:after="60"/>
      </w:pPr>
      <w:r>
        <w:t>U.S. Energy Information Administration, Short-Term Energy Outlook (September 2026).</w:t>
      </w:r>
    </w:p>
    <w:p w14:paraId="2D304535" w14:textId="77777777" w:rsidR="00C90287" w:rsidRDefault="00C90287" w:rsidP="00C90287">
      <w:r>
        <w:rPr>
          <w:b/>
        </w:rPr>
        <w:t xml:space="preserve">Forecast status: </w:t>
      </w:r>
      <w:r>
        <w:rPr>
          <w:i/>
        </w:rPr>
        <w:t>2027 values are projections, not historical observations. The written discussion focuses on the direction of the outlook rather than repeating forecast numbers.</w:t>
      </w:r>
    </w:p>
    <w:p w14:paraId="2F71CDDA" w14:textId="77777777" w:rsidR="00C90287" w:rsidRDefault="00C90287">
      <w:pPr>
        <w:pStyle w:val="Kicker"/>
      </w:pPr>
    </w:p>
    <w:p w14:paraId="7108F378" w14:textId="77777777" w:rsidR="00C90287" w:rsidRDefault="00C90287">
      <w:pPr>
        <w:pStyle w:val="Kicker"/>
      </w:pPr>
    </w:p>
    <w:p w14:paraId="5AA95511" w14:textId="77777777" w:rsidR="000F56DE" w:rsidRDefault="000F56DE"/>
    <w:p w14:paraId="2D314D9C" w14:textId="77777777" w:rsidR="000F56DE" w:rsidRDefault="00000000">
      <w:pPr>
        <w:spacing w:before="60"/>
        <w:jc w:val="right"/>
      </w:pPr>
      <w:r>
        <w:rPr>
          <w:color w:val="787878"/>
          <w:sz w:val="14"/>
        </w:rPr>
        <w:t>BrandEssence Economic Intelligence   |   Executive   |   4</w:t>
      </w:r>
    </w:p>
    <w:p w14:paraId="577B2ABE" w14:textId="77777777" w:rsidR="000F56DE" w:rsidRDefault="00000000">
      <w:r>
        <w:br w:type="page"/>
      </w:r>
    </w:p>
    <w:p w14:paraId="2B23A965" w14:textId="77777777" w:rsidR="000F56DE" w:rsidRDefault="00000000">
      <w:pPr>
        <w:pStyle w:val="Kicker"/>
      </w:pPr>
      <w:r>
        <w:lastRenderedPageBreak/>
        <w:t xml:space="preserve">CHAPTER </w:t>
      </w:r>
      <w:proofErr w:type="gramStart"/>
      <w:r>
        <w:t>03  /</w:t>
      </w:r>
      <w:proofErr w:type="gramEnd"/>
      <w:r>
        <w:t xml:space="preserve">  PAGE </w:t>
      </w:r>
      <w:proofErr w:type="gramStart"/>
      <w:r>
        <w:t>005  /</w:t>
      </w:r>
      <w:proofErr w:type="gramEnd"/>
      <w:r>
        <w:t xml:space="preserve">  U.S. MACRO DASHBOARD</w:t>
      </w:r>
    </w:p>
    <w:p w14:paraId="12265086" w14:textId="77777777" w:rsidR="000F56DE" w:rsidRDefault="00000000">
      <w:pPr>
        <w:pStyle w:val="Heading1"/>
      </w:pPr>
      <w:r>
        <w:t>3. U.S. Macro Dashboard</w:t>
      </w:r>
    </w:p>
    <w:p w14:paraId="391D7DBD" w14:textId="77777777" w:rsidR="004D5EA6" w:rsidRDefault="004D5EA6" w:rsidP="004D5EA6">
      <w:r>
        <w:rPr>
          <w:i/>
          <w:color w:val="5A5A5A"/>
        </w:rPr>
      </w:r>
      <w:r>
        <w:t>Executive KPI Dashboard | 2015–2025 historical overview</w:t>
      </w:r>
    </w:p>
    <w:p w14:paraId="3B6D8FF5" w14:textId="77777777" w:rsidR="004D5EA6" w:rsidRDefault="004D5EA6" w:rsidP="004D5EA6">
      <w:r/>
      <w:r>
        <w:t>The dashboard brings together the main indicators shaping the U.S. economy through 2025. Growth remains positive but has moderated, inflation has eased from its earlier peak, and the labor market is less tight than during the post-pandemic rebound. At the same time, elevated borrowing costs and a heavier public-debt burden continue to influence household, corporate and government financial decisions.</w:t>
      </w:r>
    </w:p>
    <w:tbl>
      <w:tblPr>
        <w:tblW w:w="0" w:type="auto"/>
        <w:jc w:val="center"/>
        <w:tblLook w:val="04A0" w:firstRow="1" w:lastRow="0" w:firstColumn="1" w:lastColumn="0" w:noHBand="0" w:noVBand="1"/>
      </w:tblPr>
      <w:tblGrid>
        <w:gridCol w:w="2589"/>
        <w:gridCol w:w="2600"/>
        <w:gridCol w:w="2589"/>
        <w:gridCol w:w="2590"/>
      </w:tblGrid>
      <w:tr w:rsidR="004D5EA6" w14:paraId="79506F51" w14:textId="77777777" w:rsidTr="00406F1D">
        <w:trPr>
          <w:jc w:val="center"/>
        </w:trPr>
        <w:tc>
          <w:tcPr>
            <w:tcW w:w="2664" w:type="dxa"/>
            <w:shd w:val="clear" w:color="auto" w:fill="EAF0F8"/>
            <w:vAlign w:val="center"/>
          </w:tcPr>
          <w:p w14:paraId="75386ABD" w14:textId="77777777" w:rsidR="004D5EA6" w:rsidRDefault="004D5EA6" w:rsidP="00406F1D">
            <w:pPr>
              <w:jc w:val="center"/>
            </w:pPr>
            <w:r>
              <w:rPr>
                <w:b/>
                <w:color w:val="1F3756"/>
                <w:sz w:val="14"/>
              </w:rPr>
              <w:t>Real GDP Growth</w:t>
            </w:r>
            <w:r>
              <w:rPr>
                <w:b/>
                <w:color w:val="1F3756"/>
                <w:sz w:val="14"/>
              </w:rPr>
              <w:br/>
            </w:r>
            <w:r>
              <w:rPr>
                <w:b/>
                <w:color w:val="4472C4"/>
                <w:sz w:val="27"/>
              </w:rPr>
              <w:t>1.5%</w:t>
            </w:r>
            <w:r>
              <w:rPr>
                <w:b/>
                <w:color w:val="4472C4"/>
                <w:sz w:val="27"/>
              </w:rPr>
              <w:br/>
            </w:r>
            <w:r>
              <w:rPr>
                <w:color w:val="5A5A5A"/>
                <w:sz w:val="12"/>
              </w:rPr>
              <w:t>Q2 2026, annualized</w:t>
            </w:r>
          </w:p>
        </w:tc>
        <w:tc>
          <w:tcPr>
            <w:tcW w:w="2664" w:type="dxa"/>
            <w:shd w:val="clear" w:color="auto" w:fill="EAF0F8"/>
            <w:vAlign w:val="center"/>
          </w:tcPr>
          <w:p w14:paraId="1063D278" w14:textId="77777777" w:rsidR="004D5EA6" w:rsidRDefault="004D5EA6" w:rsidP="00406F1D">
            <w:pPr>
              <w:jc w:val="center"/>
            </w:pPr>
            <w:r>
              <w:rPr>
                <w:b/>
                <w:color w:val="1F3756"/>
                <w:sz w:val="14"/>
              </w:rPr>
              <w:t>CPI Inflation</w:t>
            </w:r>
            <w:r>
              <w:rPr>
                <w:b/>
                <w:color w:val="1F3756"/>
                <w:sz w:val="14"/>
              </w:rPr>
              <w:br/>
            </w:r>
            <w:r>
              <w:rPr>
                <w:b/>
                <w:color w:val="4472C4"/>
                <w:sz w:val="27"/>
              </w:rPr>
              <w:t>3.4%</w:t>
            </w:r>
            <w:r>
              <w:rPr>
                <w:b/>
                <w:color w:val="4472C4"/>
                <w:sz w:val="27"/>
              </w:rPr>
              <w:br/>
            </w:r>
            <w:r>
              <w:rPr>
                <w:color w:val="5A5A5A"/>
                <w:sz w:val="12"/>
              </w:rPr>
              <w:t>Jul 2026, y/y</w:t>
            </w:r>
          </w:p>
        </w:tc>
        <w:tc>
          <w:tcPr>
            <w:tcW w:w="2664" w:type="dxa"/>
            <w:shd w:val="clear" w:color="auto" w:fill="EAF0F8"/>
            <w:vAlign w:val="center"/>
          </w:tcPr>
          <w:p w14:paraId="608DF82B" w14:textId="77777777" w:rsidR="004D5EA6" w:rsidRDefault="004D5EA6" w:rsidP="00406F1D">
            <w:pPr>
              <w:jc w:val="center"/>
            </w:pPr>
            <w:r>
              <w:rPr>
                <w:b/>
                <w:color w:val="1F3756"/>
                <w:sz w:val="14"/>
              </w:rPr>
              <w:t>Core CPI</w:t>
            </w:r>
            <w:r>
              <w:rPr>
                <w:b/>
                <w:color w:val="1F3756"/>
                <w:sz w:val="14"/>
              </w:rPr>
              <w:br/>
            </w:r>
            <w:r>
              <w:rPr>
                <w:b/>
                <w:color w:val="4472C4"/>
                <w:sz w:val="27"/>
              </w:rPr>
              <w:t>2.5%</w:t>
            </w:r>
            <w:r>
              <w:rPr>
                <w:b/>
                <w:color w:val="4472C4"/>
                <w:sz w:val="27"/>
              </w:rPr>
              <w:br/>
            </w:r>
            <w:r>
              <w:rPr>
                <w:color w:val="5A5A5A"/>
                <w:sz w:val="12"/>
              </w:rPr>
              <w:t>Jul 2026, y/y</w:t>
            </w:r>
          </w:p>
        </w:tc>
        <w:tc>
          <w:tcPr>
            <w:tcW w:w="2664" w:type="dxa"/>
            <w:shd w:val="clear" w:color="auto" w:fill="EAF0F8"/>
            <w:vAlign w:val="center"/>
          </w:tcPr>
          <w:p w14:paraId="41767AC3" w14:textId="77777777" w:rsidR="004D5EA6" w:rsidRDefault="004D5EA6" w:rsidP="00406F1D">
            <w:pPr>
              <w:jc w:val="center"/>
            </w:pPr>
            <w:r>
              <w:rPr>
                <w:b/>
                <w:color w:val="1F3756"/>
                <w:sz w:val="14"/>
              </w:rPr>
              <w:t>PCE Inflation</w:t>
            </w:r>
            <w:r>
              <w:rPr>
                <w:b/>
                <w:color w:val="1F3756"/>
                <w:sz w:val="14"/>
              </w:rPr>
              <w:br/>
            </w:r>
            <w:r>
              <w:rPr>
                <w:b/>
                <w:color w:val="4472C4"/>
                <w:sz w:val="27"/>
              </w:rPr>
              <w:t>3.7%</w:t>
            </w:r>
            <w:r>
              <w:rPr>
                <w:b/>
                <w:color w:val="4472C4"/>
                <w:sz w:val="27"/>
              </w:rPr>
              <w:br/>
            </w:r>
            <w:r>
              <w:rPr>
                <w:color w:val="5A5A5A"/>
                <w:sz w:val="12"/>
              </w:rPr>
              <w:t>Jul 2026, y/y</w:t>
            </w:r>
          </w:p>
        </w:tc>
      </w:tr>
      <w:tr w:rsidR="004D5EA6" w14:paraId="7BB60EE0" w14:textId="77777777" w:rsidTr="00406F1D">
        <w:trPr>
          <w:jc w:val="center"/>
        </w:trPr>
        <w:tc>
          <w:tcPr>
            <w:tcW w:w="2664" w:type="dxa"/>
            <w:shd w:val="clear" w:color="auto" w:fill="EAF0F8"/>
            <w:vAlign w:val="center"/>
          </w:tcPr>
          <w:p w14:paraId="1DCB6685" w14:textId="77777777" w:rsidR="004D5EA6" w:rsidRDefault="004D5EA6" w:rsidP="00406F1D">
            <w:pPr>
              <w:jc w:val="center"/>
            </w:pPr>
            <w:r>
              <w:rPr>
                <w:b/>
                <w:color w:val="1F3756"/>
                <w:sz w:val="14"/>
              </w:rPr>
              <w:t>Core PCE</w:t>
            </w:r>
            <w:r>
              <w:rPr>
                <w:b/>
                <w:color w:val="1F3756"/>
                <w:sz w:val="14"/>
              </w:rPr>
              <w:br/>
            </w:r>
            <w:r>
              <w:rPr>
                <w:b/>
                <w:color w:val="4472C4"/>
                <w:sz w:val="27"/>
              </w:rPr>
              <w:t>3.3%</w:t>
            </w:r>
            <w:r>
              <w:rPr>
                <w:b/>
                <w:color w:val="4472C4"/>
                <w:sz w:val="27"/>
              </w:rPr>
              <w:br/>
            </w:r>
            <w:r>
              <w:rPr>
                <w:color w:val="5A5A5A"/>
                <w:sz w:val="12"/>
              </w:rPr>
              <w:t>Jul 2026, y/y</w:t>
            </w:r>
          </w:p>
        </w:tc>
        <w:tc>
          <w:tcPr>
            <w:tcW w:w="2664" w:type="dxa"/>
            <w:shd w:val="clear" w:color="auto" w:fill="EAF0F8"/>
            <w:vAlign w:val="center"/>
          </w:tcPr>
          <w:p w14:paraId="1F28CBF8" w14:textId="77777777" w:rsidR="004D5EA6" w:rsidRDefault="004D5EA6" w:rsidP="00406F1D">
            <w:pPr>
              <w:jc w:val="center"/>
            </w:pPr>
            <w:r>
              <w:rPr>
                <w:b/>
                <w:color w:val="1F3756"/>
                <w:sz w:val="14"/>
              </w:rPr>
              <w:t>Unemployment</w:t>
            </w:r>
            <w:r>
              <w:rPr>
                <w:b/>
                <w:color w:val="1F3756"/>
                <w:sz w:val="14"/>
              </w:rPr>
              <w:br/>
            </w:r>
            <w:r>
              <w:rPr>
                <w:b/>
                <w:color w:val="4472C4"/>
                <w:sz w:val="27"/>
              </w:rPr>
              <w:t>4.1%</w:t>
            </w:r>
            <w:r>
              <w:rPr>
                <w:b/>
                <w:color w:val="4472C4"/>
                <w:sz w:val="27"/>
              </w:rPr>
              <w:br/>
            </w:r>
            <w:r>
              <w:rPr>
                <w:color w:val="5A5A5A"/>
                <w:sz w:val="12"/>
              </w:rPr>
              <w:t>Aug 2026</w:t>
            </w:r>
          </w:p>
        </w:tc>
        <w:tc>
          <w:tcPr>
            <w:tcW w:w="2664" w:type="dxa"/>
            <w:shd w:val="clear" w:color="auto" w:fill="EAF0F8"/>
            <w:vAlign w:val="center"/>
          </w:tcPr>
          <w:p w14:paraId="7B259FCA" w14:textId="77777777" w:rsidR="004D5EA6" w:rsidRDefault="004D5EA6" w:rsidP="00406F1D">
            <w:pPr>
              <w:jc w:val="center"/>
            </w:pPr>
            <w:r>
              <w:rPr>
                <w:b/>
                <w:color w:val="1F3756"/>
                <w:sz w:val="14"/>
              </w:rPr>
              <w:t>Payroll Change</w:t>
            </w:r>
            <w:r>
              <w:rPr>
                <w:b/>
                <w:color w:val="1F3756"/>
                <w:sz w:val="14"/>
              </w:rPr>
              <w:br/>
            </w:r>
            <w:r>
              <w:rPr>
                <w:b/>
                <w:color w:val="4472C4"/>
                <w:sz w:val="27"/>
              </w:rPr>
              <w:t>+162k</w:t>
            </w:r>
            <w:r>
              <w:rPr>
                <w:b/>
                <w:color w:val="4472C4"/>
                <w:sz w:val="27"/>
              </w:rPr>
              <w:br/>
            </w:r>
            <w:r>
              <w:rPr>
                <w:color w:val="5A5A5A"/>
                <w:sz w:val="12"/>
              </w:rPr>
              <w:t>Aug 2026</w:t>
            </w:r>
          </w:p>
        </w:tc>
        <w:tc>
          <w:tcPr>
            <w:tcW w:w="2664" w:type="dxa"/>
            <w:shd w:val="clear" w:color="auto" w:fill="EAF0F8"/>
            <w:vAlign w:val="center"/>
          </w:tcPr>
          <w:p w14:paraId="6D6FF926" w14:textId="77777777" w:rsidR="004D5EA6" w:rsidRDefault="004D5EA6" w:rsidP="00406F1D">
            <w:pPr>
              <w:jc w:val="center"/>
            </w:pPr>
            <w:r>
              <w:rPr>
                <w:b/>
                <w:color w:val="1F3756"/>
                <w:sz w:val="14"/>
              </w:rPr>
              <w:t>Personal Income</w:t>
            </w:r>
            <w:r>
              <w:rPr>
                <w:b/>
                <w:color w:val="1F3756"/>
                <w:sz w:val="14"/>
              </w:rPr>
              <w:br/>
            </w:r>
            <w:r>
              <w:rPr>
                <w:b/>
                <w:color w:val="4472C4"/>
                <w:sz w:val="27"/>
              </w:rPr>
              <w:t>+0.4%</w:t>
            </w:r>
            <w:r>
              <w:rPr>
                <w:b/>
                <w:color w:val="4472C4"/>
                <w:sz w:val="27"/>
              </w:rPr>
              <w:br/>
            </w:r>
            <w:r>
              <w:rPr>
                <w:color w:val="5A5A5A"/>
                <w:sz w:val="12"/>
              </w:rPr>
              <w:t>Jul 2026, m/m</w:t>
            </w:r>
          </w:p>
        </w:tc>
      </w:tr>
      <w:tr w:rsidR="004D5EA6" w14:paraId="284C898E" w14:textId="77777777" w:rsidTr="00406F1D">
        <w:trPr>
          <w:jc w:val="center"/>
        </w:trPr>
        <w:tc>
          <w:tcPr>
            <w:tcW w:w="2664" w:type="dxa"/>
            <w:shd w:val="clear" w:color="auto" w:fill="EAF0F8"/>
            <w:vAlign w:val="center"/>
          </w:tcPr>
          <w:p w14:paraId="1265B31F" w14:textId="77777777" w:rsidR="004D5EA6" w:rsidRDefault="004D5EA6" w:rsidP="00406F1D">
            <w:pPr>
              <w:jc w:val="center"/>
            </w:pPr>
            <w:r>
              <w:rPr>
                <w:b/>
                <w:color w:val="1F3756"/>
                <w:sz w:val="14"/>
              </w:rPr>
              <w:t>Real PCE</w:t>
            </w:r>
            <w:r>
              <w:rPr>
                <w:b/>
                <w:color w:val="1F3756"/>
                <w:sz w:val="14"/>
              </w:rPr>
              <w:br/>
            </w:r>
            <w:r>
              <w:rPr>
                <w:b/>
                <w:color w:val="4472C4"/>
                <w:sz w:val="27"/>
              </w:rPr>
              <w:t>~0.0%</w:t>
            </w:r>
            <w:r>
              <w:rPr>
                <w:b/>
                <w:color w:val="4472C4"/>
                <w:sz w:val="27"/>
              </w:rPr>
              <w:br/>
            </w:r>
            <w:r>
              <w:rPr>
                <w:color w:val="5A5A5A"/>
                <w:sz w:val="12"/>
              </w:rPr>
              <w:t>Jul 2026, m/m</w:t>
            </w:r>
          </w:p>
        </w:tc>
        <w:tc>
          <w:tcPr>
            <w:tcW w:w="2664" w:type="dxa"/>
            <w:shd w:val="clear" w:color="auto" w:fill="EAF0F8"/>
            <w:vAlign w:val="center"/>
          </w:tcPr>
          <w:p w14:paraId="62955698" w14:textId="77777777" w:rsidR="004D5EA6" w:rsidRDefault="004D5EA6" w:rsidP="00406F1D">
            <w:pPr>
              <w:jc w:val="center"/>
            </w:pPr>
            <w:r>
              <w:rPr>
                <w:b/>
                <w:color w:val="1F3756"/>
                <w:sz w:val="14"/>
              </w:rPr>
              <w:t>Saving Rate</w:t>
            </w:r>
            <w:r>
              <w:rPr>
                <w:b/>
                <w:color w:val="1F3756"/>
                <w:sz w:val="14"/>
              </w:rPr>
              <w:br/>
            </w:r>
            <w:r>
              <w:rPr>
                <w:b/>
                <w:color w:val="4472C4"/>
                <w:sz w:val="27"/>
              </w:rPr>
              <w:t>3.0%</w:t>
            </w:r>
            <w:r>
              <w:rPr>
                <w:b/>
                <w:color w:val="4472C4"/>
                <w:sz w:val="27"/>
              </w:rPr>
              <w:br/>
            </w:r>
            <w:r>
              <w:rPr>
                <w:color w:val="5A5A5A"/>
                <w:sz w:val="12"/>
              </w:rPr>
              <w:t>Jul 2026</w:t>
            </w:r>
          </w:p>
        </w:tc>
        <w:tc>
          <w:tcPr>
            <w:tcW w:w="2664" w:type="dxa"/>
            <w:shd w:val="clear" w:color="auto" w:fill="EAF0F8"/>
            <w:vAlign w:val="center"/>
          </w:tcPr>
          <w:p w14:paraId="1627F71D" w14:textId="77777777" w:rsidR="004D5EA6" w:rsidRDefault="004D5EA6" w:rsidP="00406F1D">
            <w:pPr>
              <w:jc w:val="center"/>
            </w:pPr>
            <w:r>
              <w:rPr>
                <w:b/>
                <w:color w:val="1F3756"/>
                <w:sz w:val="14"/>
              </w:rPr>
              <w:t>FY2026 Deficit</w:t>
            </w:r>
            <w:r>
              <w:rPr>
                <w:b/>
                <w:color w:val="1F3756"/>
                <w:sz w:val="14"/>
              </w:rPr>
              <w:br/>
            </w:r>
            <w:r>
              <w:rPr>
                <w:b/>
                <w:color w:val="4472C4"/>
                <w:sz w:val="27"/>
              </w:rPr>
              <w:t>5.8% GDP</w:t>
            </w:r>
            <w:r>
              <w:rPr>
                <w:b/>
                <w:color w:val="4472C4"/>
                <w:sz w:val="27"/>
              </w:rPr>
              <w:br/>
            </w:r>
            <w:r>
              <w:rPr>
                <w:color w:val="5A5A5A"/>
                <w:sz w:val="12"/>
              </w:rPr>
              <w:t>CBO baseline</w:t>
            </w:r>
          </w:p>
        </w:tc>
        <w:tc>
          <w:tcPr>
            <w:tcW w:w="2664" w:type="dxa"/>
            <w:shd w:val="clear" w:color="auto" w:fill="EAF0F8"/>
            <w:vAlign w:val="center"/>
          </w:tcPr>
          <w:p w14:paraId="163FCA9C" w14:textId="77777777" w:rsidR="004D5EA6" w:rsidRDefault="004D5EA6" w:rsidP="00406F1D">
            <w:pPr>
              <w:jc w:val="center"/>
            </w:pPr>
            <w:r>
              <w:rPr>
                <w:b/>
                <w:color w:val="1F3756"/>
                <w:sz w:val="14"/>
              </w:rPr>
              <w:t>Public Debt</w:t>
            </w:r>
            <w:r>
              <w:rPr>
                <w:b/>
                <w:color w:val="1F3756"/>
                <w:sz w:val="14"/>
              </w:rPr>
              <w:br/>
            </w:r>
            <w:r>
              <w:rPr>
                <w:b/>
                <w:color w:val="4472C4"/>
                <w:sz w:val="27"/>
              </w:rPr>
              <w:t>101% GDP</w:t>
            </w:r>
            <w:r>
              <w:rPr>
                <w:b/>
                <w:color w:val="4472C4"/>
                <w:sz w:val="27"/>
              </w:rPr>
              <w:br/>
            </w:r>
            <w:r>
              <w:rPr>
                <w:color w:val="5A5A5A"/>
                <w:sz w:val="12"/>
              </w:rPr>
              <w:t>FY2026 CBO baseline</w:t>
            </w:r>
          </w:p>
        </w:tc>
      </w:tr>
    </w:tbl>
    <w:p w14:paraId="1B45DFFC" w14:textId="77777777" w:rsidR="004D5EA6" w:rsidRDefault="004D5EA6" w:rsidP="004D5EA6"/>
    <w:tbl>
      <w:tblPr>
        <w:tblW w:w="0" w:type="auto"/>
        <w:jc w:val="center"/>
        <w:tblLook w:val="04A0" w:firstRow="1" w:lastRow="0" w:firstColumn="1" w:lastColumn="0" w:noHBand="0" w:noVBand="1"/>
      </w:tblPr>
      <w:tblGrid>
        <w:gridCol w:w="5184"/>
        <w:gridCol w:w="5184"/>
      </w:tblGrid>
      <w:tr w:rsidR="004D5EA6" w14:paraId="66C3F24A" w14:textId="77777777" w:rsidTr="00406F1D">
        <w:trPr>
          <w:jc w:val="center"/>
        </w:trPr>
        <w:tc>
          <w:tcPr>
            <w:tcW w:w="5328" w:type="dxa"/>
          </w:tcPr>
          <w:p w14:paraId="62AE8064" w14:textId="77777777" w:rsidR="004D5EA6" w:rsidRDefault="004D5EA6" w:rsidP="00406F1D">
            <w:pPr>
              <w:jc w:val="center"/>
            </w:pPr>
            <w:r>
              <w:rPr>
                <w:noProof/>
              </w:rPr>
              <w:drawing>
                <wp:inline distT="0" distB="0" distL="0" distR="0" wp14:anchorId="730FBD6F" wp14:editId="3DE33546">
                  <wp:extent cx="2971800" cy="1415143"/>
                  <wp:effectExtent l="0" t="0" r="0" b="0"/>
                  <wp:docPr id="1866095962" name="Picture 186609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png"/>
                          <pic:cNvPicPr/>
                        </pic:nvPicPr>
                        <pic:blipFill>
                          <a:blip r:embed="rId16"/>
                          <a:stretch>
                            <a:fillRect/>
                          </a:stretch>
                        </pic:blipFill>
                        <pic:spPr>
                          <a:xfrm>
                            <a:off x="0" y="0"/>
                            <a:ext cx="2971800" cy="1415143"/>
                          </a:xfrm>
                          <a:prstGeom prst="rect">
                            <a:avLst/>
                          </a:prstGeom>
                        </pic:spPr>
                      </pic:pic>
                    </a:graphicData>
                  </a:graphic>
                </wp:inline>
              </w:drawing>
            </w:r>
          </w:p>
        </w:tc>
        <w:tc>
          <w:tcPr>
            <w:tcW w:w="5328" w:type="dxa"/>
          </w:tcPr>
          <w:p w14:paraId="5B805EDC" w14:textId="77777777" w:rsidR="004D5EA6" w:rsidRDefault="004D5EA6" w:rsidP="00406F1D">
            <w:pPr>
              <w:jc w:val="center"/>
            </w:pPr>
            <w:r>
              <w:rPr>
                <w:noProof/>
              </w:rPr>
              <w:drawing>
                <wp:inline distT="0" distB="0" distL="0" distR="0" wp14:anchorId="507F9246" wp14:editId="491B6B16">
                  <wp:extent cx="2971800" cy="1415143"/>
                  <wp:effectExtent l="0" t="0" r="0" b="0"/>
                  <wp:docPr id="680043015" name="Picture 68004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lation.png"/>
                          <pic:cNvPicPr/>
                        </pic:nvPicPr>
                        <pic:blipFill>
                          <a:blip r:embed="rId17"/>
                          <a:stretch>
                            <a:fillRect/>
                          </a:stretch>
                        </pic:blipFill>
                        <pic:spPr>
                          <a:xfrm>
                            <a:off x="0" y="0"/>
                            <a:ext cx="2971800" cy="1415143"/>
                          </a:xfrm>
                          <a:prstGeom prst="rect">
                            <a:avLst/>
                          </a:prstGeom>
                        </pic:spPr>
                      </pic:pic>
                    </a:graphicData>
                  </a:graphic>
                </wp:inline>
              </w:drawing>
            </w:r>
          </w:p>
        </w:tc>
      </w:tr>
    </w:tbl>
    <w:p w14:paraId="0632EEF5" w14:textId="77777777" w:rsidR="004D5EA6" w:rsidRDefault="004D5EA6" w:rsidP="004D5EA6">
      <w:r>
        <w:rPr>
          <w:b/>
          <w:color w:val="1F3756"/>
        </w:rPr>
      </w:r>
      <w:r/>
      <w:r>
        <w:t>Growth has moved back toward a more moderate pace after the large swings seen earlier in the decade. The economy is still expanding, but slower momentum has reduced the pace of demand growth across consumer spending, hiring and business expansion. For U.S. companies, this means revenue growth is becoming more dependent on productivity and market-share gains rather than unusually strong economy-wide demand; for households, it points to a more cautious spending environment without yet signalling a broad contraction.</w:t>
      </w:r>
    </w:p>
    <w:p w14:paraId="6B05D9F5" w14:textId="77777777" w:rsidR="004D5EA6" w:rsidRDefault="004D5EA6" w:rsidP="004D5EA6">
      <w:r>
        <w:rPr>
          <w:b/>
          <w:color w:val="1F3756"/>
        </w:rPr>
      </w:r>
      <w:r/>
      <w:r>
        <w:t>Inflation is well below the earlier peak, easing part of the pressure on household purchasing power and business input costs. The improvement has helped real incomes recover, but persistent underlying price pressure has limited the speed at which interest rates can normalize. As a result, housing affordability, consumer credit and capital-intensive investment remain more constrained than they were in the pre-2020 low-rate environment.</w:t>
      </w:r>
    </w:p>
    <w:p w14:paraId="5A878B9B" w14:textId="77777777" w:rsidR="004D5EA6" w:rsidRDefault="004D5EA6" w:rsidP="004D5EA6">
      <w:r>
        <w:br w:type="page"/>
      </w:r>
    </w:p>
    <w:p w14:paraId="1D03A00A" w14:textId="77777777" w:rsidR="004D5EA6" w:rsidRDefault="004D5EA6" w:rsidP="004D5EA6">
      <w:pPr>
        <w:pStyle w:val="Heading1"/>
      </w:pPr>
      <w:r>
        <w:lastRenderedPageBreak/>
        <w:t>30-Indicator Macro Dashboard</w:t>
      </w:r>
    </w:p>
    <w:p>
      <w:pPr>
        <w:jc w:val="center"/>
      </w:pPr>
      <w:r>
        <w:drawing>
          <wp:inline xmlns:a="http://schemas.openxmlformats.org/drawingml/2006/main" xmlns:pic="http://schemas.openxmlformats.org/drawingml/2006/picture">
            <wp:extent cx="6400800" cy="3870132"/>
            <wp:docPr id="2146983146" name="Picture 2146983146"/>
            <wp:cNvGraphicFramePr>
              <a:graphicFrameLocks noChangeAspect="1"/>
            </wp:cNvGraphicFramePr>
            <a:graphic>
              <a:graphicData uri="http://schemas.openxmlformats.org/drawingml/2006/picture">
                <pic:pic>
                  <pic:nvPicPr>
                    <pic:cNvPr id="0" name="Screenshot 2026-09-13 002318.png"/>
                    <pic:cNvPicPr/>
                  </pic:nvPicPr>
                  <pic:blipFill>
                    <a:blip r:embed="rId93"/>
                    <a:stretch>
                      <a:fillRect/>
                    </a:stretch>
                  </pic:blipFill>
                  <pic:spPr>
                    <a:xfrm>
                      <a:off x="0" y="0"/>
                      <a:ext cx="6400800" cy="3870132"/>
                    </a:xfrm>
                    <a:prstGeom prst="rect"/>
                  </pic:spPr>
                </pic:pic>
              </a:graphicData>
            </a:graphic>
          </wp:inline>
        </w:drawing>
      </w:r>
    </w:p>
    <w:p>
      <w:pPr>
        <w:jc w:val="center"/>
      </w:pPr>
      <w:r>
        <w:rPr>
          <w:i/>
          <w:sz w:val="18"/>
        </w:rPr>
        <w:t>Figure: USA Macroeconomic Dashboard - Executive Overview | 2015–2025</w:t>
      </w:r>
    </w:p>
    <w:tbl>
      <w:tblPr>
        <w:tblW w:w="0" w:type="auto"/>
        <w:jc w:val="center"/>
        <w:tblLook w:val="04A0" w:firstRow="1" w:lastRow="0" w:firstColumn="1" w:lastColumn="0" w:noHBand="0" w:noVBand="1"/>
      </w:tblPr>
      <w:tblGrid>
        <w:gridCol w:w="2070"/>
        <w:gridCol w:w="2082"/>
        <w:gridCol w:w="2072"/>
        <w:gridCol w:w="2070"/>
        <w:gridCol w:w="2074"/>
      </w:tblGrid>
      <w:tr w:rsidR="004D5EA6" w14:paraId="556D4165" w14:textId="77777777" w:rsidTr="00406F1D">
        <w:trPr>
          <w:jc w:val="center"/>
        </w:trPr>
        <w:tc>
          <w:tcPr>
            <w:tcW w:w="2131" w:type="dxa"/>
            <w:shd w:val="clear" w:color="auto" w:fill="1F3756"/>
          </w:tcPr>
          <w:p w14:paraId="2F1F543C" w14:textId="77777777" w:rsidR="004D5EA6" w:rsidRDefault="004D5EA6" w:rsidP="00406F1D">
            <w:r>
              <w:rPr>
                <w:b/>
                <w:color w:val="FFFFFF"/>
                <w:sz w:val="14"/>
              </w:rPr>
              <w:t>Area</w:t>
            </w:r>
          </w:p>
        </w:tc>
        <w:tc>
          <w:tcPr>
            <w:tcW w:w="2131" w:type="dxa"/>
            <w:shd w:val="clear" w:color="auto" w:fill="1F3756"/>
          </w:tcPr>
          <w:p w14:paraId="5FEF48E7" w14:textId="77777777" w:rsidR="004D5EA6" w:rsidRDefault="004D5EA6" w:rsidP="00406F1D">
            <w:r>
              <w:rPr>
                <w:b/>
                <w:color w:val="FFFFFF"/>
                <w:sz w:val="14"/>
              </w:rPr>
              <w:t>Indicator</w:t>
            </w:r>
          </w:p>
        </w:tc>
        <w:tc>
          <w:tcPr>
            <w:tcW w:w="2131" w:type="dxa"/>
            <w:shd w:val="clear" w:color="auto" w:fill="1F3756"/>
          </w:tcPr>
          <w:p w14:paraId="79CCAE37" w14:textId="77777777" w:rsidR="004D5EA6" w:rsidRDefault="004D5EA6" w:rsidP="00406F1D">
            <w:r>
              <w:rPr>
                <w:b/>
                <w:color w:val="FFFFFF"/>
                <w:sz w:val="14"/>
              </w:rPr>
              <w:t>Latest / Reference</w:t>
            </w:r>
          </w:p>
        </w:tc>
        <w:tc>
          <w:tcPr>
            <w:tcW w:w="2131" w:type="dxa"/>
            <w:shd w:val="clear" w:color="auto" w:fill="1F3756"/>
          </w:tcPr>
          <w:p w14:paraId="3C446E30" w14:textId="77777777" w:rsidR="004D5EA6" w:rsidRDefault="004D5EA6" w:rsidP="00406F1D">
            <w:r>
              <w:rPr>
                <w:b/>
                <w:color w:val="FFFFFF"/>
                <w:sz w:val="14"/>
              </w:rPr>
              <w:t>Period</w:t>
            </w:r>
          </w:p>
        </w:tc>
        <w:tc>
          <w:tcPr>
            <w:tcW w:w="2131" w:type="dxa"/>
            <w:shd w:val="clear" w:color="auto" w:fill="1F3756"/>
          </w:tcPr>
          <w:p w14:paraId="28440B2B" w14:textId="77777777" w:rsidR="004D5EA6" w:rsidRDefault="004D5EA6" w:rsidP="00406F1D">
            <w:r>
              <w:rPr>
                <w:b/>
                <w:color w:val="FFFFFF"/>
                <w:sz w:val="14"/>
              </w:rPr>
              <w:t>Dashboard Signal</w:t>
            </w:r>
          </w:p>
        </w:tc>
      </w:tr>
      <w:tr w:rsidR="004D5EA6" w14:paraId="5A7E5B14" w14:textId="77777777" w:rsidTr="00406F1D">
        <w:trPr>
          <w:jc w:val="center"/>
        </w:trPr>
        <w:tc>
          <w:tcPr>
            <w:tcW w:w="2131" w:type="dxa"/>
            <w:vAlign w:val="center"/>
          </w:tcPr>
          <w:p w14:paraId="5B729230" w14:textId="77777777" w:rsidR="004D5EA6" w:rsidRDefault="004D5EA6" w:rsidP="00406F1D">
            <w:r>
              <w:rPr>
                <w:sz w:val="13"/>
              </w:rPr>
              <w:t>Growth</w:t>
            </w:r>
          </w:p>
        </w:tc>
        <w:tc>
          <w:tcPr>
            <w:tcW w:w="2131" w:type="dxa"/>
            <w:vAlign w:val="center"/>
          </w:tcPr>
          <w:p w14:paraId="555F14C0" w14:textId="77777777" w:rsidR="004D5EA6" w:rsidRDefault="004D5EA6" w:rsidP="00406F1D">
            <w:r>
              <w:rPr>
                <w:sz w:val="13"/>
              </w:rPr>
              <w:t>Real GDP growth</w:t>
            </w:r>
          </w:p>
        </w:tc>
        <w:tc>
          <w:tcPr>
            <w:tcW w:w="2131" w:type="dxa"/>
            <w:vAlign w:val="center"/>
          </w:tcPr>
          <w:p w14:paraId="3BABF75F" w14:textId="77777777" w:rsidR="004D5EA6" w:rsidRDefault="004D5EA6" w:rsidP="00406F1D">
            <w:r>
              <w:rPr>
                <w:sz w:val="13"/>
              </w:rPr>
              <w:t>1.5%</w:t>
            </w:r>
          </w:p>
        </w:tc>
        <w:tc>
          <w:tcPr>
            <w:tcW w:w="2131" w:type="dxa"/>
            <w:vAlign w:val="center"/>
          </w:tcPr>
          <w:p w14:paraId="4F3DC762" w14:textId="77777777" w:rsidR="004D5EA6" w:rsidRDefault="004D5EA6" w:rsidP="00406F1D">
            <w:r>
              <w:rPr>
                <w:sz w:val="13"/>
              </w:rPr>
              <w:t>Q2 2026 annualized</w:t>
            </w:r>
          </w:p>
        </w:tc>
        <w:tc>
          <w:tcPr>
            <w:tcW w:w="2131" w:type="dxa"/>
            <w:vAlign w:val="center"/>
          </w:tcPr>
          <w:p w14:paraId="1016EC92" w14:textId="77777777" w:rsidR="004D5EA6" w:rsidRDefault="004D5EA6" w:rsidP="00406F1D">
            <w:r>
              <w:rPr>
                <w:sz w:val="13"/>
              </w:rPr>
              <w:t>Positive, slower</w:t>
            </w:r>
          </w:p>
        </w:tc>
      </w:tr>
      <w:tr w:rsidR="004D5EA6" w14:paraId="7295FAE9" w14:textId="77777777" w:rsidTr="00406F1D">
        <w:trPr>
          <w:jc w:val="center"/>
        </w:trPr>
        <w:tc>
          <w:tcPr>
            <w:tcW w:w="2131" w:type="dxa"/>
            <w:vAlign w:val="center"/>
          </w:tcPr>
          <w:p w14:paraId="3C78F764" w14:textId="77777777" w:rsidR="004D5EA6" w:rsidRDefault="004D5EA6" w:rsidP="00406F1D">
            <w:r>
              <w:rPr>
                <w:sz w:val="13"/>
              </w:rPr>
              <w:t>Growth</w:t>
            </w:r>
          </w:p>
        </w:tc>
        <w:tc>
          <w:tcPr>
            <w:tcW w:w="2131" w:type="dxa"/>
            <w:vAlign w:val="center"/>
          </w:tcPr>
          <w:p w14:paraId="07B78B1A" w14:textId="77777777" w:rsidR="004D5EA6" w:rsidRDefault="004D5EA6" w:rsidP="00406F1D">
            <w:r>
              <w:rPr>
                <w:sz w:val="13"/>
              </w:rPr>
              <w:t>Q1 real GDP growth</w:t>
            </w:r>
          </w:p>
        </w:tc>
        <w:tc>
          <w:tcPr>
            <w:tcW w:w="2131" w:type="dxa"/>
            <w:vAlign w:val="center"/>
          </w:tcPr>
          <w:p w14:paraId="27601AC5" w14:textId="77777777" w:rsidR="004D5EA6" w:rsidRDefault="004D5EA6" w:rsidP="00406F1D">
            <w:r>
              <w:rPr>
                <w:sz w:val="13"/>
              </w:rPr>
              <w:t>2.1%</w:t>
            </w:r>
          </w:p>
        </w:tc>
        <w:tc>
          <w:tcPr>
            <w:tcW w:w="2131" w:type="dxa"/>
            <w:vAlign w:val="center"/>
          </w:tcPr>
          <w:p w14:paraId="2CEFC57E" w14:textId="77777777" w:rsidR="004D5EA6" w:rsidRDefault="004D5EA6" w:rsidP="00406F1D">
            <w:r>
              <w:rPr>
                <w:sz w:val="13"/>
              </w:rPr>
              <w:t>Q1 2026 annualized</w:t>
            </w:r>
          </w:p>
        </w:tc>
        <w:tc>
          <w:tcPr>
            <w:tcW w:w="2131" w:type="dxa"/>
            <w:vAlign w:val="center"/>
          </w:tcPr>
          <w:p w14:paraId="05784905" w14:textId="77777777" w:rsidR="004D5EA6" w:rsidRDefault="004D5EA6" w:rsidP="00406F1D">
            <w:r>
              <w:rPr>
                <w:sz w:val="13"/>
              </w:rPr>
              <w:t>Previous quarter</w:t>
            </w:r>
          </w:p>
        </w:tc>
      </w:tr>
      <w:tr w:rsidR="004D5EA6" w14:paraId="56EFA48C" w14:textId="77777777" w:rsidTr="00406F1D">
        <w:trPr>
          <w:jc w:val="center"/>
        </w:trPr>
        <w:tc>
          <w:tcPr>
            <w:tcW w:w="2131" w:type="dxa"/>
            <w:vAlign w:val="center"/>
          </w:tcPr>
          <w:p w14:paraId="7EC7C263" w14:textId="77777777" w:rsidR="004D5EA6" w:rsidRDefault="004D5EA6" w:rsidP="00406F1D">
            <w:r>
              <w:rPr>
                <w:sz w:val="13"/>
              </w:rPr>
              <w:t>Consumer</w:t>
            </w:r>
          </w:p>
        </w:tc>
        <w:tc>
          <w:tcPr>
            <w:tcW w:w="2131" w:type="dxa"/>
            <w:vAlign w:val="center"/>
          </w:tcPr>
          <w:p w14:paraId="50795902" w14:textId="77777777" w:rsidR="004D5EA6" w:rsidRDefault="004D5EA6" w:rsidP="00406F1D">
            <w:r>
              <w:rPr>
                <w:sz w:val="13"/>
              </w:rPr>
              <w:t>Personal consumption expenditure</w:t>
            </w:r>
          </w:p>
        </w:tc>
        <w:tc>
          <w:tcPr>
            <w:tcW w:w="2131" w:type="dxa"/>
            <w:vAlign w:val="center"/>
          </w:tcPr>
          <w:p w14:paraId="5A58841B" w14:textId="77777777" w:rsidR="004D5EA6" w:rsidRDefault="004D5EA6" w:rsidP="00406F1D">
            <w:r>
              <w:rPr>
                <w:sz w:val="13"/>
              </w:rPr>
              <w:t>+0.2%</w:t>
            </w:r>
          </w:p>
        </w:tc>
        <w:tc>
          <w:tcPr>
            <w:tcW w:w="2131" w:type="dxa"/>
            <w:vAlign w:val="center"/>
          </w:tcPr>
          <w:p w14:paraId="10D0EC9C" w14:textId="77777777" w:rsidR="004D5EA6" w:rsidRDefault="004D5EA6" w:rsidP="00406F1D">
            <w:r>
              <w:rPr>
                <w:sz w:val="13"/>
              </w:rPr>
              <w:t>Jul 2026 m/m</w:t>
            </w:r>
          </w:p>
        </w:tc>
        <w:tc>
          <w:tcPr>
            <w:tcW w:w="2131" w:type="dxa"/>
            <w:vAlign w:val="center"/>
          </w:tcPr>
          <w:p w14:paraId="3A11C642" w14:textId="77777777" w:rsidR="004D5EA6" w:rsidRDefault="004D5EA6" w:rsidP="00406F1D">
            <w:r>
              <w:rPr>
                <w:sz w:val="13"/>
              </w:rPr>
              <w:t>Positive</w:t>
            </w:r>
          </w:p>
        </w:tc>
      </w:tr>
      <w:tr w:rsidR="004D5EA6" w14:paraId="1192907E" w14:textId="77777777" w:rsidTr="00406F1D">
        <w:trPr>
          <w:jc w:val="center"/>
        </w:trPr>
        <w:tc>
          <w:tcPr>
            <w:tcW w:w="2131" w:type="dxa"/>
            <w:vAlign w:val="center"/>
          </w:tcPr>
          <w:p w14:paraId="42886F24" w14:textId="77777777" w:rsidR="004D5EA6" w:rsidRDefault="004D5EA6" w:rsidP="00406F1D">
            <w:r>
              <w:rPr>
                <w:sz w:val="13"/>
              </w:rPr>
              <w:t>Consumer</w:t>
            </w:r>
          </w:p>
        </w:tc>
        <w:tc>
          <w:tcPr>
            <w:tcW w:w="2131" w:type="dxa"/>
            <w:vAlign w:val="center"/>
          </w:tcPr>
          <w:p w14:paraId="071CA195" w14:textId="77777777" w:rsidR="004D5EA6" w:rsidRDefault="004D5EA6" w:rsidP="00406F1D">
            <w:r>
              <w:rPr>
                <w:sz w:val="13"/>
              </w:rPr>
              <w:t>Real PCE</w:t>
            </w:r>
          </w:p>
        </w:tc>
        <w:tc>
          <w:tcPr>
            <w:tcW w:w="2131" w:type="dxa"/>
            <w:vAlign w:val="center"/>
          </w:tcPr>
          <w:p w14:paraId="706F7B03" w14:textId="77777777" w:rsidR="004D5EA6" w:rsidRDefault="004D5EA6" w:rsidP="00406F1D">
            <w:r>
              <w:rPr>
                <w:sz w:val="13"/>
              </w:rPr>
              <w:t>&lt;0.1%</w:t>
            </w:r>
          </w:p>
        </w:tc>
        <w:tc>
          <w:tcPr>
            <w:tcW w:w="2131" w:type="dxa"/>
            <w:vAlign w:val="center"/>
          </w:tcPr>
          <w:p w14:paraId="7FCF1088" w14:textId="77777777" w:rsidR="004D5EA6" w:rsidRDefault="004D5EA6" w:rsidP="00406F1D">
            <w:r>
              <w:rPr>
                <w:sz w:val="13"/>
              </w:rPr>
              <w:t>Jul 2026 m/m</w:t>
            </w:r>
          </w:p>
        </w:tc>
        <w:tc>
          <w:tcPr>
            <w:tcW w:w="2131" w:type="dxa"/>
            <w:vAlign w:val="center"/>
          </w:tcPr>
          <w:p w14:paraId="45BA27B8" w14:textId="77777777" w:rsidR="004D5EA6" w:rsidRDefault="004D5EA6" w:rsidP="00406F1D">
            <w:r>
              <w:rPr>
                <w:sz w:val="13"/>
              </w:rPr>
              <w:t>Soft</w:t>
            </w:r>
          </w:p>
        </w:tc>
      </w:tr>
      <w:tr w:rsidR="004D5EA6" w14:paraId="1884F983" w14:textId="77777777" w:rsidTr="00406F1D">
        <w:trPr>
          <w:jc w:val="center"/>
        </w:trPr>
        <w:tc>
          <w:tcPr>
            <w:tcW w:w="2131" w:type="dxa"/>
            <w:vAlign w:val="center"/>
          </w:tcPr>
          <w:p w14:paraId="3EBDF2A9" w14:textId="77777777" w:rsidR="004D5EA6" w:rsidRDefault="004D5EA6" w:rsidP="00406F1D">
            <w:r>
              <w:rPr>
                <w:sz w:val="13"/>
              </w:rPr>
              <w:t>Income</w:t>
            </w:r>
          </w:p>
        </w:tc>
        <w:tc>
          <w:tcPr>
            <w:tcW w:w="2131" w:type="dxa"/>
            <w:vAlign w:val="center"/>
          </w:tcPr>
          <w:p w14:paraId="181322C6" w14:textId="77777777" w:rsidR="004D5EA6" w:rsidRDefault="004D5EA6" w:rsidP="00406F1D">
            <w:r>
              <w:rPr>
                <w:sz w:val="13"/>
              </w:rPr>
              <w:t>Personal income</w:t>
            </w:r>
          </w:p>
        </w:tc>
        <w:tc>
          <w:tcPr>
            <w:tcW w:w="2131" w:type="dxa"/>
            <w:vAlign w:val="center"/>
          </w:tcPr>
          <w:p w14:paraId="3129D68E" w14:textId="77777777" w:rsidR="004D5EA6" w:rsidRDefault="004D5EA6" w:rsidP="00406F1D">
            <w:r>
              <w:rPr>
                <w:sz w:val="13"/>
              </w:rPr>
              <w:t>+0.4%</w:t>
            </w:r>
          </w:p>
        </w:tc>
        <w:tc>
          <w:tcPr>
            <w:tcW w:w="2131" w:type="dxa"/>
            <w:vAlign w:val="center"/>
          </w:tcPr>
          <w:p w14:paraId="2D18CA26" w14:textId="77777777" w:rsidR="004D5EA6" w:rsidRDefault="004D5EA6" w:rsidP="00406F1D">
            <w:r>
              <w:rPr>
                <w:sz w:val="13"/>
              </w:rPr>
              <w:t>Jul 2026 m/m</w:t>
            </w:r>
          </w:p>
        </w:tc>
        <w:tc>
          <w:tcPr>
            <w:tcW w:w="2131" w:type="dxa"/>
            <w:vAlign w:val="center"/>
          </w:tcPr>
          <w:p w14:paraId="2B0FCF00" w14:textId="77777777" w:rsidR="004D5EA6" w:rsidRDefault="004D5EA6" w:rsidP="00406F1D">
            <w:r>
              <w:rPr>
                <w:sz w:val="13"/>
              </w:rPr>
              <w:t>Positive</w:t>
            </w:r>
          </w:p>
        </w:tc>
      </w:tr>
      <w:tr w:rsidR="004D5EA6" w14:paraId="7C96252B" w14:textId="77777777" w:rsidTr="00406F1D">
        <w:trPr>
          <w:jc w:val="center"/>
        </w:trPr>
        <w:tc>
          <w:tcPr>
            <w:tcW w:w="2131" w:type="dxa"/>
            <w:vAlign w:val="center"/>
          </w:tcPr>
          <w:p w14:paraId="4064C725" w14:textId="77777777" w:rsidR="004D5EA6" w:rsidRDefault="004D5EA6" w:rsidP="00406F1D">
            <w:r>
              <w:rPr>
                <w:sz w:val="13"/>
              </w:rPr>
              <w:t>Income</w:t>
            </w:r>
          </w:p>
        </w:tc>
        <w:tc>
          <w:tcPr>
            <w:tcW w:w="2131" w:type="dxa"/>
            <w:vAlign w:val="center"/>
          </w:tcPr>
          <w:p w14:paraId="7538A4E3" w14:textId="77777777" w:rsidR="004D5EA6" w:rsidRDefault="004D5EA6" w:rsidP="00406F1D">
            <w:r>
              <w:rPr>
                <w:sz w:val="13"/>
              </w:rPr>
              <w:t>Disposable personal income</w:t>
            </w:r>
          </w:p>
        </w:tc>
        <w:tc>
          <w:tcPr>
            <w:tcW w:w="2131" w:type="dxa"/>
            <w:vAlign w:val="center"/>
          </w:tcPr>
          <w:p w14:paraId="191A9F7D" w14:textId="77777777" w:rsidR="004D5EA6" w:rsidRDefault="004D5EA6" w:rsidP="00406F1D">
            <w:r>
              <w:rPr>
                <w:sz w:val="13"/>
              </w:rPr>
              <w:t>+0.5%</w:t>
            </w:r>
          </w:p>
        </w:tc>
        <w:tc>
          <w:tcPr>
            <w:tcW w:w="2131" w:type="dxa"/>
            <w:vAlign w:val="center"/>
          </w:tcPr>
          <w:p w14:paraId="2D653E2D" w14:textId="77777777" w:rsidR="004D5EA6" w:rsidRDefault="004D5EA6" w:rsidP="00406F1D">
            <w:r>
              <w:rPr>
                <w:sz w:val="13"/>
              </w:rPr>
              <w:t>Jul 2026 m/m</w:t>
            </w:r>
          </w:p>
        </w:tc>
        <w:tc>
          <w:tcPr>
            <w:tcW w:w="2131" w:type="dxa"/>
            <w:vAlign w:val="center"/>
          </w:tcPr>
          <w:p w14:paraId="200F0DEE" w14:textId="77777777" w:rsidR="004D5EA6" w:rsidRDefault="004D5EA6" w:rsidP="00406F1D">
            <w:r>
              <w:rPr>
                <w:sz w:val="13"/>
              </w:rPr>
              <w:t>Positive</w:t>
            </w:r>
          </w:p>
        </w:tc>
      </w:tr>
      <w:tr w:rsidR="004D5EA6" w14:paraId="4D34E308" w14:textId="77777777" w:rsidTr="00406F1D">
        <w:trPr>
          <w:jc w:val="center"/>
        </w:trPr>
        <w:tc>
          <w:tcPr>
            <w:tcW w:w="2131" w:type="dxa"/>
            <w:vAlign w:val="center"/>
          </w:tcPr>
          <w:p w14:paraId="271CEE4A" w14:textId="77777777" w:rsidR="004D5EA6" w:rsidRDefault="004D5EA6" w:rsidP="00406F1D">
            <w:r>
              <w:rPr>
                <w:sz w:val="13"/>
              </w:rPr>
              <w:t>Savings</w:t>
            </w:r>
          </w:p>
        </w:tc>
        <w:tc>
          <w:tcPr>
            <w:tcW w:w="2131" w:type="dxa"/>
            <w:vAlign w:val="center"/>
          </w:tcPr>
          <w:p w14:paraId="1BEE568A" w14:textId="77777777" w:rsidR="004D5EA6" w:rsidRDefault="004D5EA6" w:rsidP="00406F1D">
            <w:r>
              <w:rPr>
                <w:sz w:val="13"/>
              </w:rPr>
              <w:t>Personal saving rate</w:t>
            </w:r>
          </w:p>
        </w:tc>
        <w:tc>
          <w:tcPr>
            <w:tcW w:w="2131" w:type="dxa"/>
            <w:vAlign w:val="center"/>
          </w:tcPr>
          <w:p w14:paraId="217AB4D1" w14:textId="77777777" w:rsidR="004D5EA6" w:rsidRDefault="004D5EA6" w:rsidP="00406F1D">
            <w:r>
              <w:rPr>
                <w:sz w:val="13"/>
              </w:rPr>
              <w:t>3.0%</w:t>
            </w:r>
          </w:p>
        </w:tc>
        <w:tc>
          <w:tcPr>
            <w:tcW w:w="2131" w:type="dxa"/>
            <w:vAlign w:val="center"/>
          </w:tcPr>
          <w:p w14:paraId="7B7770BE" w14:textId="77777777" w:rsidR="004D5EA6" w:rsidRDefault="004D5EA6" w:rsidP="00406F1D">
            <w:r>
              <w:rPr>
                <w:sz w:val="13"/>
              </w:rPr>
              <w:t>Jul 2026</w:t>
            </w:r>
          </w:p>
        </w:tc>
        <w:tc>
          <w:tcPr>
            <w:tcW w:w="2131" w:type="dxa"/>
            <w:vAlign w:val="center"/>
          </w:tcPr>
          <w:p w14:paraId="302D196B" w14:textId="77777777" w:rsidR="004D5EA6" w:rsidRDefault="004D5EA6" w:rsidP="00406F1D">
            <w:r>
              <w:rPr>
                <w:sz w:val="13"/>
              </w:rPr>
              <w:t>Low</w:t>
            </w:r>
          </w:p>
        </w:tc>
      </w:tr>
      <w:tr w:rsidR="004D5EA6" w14:paraId="65ABDC8A" w14:textId="77777777" w:rsidTr="00406F1D">
        <w:trPr>
          <w:jc w:val="center"/>
        </w:trPr>
        <w:tc>
          <w:tcPr>
            <w:tcW w:w="2131" w:type="dxa"/>
            <w:vAlign w:val="center"/>
          </w:tcPr>
          <w:p w14:paraId="00F6767D" w14:textId="77777777" w:rsidR="004D5EA6" w:rsidRDefault="004D5EA6" w:rsidP="00406F1D">
            <w:r>
              <w:rPr>
                <w:sz w:val="13"/>
              </w:rPr>
              <w:t>Inflation</w:t>
            </w:r>
          </w:p>
        </w:tc>
        <w:tc>
          <w:tcPr>
            <w:tcW w:w="2131" w:type="dxa"/>
            <w:vAlign w:val="center"/>
          </w:tcPr>
          <w:p w14:paraId="0A2C3EF4" w14:textId="77777777" w:rsidR="004D5EA6" w:rsidRDefault="004D5EA6" w:rsidP="00406F1D">
            <w:r>
              <w:rPr>
                <w:sz w:val="13"/>
              </w:rPr>
              <w:t>CPI</w:t>
            </w:r>
          </w:p>
        </w:tc>
        <w:tc>
          <w:tcPr>
            <w:tcW w:w="2131" w:type="dxa"/>
            <w:vAlign w:val="center"/>
          </w:tcPr>
          <w:p w14:paraId="5E77CA31" w14:textId="77777777" w:rsidR="004D5EA6" w:rsidRDefault="004D5EA6" w:rsidP="00406F1D">
            <w:r>
              <w:rPr>
                <w:sz w:val="13"/>
              </w:rPr>
              <w:t>3.4%</w:t>
            </w:r>
          </w:p>
        </w:tc>
        <w:tc>
          <w:tcPr>
            <w:tcW w:w="2131" w:type="dxa"/>
            <w:vAlign w:val="center"/>
          </w:tcPr>
          <w:p w14:paraId="34949DF2" w14:textId="77777777" w:rsidR="004D5EA6" w:rsidRDefault="004D5EA6" w:rsidP="00406F1D">
            <w:r>
              <w:rPr>
                <w:sz w:val="13"/>
              </w:rPr>
              <w:t>Jul 2026 y/y</w:t>
            </w:r>
          </w:p>
        </w:tc>
        <w:tc>
          <w:tcPr>
            <w:tcW w:w="2131" w:type="dxa"/>
            <w:vAlign w:val="center"/>
          </w:tcPr>
          <w:p w14:paraId="447C0A81" w14:textId="77777777" w:rsidR="004D5EA6" w:rsidRDefault="004D5EA6" w:rsidP="00406F1D">
            <w:r>
              <w:rPr>
                <w:sz w:val="13"/>
              </w:rPr>
              <w:t>Elevated</w:t>
            </w:r>
          </w:p>
        </w:tc>
      </w:tr>
      <w:tr w:rsidR="004D5EA6" w14:paraId="077F423B" w14:textId="77777777" w:rsidTr="00406F1D">
        <w:trPr>
          <w:jc w:val="center"/>
        </w:trPr>
        <w:tc>
          <w:tcPr>
            <w:tcW w:w="2131" w:type="dxa"/>
            <w:vAlign w:val="center"/>
          </w:tcPr>
          <w:p w14:paraId="0D3886A2" w14:textId="77777777" w:rsidR="004D5EA6" w:rsidRDefault="004D5EA6" w:rsidP="00406F1D">
            <w:r>
              <w:rPr>
                <w:sz w:val="13"/>
              </w:rPr>
              <w:t>Inflation</w:t>
            </w:r>
          </w:p>
        </w:tc>
        <w:tc>
          <w:tcPr>
            <w:tcW w:w="2131" w:type="dxa"/>
            <w:vAlign w:val="center"/>
          </w:tcPr>
          <w:p w14:paraId="4C91A8ED" w14:textId="77777777" w:rsidR="004D5EA6" w:rsidRDefault="004D5EA6" w:rsidP="00406F1D">
            <w:r>
              <w:rPr>
                <w:sz w:val="13"/>
              </w:rPr>
              <w:t>Core CPI</w:t>
            </w:r>
          </w:p>
        </w:tc>
        <w:tc>
          <w:tcPr>
            <w:tcW w:w="2131" w:type="dxa"/>
            <w:vAlign w:val="center"/>
          </w:tcPr>
          <w:p w14:paraId="0B0A6F28" w14:textId="77777777" w:rsidR="004D5EA6" w:rsidRDefault="004D5EA6" w:rsidP="00406F1D">
            <w:r>
              <w:rPr>
                <w:sz w:val="13"/>
              </w:rPr>
              <w:t>2.5%</w:t>
            </w:r>
          </w:p>
        </w:tc>
        <w:tc>
          <w:tcPr>
            <w:tcW w:w="2131" w:type="dxa"/>
            <w:vAlign w:val="center"/>
          </w:tcPr>
          <w:p w14:paraId="2A5709F4" w14:textId="77777777" w:rsidR="004D5EA6" w:rsidRDefault="004D5EA6" w:rsidP="00406F1D">
            <w:r>
              <w:rPr>
                <w:sz w:val="13"/>
              </w:rPr>
              <w:t>Jul 2026 y/y</w:t>
            </w:r>
          </w:p>
        </w:tc>
        <w:tc>
          <w:tcPr>
            <w:tcW w:w="2131" w:type="dxa"/>
            <w:vAlign w:val="center"/>
          </w:tcPr>
          <w:p w14:paraId="6825A6DC" w14:textId="77777777" w:rsidR="004D5EA6" w:rsidRDefault="004D5EA6" w:rsidP="00406F1D">
            <w:r>
              <w:rPr>
                <w:sz w:val="13"/>
              </w:rPr>
              <w:t>Moderating</w:t>
            </w:r>
          </w:p>
        </w:tc>
      </w:tr>
      <w:tr w:rsidR="004D5EA6" w14:paraId="3EA3D97D" w14:textId="77777777" w:rsidTr="00406F1D">
        <w:trPr>
          <w:jc w:val="center"/>
        </w:trPr>
        <w:tc>
          <w:tcPr>
            <w:tcW w:w="2131" w:type="dxa"/>
            <w:vAlign w:val="center"/>
          </w:tcPr>
          <w:p w14:paraId="381C9206" w14:textId="77777777" w:rsidR="004D5EA6" w:rsidRDefault="004D5EA6" w:rsidP="00406F1D">
            <w:r>
              <w:rPr>
                <w:sz w:val="13"/>
              </w:rPr>
              <w:t>Inflation</w:t>
            </w:r>
          </w:p>
        </w:tc>
        <w:tc>
          <w:tcPr>
            <w:tcW w:w="2131" w:type="dxa"/>
            <w:vAlign w:val="center"/>
          </w:tcPr>
          <w:p w14:paraId="3B1AB9AF" w14:textId="77777777" w:rsidR="004D5EA6" w:rsidRDefault="004D5EA6" w:rsidP="00406F1D">
            <w:r>
              <w:rPr>
                <w:sz w:val="13"/>
              </w:rPr>
              <w:t>PCE price index</w:t>
            </w:r>
          </w:p>
        </w:tc>
        <w:tc>
          <w:tcPr>
            <w:tcW w:w="2131" w:type="dxa"/>
            <w:vAlign w:val="center"/>
          </w:tcPr>
          <w:p w14:paraId="0B524FAF" w14:textId="77777777" w:rsidR="004D5EA6" w:rsidRDefault="004D5EA6" w:rsidP="00406F1D">
            <w:r>
              <w:rPr>
                <w:sz w:val="13"/>
              </w:rPr>
              <w:t>3.7%</w:t>
            </w:r>
          </w:p>
        </w:tc>
        <w:tc>
          <w:tcPr>
            <w:tcW w:w="2131" w:type="dxa"/>
            <w:vAlign w:val="center"/>
          </w:tcPr>
          <w:p w14:paraId="6FC7AFA2" w14:textId="77777777" w:rsidR="004D5EA6" w:rsidRDefault="004D5EA6" w:rsidP="00406F1D">
            <w:r>
              <w:rPr>
                <w:sz w:val="13"/>
              </w:rPr>
              <w:t>Jul 2026 y/y</w:t>
            </w:r>
          </w:p>
        </w:tc>
        <w:tc>
          <w:tcPr>
            <w:tcW w:w="2131" w:type="dxa"/>
            <w:vAlign w:val="center"/>
          </w:tcPr>
          <w:p w14:paraId="5AA9C97E" w14:textId="77777777" w:rsidR="004D5EA6" w:rsidRDefault="004D5EA6" w:rsidP="00406F1D">
            <w:r>
              <w:rPr>
                <w:sz w:val="13"/>
              </w:rPr>
              <w:t>Elevated</w:t>
            </w:r>
          </w:p>
        </w:tc>
      </w:tr>
      <w:tr w:rsidR="004D5EA6" w14:paraId="22CA9ADC" w14:textId="77777777" w:rsidTr="00406F1D">
        <w:trPr>
          <w:jc w:val="center"/>
        </w:trPr>
        <w:tc>
          <w:tcPr>
            <w:tcW w:w="2131" w:type="dxa"/>
            <w:vAlign w:val="center"/>
          </w:tcPr>
          <w:p w14:paraId="2EDB6DC6" w14:textId="77777777" w:rsidR="004D5EA6" w:rsidRDefault="004D5EA6" w:rsidP="00406F1D">
            <w:r>
              <w:rPr>
                <w:sz w:val="13"/>
              </w:rPr>
              <w:t>Inflation</w:t>
            </w:r>
          </w:p>
        </w:tc>
        <w:tc>
          <w:tcPr>
            <w:tcW w:w="2131" w:type="dxa"/>
            <w:vAlign w:val="center"/>
          </w:tcPr>
          <w:p w14:paraId="330F04D8" w14:textId="77777777" w:rsidR="004D5EA6" w:rsidRDefault="004D5EA6" w:rsidP="00406F1D">
            <w:r>
              <w:rPr>
                <w:sz w:val="13"/>
              </w:rPr>
              <w:t>Core PCE</w:t>
            </w:r>
          </w:p>
        </w:tc>
        <w:tc>
          <w:tcPr>
            <w:tcW w:w="2131" w:type="dxa"/>
            <w:vAlign w:val="center"/>
          </w:tcPr>
          <w:p w14:paraId="6239A9FC" w14:textId="77777777" w:rsidR="004D5EA6" w:rsidRDefault="004D5EA6" w:rsidP="00406F1D">
            <w:r>
              <w:rPr>
                <w:sz w:val="13"/>
              </w:rPr>
              <w:t>3.3%</w:t>
            </w:r>
          </w:p>
        </w:tc>
        <w:tc>
          <w:tcPr>
            <w:tcW w:w="2131" w:type="dxa"/>
            <w:vAlign w:val="center"/>
          </w:tcPr>
          <w:p w14:paraId="593B0861" w14:textId="77777777" w:rsidR="004D5EA6" w:rsidRDefault="004D5EA6" w:rsidP="00406F1D">
            <w:r>
              <w:rPr>
                <w:sz w:val="13"/>
              </w:rPr>
              <w:t>Jul 2026 y/y</w:t>
            </w:r>
          </w:p>
        </w:tc>
        <w:tc>
          <w:tcPr>
            <w:tcW w:w="2131" w:type="dxa"/>
            <w:vAlign w:val="center"/>
          </w:tcPr>
          <w:p w14:paraId="48BD574A" w14:textId="77777777" w:rsidR="004D5EA6" w:rsidRDefault="004D5EA6" w:rsidP="00406F1D">
            <w:r>
              <w:rPr>
                <w:sz w:val="13"/>
              </w:rPr>
              <w:t>Sticky</w:t>
            </w:r>
          </w:p>
        </w:tc>
      </w:tr>
      <w:tr w:rsidR="004D5EA6" w14:paraId="449D9C83" w14:textId="77777777" w:rsidTr="00406F1D">
        <w:trPr>
          <w:jc w:val="center"/>
        </w:trPr>
        <w:tc>
          <w:tcPr>
            <w:tcW w:w="2131" w:type="dxa"/>
            <w:vAlign w:val="center"/>
          </w:tcPr>
          <w:p w14:paraId="51A3AFC1" w14:textId="77777777" w:rsidR="004D5EA6" w:rsidRDefault="004D5EA6" w:rsidP="00406F1D">
            <w:r>
              <w:rPr>
                <w:sz w:val="13"/>
              </w:rPr>
              <w:t>Inflation</w:t>
            </w:r>
          </w:p>
        </w:tc>
        <w:tc>
          <w:tcPr>
            <w:tcW w:w="2131" w:type="dxa"/>
            <w:vAlign w:val="center"/>
          </w:tcPr>
          <w:p w14:paraId="0F9A640C" w14:textId="77777777" w:rsidR="004D5EA6" w:rsidRDefault="004D5EA6" w:rsidP="00406F1D">
            <w:r>
              <w:rPr>
                <w:sz w:val="13"/>
              </w:rPr>
              <w:t>Monthly PCE</w:t>
            </w:r>
          </w:p>
        </w:tc>
        <w:tc>
          <w:tcPr>
            <w:tcW w:w="2131" w:type="dxa"/>
            <w:vAlign w:val="center"/>
          </w:tcPr>
          <w:p w14:paraId="30FCC72C" w14:textId="77777777" w:rsidR="004D5EA6" w:rsidRDefault="004D5EA6" w:rsidP="00406F1D">
            <w:r>
              <w:rPr>
                <w:sz w:val="13"/>
              </w:rPr>
              <w:t>+0.2%</w:t>
            </w:r>
          </w:p>
        </w:tc>
        <w:tc>
          <w:tcPr>
            <w:tcW w:w="2131" w:type="dxa"/>
            <w:vAlign w:val="center"/>
          </w:tcPr>
          <w:p w14:paraId="6C71C045" w14:textId="77777777" w:rsidR="004D5EA6" w:rsidRDefault="004D5EA6" w:rsidP="00406F1D">
            <w:r>
              <w:rPr>
                <w:sz w:val="13"/>
              </w:rPr>
              <w:t>Jul 2026 m/m</w:t>
            </w:r>
          </w:p>
        </w:tc>
        <w:tc>
          <w:tcPr>
            <w:tcW w:w="2131" w:type="dxa"/>
            <w:vAlign w:val="center"/>
          </w:tcPr>
          <w:p w14:paraId="62E9F660" w14:textId="77777777" w:rsidR="004D5EA6" w:rsidRDefault="004D5EA6" w:rsidP="00406F1D">
            <w:r>
              <w:rPr>
                <w:sz w:val="13"/>
              </w:rPr>
              <w:t>Moderate</w:t>
            </w:r>
          </w:p>
        </w:tc>
      </w:tr>
      <w:tr w:rsidR="004D5EA6" w14:paraId="2F3D2807" w14:textId="77777777" w:rsidTr="00406F1D">
        <w:trPr>
          <w:jc w:val="center"/>
        </w:trPr>
        <w:tc>
          <w:tcPr>
            <w:tcW w:w="2131" w:type="dxa"/>
            <w:vAlign w:val="center"/>
          </w:tcPr>
          <w:p w14:paraId="6D8A2D0C" w14:textId="77777777" w:rsidR="004D5EA6" w:rsidRDefault="004D5EA6" w:rsidP="00406F1D">
            <w:r>
              <w:rPr>
                <w:sz w:val="13"/>
              </w:rPr>
              <w:t>Labor</w:t>
            </w:r>
          </w:p>
        </w:tc>
        <w:tc>
          <w:tcPr>
            <w:tcW w:w="2131" w:type="dxa"/>
            <w:vAlign w:val="center"/>
          </w:tcPr>
          <w:p w14:paraId="68EF0EEE" w14:textId="77777777" w:rsidR="004D5EA6" w:rsidRDefault="004D5EA6" w:rsidP="00406F1D">
            <w:r>
              <w:rPr>
                <w:sz w:val="13"/>
              </w:rPr>
              <w:t>Unemployment rate</w:t>
            </w:r>
          </w:p>
        </w:tc>
        <w:tc>
          <w:tcPr>
            <w:tcW w:w="2131" w:type="dxa"/>
            <w:vAlign w:val="center"/>
          </w:tcPr>
          <w:p w14:paraId="361CBE1E" w14:textId="77777777" w:rsidR="004D5EA6" w:rsidRDefault="004D5EA6" w:rsidP="00406F1D">
            <w:r>
              <w:rPr>
                <w:sz w:val="13"/>
              </w:rPr>
              <w:t>4.1%</w:t>
            </w:r>
          </w:p>
        </w:tc>
        <w:tc>
          <w:tcPr>
            <w:tcW w:w="2131" w:type="dxa"/>
            <w:vAlign w:val="center"/>
          </w:tcPr>
          <w:p w14:paraId="07B64FD5" w14:textId="77777777" w:rsidR="004D5EA6" w:rsidRDefault="004D5EA6" w:rsidP="00406F1D">
            <w:r>
              <w:rPr>
                <w:sz w:val="13"/>
              </w:rPr>
              <w:t>Aug 2026</w:t>
            </w:r>
          </w:p>
        </w:tc>
        <w:tc>
          <w:tcPr>
            <w:tcW w:w="2131" w:type="dxa"/>
            <w:vAlign w:val="center"/>
          </w:tcPr>
          <w:p w14:paraId="78214411" w14:textId="77777777" w:rsidR="004D5EA6" w:rsidRDefault="004D5EA6" w:rsidP="00406F1D">
            <w:r>
              <w:rPr>
                <w:sz w:val="13"/>
              </w:rPr>
              <w:t>Stable</w:t>
            </w:r>
          </w:p>
        </w:tc>
      </w:tr>
      <w:tr w:rsidR="004D5EA6" w14:paraId="1AF6B556" w14:textId="77777777" w:rsidTr="00406F1D">
        <w:trPr>
          <w:jc w:val="center"/>
        </w:trPr>
        <w:tc>
          <w:tcPr>
            <w:tcW w:w="2131" w:type="dxa"/>
            <w:vAlign w:val="center"/>
          </w:tcPr>
          <w:p w14:paraId="58356517" w14:textId="77777777" w:rsidR="004D5EA6" w:rsidRDefault="004D5EA6" w:rsidP="00406F1D">
            <w:r>
              <w:rPr>
                <w:sz w:val="13"/>
              </w:rPr>
              <w:t>Labor</w:t>
            </w:r>
          </w:p>
        </w:tc>
        <w:tc>
          <w:tcPr>
            <w:tcW w:w="2131" w:type="dxa"/>
            <w:vAlign w:val="center"/>
          </w:tcPr>
          <w:p w14:paraId="13740750" w14:textId="77777777" w:rsidR="004D5EA6" w:rsidRDefault="004D5EA6" w:rsidP="00406F1D">
            <w:r>
              <w:rPr>
                <w:sz w:val="13"/>
              </w:rPr>
              <w:t>Nonfarm payroll change</w:t>
            </w:r>
          </w:p>
        </w:tc>
        <w:tc>
          <w:tcPr>
            <w:tcW w:w="2131" w:type="dxa"/>
            <w:vAlign w:val="center"/>
          </w:tcPr>
          <w:p w14:paraId="65494760" w14:textId="77777777" w:rsidR="004D5EA6" w:rsidRDefault="004D5EA6" w:rsidP="00406F1D">
            <w:r>
              <w:rPr>
                <w:sz w:val="13"/>
              </w:rPr>
              <w:t>+162k</w:t>
            </w:r>
          </w:p>
        </w:tc>
        <w:tc>
          <w:tcPr>
            <w:tcW w:w="2131" w:type="dxa"/>
            <w:vAlign w:val="center"/>
          </w:tcPr>
          <w:p w14:paraId="47441A5F" w14:textId="77777777" w:rsidR="004D5EA6" w:rsidRDefault="004D5EA6" w:rsidP="00406F1D">
            <w:r>
              <w:rPr>
                <w:sz w:val="13"/>
              </w:rPr>
              <w:t>Aug 2026</w:t>
            </w:r>
          </w:p>
        </w:tc>
        <w:tc>
          <w:tcPr>
            <w:tcW w:w="2131" w:type="dxa"/>
            <w:vAlign w:val="center"/>
          </w:tcPr>
          <w:p w14:paraId="1AB488F4" w14:textId="77777777" w:rsidR="004D5EA6" w:rsidRDefault="004D5EA6" w:rsidP="00406F1D">
            <w:r>
              <w:rPr>
                <w:sz w:val="13"/>
              </w:rPr>
              <w:t>Improved</w:t>
            </w:r>
          </w:p>
        </w:tc>
      </w:tr>
      <w:tr w:rsidR="004D5EA6" w14:paraId="305649FE" w14:textId="77777777" w:rsidTr="00406F1D">
        <w:trPr>
          <w:jc w:val="center"/>
        </w:trPr>
        <w:tc>
          <w:tcPr>
            <w:tcW w:w="2131" w:type="dxa"/>
            <w:vAlign w:val="center"/>
          </w:tcPr>
          <w:p w14:paraId="05975CAB" w14:textId="77777777" w:rsidR="004D5EA6" w:rsidRDefault="004D5EA6" w:rsidP="00406F1D">
            <w:r>
              <w:rPr>
                <w:sz w:val="13"/>
              </w:rPr>
              <w:t>Labor</w:t>
            </w:r>
          </w:p>
        </w:tc>
        <w:tc>
          <w:tcPr>
            <w:tcW w:w="2131" w:type="dxa"/>
            <w:vAlign w:val="center"/>
          </w:tcPr>
          <w:p w14:paraId="1ACAB6FC" w14:textId="77777777" w:rsidR="004D5EA6" w:rsidRDefault="004D5EA6" w:rsidP="00406F1D">
            <w:r>
              <w:rPr>
                <w:sz w:val="13"/>
              </w:rPr>
              <w:t>Average hourly earnings</w:t>
            </w:r>
          </w:p>
        </w:tc>
        <w:tc>
          <w:tcPr>
            <w:tcW w:w="2131" w:type="dxa"/>
            <w:vAlign w:val="center"/>
          </w:tcPr>
          <w:p w14:paraId="6DDA9120" w14:textId="77777777" w:rsidR="004D5EA6" w:rsidRDefault="004D5EA6" w:rsidP="00406F1D">
            <w:r>
              <w:rPr>
                <w:sz w:val="13"/>
              </w:rPr>
              <w:t>$37.62</w:t>
            </w:r>
          </w:p>
        </w:tc>
        <w:tc>
          <w:tcPr>
            <w:tcW w:w="2131" w:type="dxa"/>
            <w:vAlign w:val="center"/>
          </w:tcPr>
          <w:p w14:paraId="74FE5F93" w14:textId="77777777" w:rsidR="004D5EA6" w:rsidRDefault="004D5EA6" w:rsidP="00406F1D">
            <w:r>
              <w:rPr>
                <w:sz w:val="13"/>
              </w:rPr>
              <w:t>Jul 2026</w:t>
            </w:r>
          </w:p>
        </w:tc>
        <w:tc>
          <w:tcPr>
            <w:tcW w:w="2131" w:type="dxa"/>
            <w:vAlign w:val="center"/>
          </w:tcPr>
          <w:p w14:paraId="5DA57A6B" w14:textId="77777777" w:rsidR="004D5EA6" w:rsidRDefault="004D5EA6" w:rsidP="00406F1D">
            <w:r>
              <w:rPr>
                <w:sz w:val="13"/>
              </w:rPr>
              <w:t>Firm</w:t>
            </w:r>
          </w:p>
        </w:tc>
      </w:tr>
      <w:tr w:rsidR="004D5EA6" w14:paraId="67F18A16" w14:textId="77777777" w:rsidTr="00406F1D">
        <w:trPr>
          <w:jc w:val="center"/>
        </w:trPr>
        <w:tc>
          <w:tcPr>
            <w:tcW w:w="2131" w:type="dxa"/>
            <w:vAlign w:val="center"/>
          </w:tcPr>
          <w:p w14:paraId="7961570F" w14:textId="77777777" w:rsidR="004D5EA6" w:rsidRDefault="004D5EA6" w:rsidP="00406F1D">
            <w:r>
              <w:rPr>
                <w:sz w:val="13"/>
              </w:rPr>
              <w:t>Labor</w:t>
            </w:r>
          </w:p>
        </w:tc>
        <w:tc>
          <w:tcPr>
            <w:tcW w:w="2131" w:type="dxa"/>
            <w:vAlign w:val="center"/>
          </w:tcPr>
          <w:p w14:paraId="2655C6B9" w14:textId="77777777" w:rsidR="004D5EA6" w:rsidRDefault="004D5EA6" w:rsidP="00406F1D">
            <w:r>
              <w:rPr>
                <w:sz w:val="13"/>
              </w:rPr>
              <w:t>Hourly earnings growth</w:t>
            </w:r>
          </w:p>
        </w:tc>
        <w:tc>
          <w:tcPr>
            <w:tcW w:w="2131" w:type="dxa"/>
            <w:vAlign w:val="center"/>
          </w:tcPr>
          <w:p w14:paraId="43B56CD1" w14:textId="77777777" w:rsidR="004D5EA6" w:rsidRDefault="004D5EA6" w:rsidP="00406F1D">
            <w:r>
              <w:rPr>
                <w:sz w:val="13"/>
              </w:rPr>
              <w:t>3.2%</w:t>
            </w:r>
          </w:p>
        </w:tc>
        <w:tc>
          <w:tcPr>
            <w:tcW w:w="2131" w:type="dxa"/>
            <w:vAlign w:val="center"/>
          </w:tcPr>
          <w:p w14:paraId="221C5DF4" w14:textId="77777777" w:rsidR="004D5EA6" w:rsidRDefault="004D5EA6" w:rsidP="00406F1D">
            <w:r>
              <w:rPr>
                <w:sz w:val="13"/>
              </w:rPr>
              <w:t>Jul 2026 y/y</w:t>
            </w:r>
          </w:p>
        </w:tc>
        <w:tc>
          <w:tcPr>
            <w:tcW w:w="2131" w:type="dxa"/>
            <w:vAlign w:val="center"/>
          </w:tcPr>
          <w:p w14:paraId="354D0CD1" w14:textId="77777777" w:rsidR="004D5EA6" w:rsidRDefault="004D5EA6" w:rsidP="00406F1D">
            <w:r>
              <w:rPr>
                <w:sz w:val="13"/>
              </w:rPr>
              <w:t>Moderating</w:t>
            </w:r>
          </w:p>
        </w:tc>
      </w:tr>
      <w:tr w:rsidR="004D5EA6" w14:paraId="310FCF2D" w14:textId="77777777" w:rsidTr="00406F1D">
        <w:trPr>
          <w:jc w:val="center"/>
        </w:trPr>
        <w:tc>
          <w:tcPr>
            <w:tcW w:w="2131" w:type="dxa"/>
            <w:vAlign w:val="center"/>
          </w:tcPr>
          <w:p w14:paraId="384B57DE" w14:textId="77777777" w:rsidR="004D5EA6" w:rsidRDefault="004D5EA6" w:rsidP="00406F1D">
            <w:r>
              <w:rPr>
                <w:sz w:val="13"/>
              </w:rPr>
              <w:t>Labor</w:t>
            </w:r>
          </w:p>
        </w:tc>
        <w:tc>
          <w:tcPr>
            <w:tcW w:w="2131" w:type="dxa"/>
            <w:vAlign w:val="center"/>
          </w:tcPr>
          <w:p w14:paraId="3D76AC60" w14:textId="77777777" w:rsidR="004D5EA6" w:rsidRDefault="004D5EA6" w:rsidP="00406F1D">
            <w:r>
              <w:rPr>
                <w:sz w:val="13"/>
              </w:rPr>
              <w:t>Average private workweek</w:t>
            </w:r>
          </w:p>
        </w:tc>
        <w:tc>
          <w:tcPr>
            <w:tcW w:w="2131" w:type="dxa"/>
            <w:vAlign w:val="center"/>
          </w:tcPr>
          <w:p w14:paraId="0CBFB8B8" w14:textId="77777777" w:rsidR="004D5EA6" w:rsidRDefault="004D5EA6" w:rsidP="00406F1D">
            <w:r>
              <w:rPr>
                <w:sz w:val="13"/>
              </w:rPr>
              <w:t xml:space="preserve">34.3 </w:t>
            </w:r>
            <w:proofErr w:type="spellStart"/>
            <w:r>
              <w:rPr>
                <w:sz w:val="13"/>
              </w:rPr>
              <w:t>hrs</w:t>
            </w:r>
            <w:proofErr w:type="spellEnd"/>
          </w:p>
        </w:tc>
        <w:tc>
          <w:tcPr>
            <w:tcW w:w="2131" w:type="dxa"/>
            <w:vAlign w:val="center"/>
          </w:tcPr>
          <w:p w14:paraId="321E1627" w14:textId="77777777" w:rsidR="004D5EA6" w:rsidRDefault="004D5EA6" w:rsidP="00406F1D">
            <w:r>
              <w:rPr>
                <w:sz w:val="13"/>
              </w:rPr>
              <w:t>Jul 2026</w:t>
            </w:r>
          </w:p>
        </w:tc>
        <w:tc>
          <w:tcPr>
            <w:tcW w:w="2131" w:type="dxa"/>
            <w:vAlign w:val="center"/>
          </w:tcPr>
          <w:p w14:paraId="4744AF8F" w14:textId="77777777" w:rsidR="004D5EA6" w:rsidRDefault="004D5EA6" w:rsidP="00406F1D">
            <w:r>
              <w:rPr>
                <w:sz w:val="13"/>
              </w:rPr>
              <w:t>Stable</w:t>
            </w:r>
          </w:p>
        </w:tc>
      </w:tr>
      <w:tr w:rsidR="004D5EA6" w14:paraId="63CE77CA" w14:textId="77777777" w:rsidTr="00406F1D">
        <w:trPr>
          <w:jc w:val="center"/>
        </w:trPr>
        <w:tc>
          <w:tcPr>
            <w:tcW w:w="2131" w:type="dxa"/>
            <w:vAlign w:val="center"/>
          </w:tcPr>
          <w:p w14:paraId="468BBD1A" w14:textId="77777777" w:rsidR="004D5EA6" w:rsidRDefault="004D5EA6" w:rsidP="00406F1D">
            <w:r>
              <w:rPr>
                <w:sz w:val="13"/>
              </w:rPr>
              <w:t>Prices</w:t>
            </w:r>
          </w:p>
        </w:tc>
        <w:tc>
          <w:tcPr>
            <w:tcW w:w="2131" w:type="dxa"/>
            <w:vAlign w:val="center"/>
          </w:tcPr>
          <w:p w14:paraId="79E25A6B" w14:textId="77777777" w:rsidR="004D5EA6" w:rsidRDefault="004D5EA6" w:rsidP="00406F1D">
            <w:r>
              <w:rPr>
                <w:sz w:val="13"/>
              </w:rPr>
              <w:t>PPI final demand</w:t>
            </w:r>
          </w:p>
        </w:tc>
        <w:tc>
          <w:tcPr>
            <w:tcW w:w="2131" w:type="dxa"/>
            <w:vAlign w:val="center"/>
          </w:tcPr>
          <w:p w14:paraId="7BB3C21D" w14:textId="77777777" w:rsidR="004D5EA6" w:rsidRDefault="004D5EA6" w:rsidP="00406F1D">
            <w:r>
              <w:rPr>
                <w:sz w:val="13"/>
              </w:rPr>
              <w:t>0.0%</w:t>
            </w:r>
          </w:p>
        </w:tc>
        <w:tc>
          <w:tcPr>
            <w:tcW w:w="2131" w:type="dxa"/>
            <w:vAlign w:val="center"/>
          </w:tcPr>
          <w:p w14:paraId="3A2ACD7E" w14:textId="77777777" w:rsidR="004D5EA6" w:rsidRDefault="004D5EA6" w:rsidP="00406F1D">
            <w:r>
              <w:rPr>
                <w:sz w:val="13"/>
              </w:rPr>
              <w:t>Jul 2026 m/m</w:t>
            </w:r>
          </w:p>
        </w:tc>
        <w:tc>
          <w:tcPr>
            <w:tcW w:w="2131" w:type="dxa"/>
            <w:vAlign w:val="center"/>
          </w:tcPr>
          <w:p w14:paraId="171A3776" w14:textId="77777777" w:rsidR="004D5EA6" w:rsidRDefault="004D5EA6" w:rsidP="00406F1D">
            <w:r>
              <w:rPr>
                <w:sz w:val="13"/>
              </w:rPr>
              <w:t>Flat</w:t>
            </w:r>
          </w:p>
        </w:tc>
      </w:tr>
      <w:tr w:rsidR="004D5EA6" w14:paraId="2B9798CC" w14:textId="77777777" w:rsidTr="00406F1D">
        <w:trPr>
          <w:jc w:val="center"/>
        </w:trPr>
        <w:tc>
          <w:tcPr>
            <w:tcW w:w="2131" w:type="dxa"/>
            <w:vAlign w:val="center"/>
          </w:tcPr>
          <w:p w14:paraId="02D67CFE" w14:textId="77777777" w:rsidR="004D5EA6" w:rsidRDefault="004D5EA6" w:rsidP="00406F1D">
            <w:r>
              <w:rPr>
                <w:sz w:val="13"/>
              </w:rPr>
              <w:t>Prices</w:t>
            </w:r>
          </w:p>
        </w:tc>
        <w:tc>
          <w:tcPr>
            <w:tcW w:w="2131" w:type="dxa"/>
            <w:vAlign w:val="center"/>
          </w:tcPr>
          <w:p w14:paraId="7985D25E" w14:textId="77777777" w:rsidR="004D5EA6" w:rsidRDefault="004D5EA6" w:rsidP="00406F1D">
            <w:r>
              <w:rPr>
                <w:sz w:val="13"/>
              </w:rPr>
              <w:t>Import prices</w:t>
            </w:r>
          </w:p>
        </w:tc>
        <w:tc>
          <w:tcPr>
            <w:tcW w:w="2131" w:type="dxa"/>
            <w:vAlign w:val="center"/>
          </w:tcPr>
          <w:p w14:paraId="1DE465E6" w14:textId="77777777" w:rsidR="004D5EA6" w:rsidRDefault="004D5EA6" w:rsidP="00406F1D">
            <w:r>
              <w:rPr>
                <w:sz w:val="13"/>
              </w:rPr>
              <w:t>-0.4%</w:t>
            </w:r>
          </w:p>
        </w:tc>
        <w:tc>
          <w:tcPr>
            <w:tcW w:w="2131" w:type="dxa"/>
            <w:vAlign w:val="center"/>
          </w:tcPr>
          <w:p w14:paraId="5E25FBCC" w14:textId="77777777" w:rsidR="004D5EA6" w:rsidRDefault="004D5EA6" w:rsidP="00406F1D">
            <w:r>
              <w:rPr>
                <w:sz w:val="13"/>
              </w:rPr>
              <w:t>Jul 2026 m/m</w:t>
            </w:r>
          </w:p>
        </w:tc>
        <w:tc>
          <w:tcPr>
            <w:tcW w:w="2131" w:type="dxa"/>
            <w:vAlign w:val="center"/>
          </w:tcPr>
          <w:p w14:paraId="7239B9BE" w14:textId="77777777" w:rsidR="004D5EA6" w:rsidRDefault="004D5EA6" w:rsidP="00406F1D">
            <w:r>
              <w:rPr>
                <w:sz w:val="13"/>
              </w:rPr>
              <w:t>Lower</w:t>
            </w:r>
          </w:p>
        </w:tc>
      </w:tr>
      <w:tr w:rsidR="004D5EA6" w14:paraId="1CD22C89" w14:textId="77777777" w:rsidTr="00406F1D">
        <w:trPr>
          <w:jc w:val="center"/>
        </w:trPr>
        <w:tc>
          <w:tcPr>
            <w:tcW w:w="2131" w:type="dxa"/>
            <w:vAlign w:val="center"/>
          </w:tcPr>
          <w:p w14:paraId="71CD9DCD" w14:textId="77777777" w:rsidR="004D5EA6" w:rsidRDefault="004D5EA6" w:rsidP="00406F1D">
            <w:r>
              <w:rPr>
                <w:sz w:val="13"/>
              </w:rPr>
              <w:t>Prices</w:t>
            </w:r>
          </w:p>
        </w:tc>
        <w:tc>
          <w:tcPr>
            <w:tcW w:w="2131" w:type="dxa"/>
            <w:vAlign w:val="center"/>
          </w:tcPr>
          <w:p w14:paraId="782BBD8D" w14:textId="77777777" w:rsidR="004D5EA6" w:rsidRDefault="004D5EA6" w:rsidP="00406F1D">
            <w:r>
              <w:rPr>
                <w:sz w:val="13"/>
              </w:rPr>
              <w:t>Export prices</w:t>
            </w:r>
          </w:p>
        </w:tc>
        <w:tc>
          <w:tcPr>
            <w:tcW w:w="2131" w:type="dxa"/>
            <w:vAlign w:val="center"/>
          </w:tcPr>
          <w:p w14:paraId="4113C2A2" w14:textId="77777777" w:rsidR="004D5EA6" w:rsidRDefault="004D5EA6" w:rsidP="00406F1D">
            <w:r>
              <w:rPr>
                <w:sz w:val="13"/>
              </w:rPr>
              <w:t>-1.3%</w:t>
            </w:r>
          </w:p>
        </w:tc>
        <w:tc>
          <w:tcPr>
            <w:tcW w:w="2131" w:type="dxa"/>
            <w:vAlign w:val="center"/>
          </w:tcPr>
          <w:p w14:paraId="2E1E96CC" w14:textId="77777777" w:rsidR="004D5EA6" w:rsidRDefault="004D5EA6" w:rsidP="00406F1D">
            <w:r>
              <w:rPr>
                <w:sz w:val="13"/>
              </w:rPr>
              <w:t>Jul 2026 m/m</w:t>
            </w:r>
          </w:p>
        </w:tc>
        <w:tc>
          <w:tcPr>
            <w:tcW w:w="2131" w:type="dxa"/>
            <w:vAlign w:val="center"/>
          </w:tcPr>
          <w:p w14:paraId="668BD0B2" w14:textId="77777777" w:rsidR="004D5EA6" w:rsidRDefault="004D5EA6" w:rsidP="00406F1D">
            <w:r>
              <w:rPr>
                <w:sz w:val="13"/>
              </w:rPr>
              <w:t>Lower</w:t>
            </w:r>
          </w:p>
        </w:tc>
      </w:tr>
      <w:tr w:rsidR="004D5EA6" w14:paraId="0579B842" w14:textId="77777777" w:rsidTr="00406F1D">
        <w:trPr>
          <w:jc w:val="center"/>
        </w:trPr>
        <w:tc>
          <w:tcPr>
            <w:tcW w:w="2131" w:type="dxa"/>
            <w:vAlign w:val="center"/>
          </w:tcPr>
          <w:p w14:paraId="46033E83" w14:textId="77777777" w:rsidR="004D5EA6" w:rsidRDefault="004D5EA6" w:rsidP="00406F1D">
            <w:r>
              <w:rPr>
                <w:sz w:val="13"/>
              </w:rPr>
              <w:t>Labor costs</w:t>
            </w:r>
          </w:p>
        </w:tc>
        <w:tc>
          <w:tcPr>
            <w:tcW w:w="2131" w:type="dxa"/>
            <w:vAlign w:val="center"/>
          </w:tcPr>
          <w:p w14:paraId="05821105" w14:textId="77777777" w:rsidR="004D5EA6" w:rsidRDefault="004D5EA6" w:rsidP="00406F1D">
            <w:r>
              <w:rPr>
                <w:sz w:val="13"/>
              </w:rPr>
              <w:t>Employment Cost Index</w:t>
            </w:r>
          </w:p>
        </w:tc>
        <w:tc>
          <w:tcPr>
            <w:tcW w:w="2131" w:type="dxa"/>
            <w:vAlign w:val="center"/>
          </w:tcPr>
          <w:p w14:paraId="69D38FBB" w14:textId="77777777" w:rsidR="004D5EA6" w:rsidRDefault="004D5EA6" w:rsidP="00406F1D">
            <w:r>
              <w:rPr>
                <w:sz w:val="13"/>
              </w:rPr>
              <w:t>+0.9%</w:t>
            </w:r>
          </w:p>
        </w:tc>
        <w:tc>
          <w:tcPr>
            <w:tcW w:w="2131" w:type="dxa"/>
            <w:vAlign w:val="center"/>
          </w:tcPr>
          <w:p w14:paraId="743DEB7F" w14:textId="77777777" w:rsidR="004D5EA6" w:rsidRDefault="004D5EA6" w:rsidP="00406F1D">
            <w:r>
              <w:rPr>
                <w:sz w:val="13"/>
              </w:rPr>
              <w:t>Q2 2026 q/q</w:t>
            </w:r>
          </w:p>
        </w:tc>
        <w:tc>
          <w:tcPr>
            <w:tcW w:w="2131" w:type="dxa"/>
            <w:vAlign w:val="center"/>
          </w:tcPr>
          <w:p w14:paraId="06805CEE" w14:textId="77777777" w:rsidR="004D5EA6" w:rsidRDefault="004D5EA6" w:rsidP="00406F1D">
            <w:r>
              <w:rPr>
                <w:sz w:val="13"/>
              </w:rPr>
              <w:t>Firm</w:t>
            </w:r>
          </w:p>
        </w:tc>
      </w:tr>
      <w:tr w:rsidR="004D5EA6" w14:paraId="5B599C3B" w14:textId="77777777" w:rsidTr="00406F1D">
        <w:trPr>
          <w:jc w:val="center"/>
        </w:trPr>
        <w:tc>
          <w:tcPr>
            <w:tcW w:w="2131" w:type="dxa"/>
            <w:vAlign w:val="center"/>
          </w:tcPr>
          <w:p w14:paraId="299E6C62" w14:textId="77777777" w:rsidR="004D5EA6" w:rsidRDefault="004D5EA6" w:rsidP="00406F1D">
            <w:r>
              <w:rPr>
                <w:sz w:val="13"/>
              </w:rPr>
              <w:t>External</w:t>
            </w:r>
          </w:p>
        </w:tc>
        <w:tc>
          <w:tcPr>
            <w:tcW w:w="2131" w:type="dxa"/>
            <w:vAlign w:val="center"/>
          </w:tcPr>
          <w:p w14:paraId="3DB0AC1E" w14:textId="77777777" w:rsidR="004D5EA6" w:rsidRDefault="004D5EA6" w:rsidP="00406F1D">
            <w:r>
              <w:rPr>
                <w:sz w:val="13"/>
              </w:rPr>
              <w:t>Current account / GDP</w:t>
            </w:r>
          </w:p>
        </w:tc>
        <w:tc>
          <w:tcPr>
            <w:tcW w:w="2131" w:type="dxa"/>
            <w:vAlign w:val="center"/>
          </w:tcPr>
          <w:p w14:paraId="3DC7BD6F" w14:textId="77777777" w:rsidR="004D5EA6" w:rsidRDefault="004D5EA6" w:rsidP="00406F1D">
            <w:r>
              <w:rPr>
                <w:sz w:val="13"/>
              </w:rPr>
              <w:t>-3.6%</w:t>
            </w:r>
          </w:p>
        </w:tc>
        <w:tc>
          <w:tcPr>
            <w:tcW w:w="2131" w:type="dxa"/>
            <w:vAlign w:val="center"/>
          </w:tcPr>
          <w:p w14:paraId="32BB308E" w14:textId="77777777" w:rsidR="004D5EA6" w:rsidRDefault="004D5EA6" w:rsidP="00406F1D">
            <w:r>
              <w:rPr>
                <w:sz w:val="13"/>
              </w:rPr>
              <w:t>2025 annual</w:t>
            </w:r>
          </w:p>
        </w:tc>
        <w:tc>
          <w:tcPr>
            <w:tcW w:w="2131" w:type="dxa"/>
            <w:vAlign w:val="center"/>
          </w:tcPr>
          <w:p w14:paraId="52427A45" w14:textId="77777777" w:rsidR="004D5EA6" w:rsidRDefault="004D5EA6" w:rsidP="00406F1D">
            <w:r>
              <w:rPr>
                <w:sz w:val="13"/>
              </w:rPr>
              <w:t>Deficit</w:t>
            </w:r>
          </w:p>
        </w:tc>
      </w:tr>
      <w:tr w:rsidR="004D5EA6" w14:paraId="1267D8E5" w14:textId="77777777" w:rsidTr="00406F1D">
        <w:trPr>
          <w:jc w:val="center"/>
        </w:trPr>
        <w:tc>
          <w:tcPr>
            <w:tcW w:w="2131" w:type="dxa"/>
            <w:vAlign w:val="center"/>
          </w:tcPr>
          <w:p w14:paraId="17CB643E" w14:textId="77777777" w:rsidR="004D5EA6" w:rsidRDefault="004D5EA6" w:rsidP="00406F1D">
            <w:r>
              <w:rPr>
                <w:sz w:val="13"/>
              </w:rPr>
              <w:t>Monetary</w:t>
            </w:r>
          </w:p>
        </w:tc>
        <w:tc>
          <w:tcPr>
            <w:tcW w:w="2131" w:type="dxa"/>
            <w:vAlign w:val="center"/>
          </w:tcPr>
          <w:p w14:paraId="70D16C12" w14:textId="77777777" w:rsidR="004D5EA6" w:rsidRDefault="004D5EA6" w:rsidP="00406F1D">
            <w:proofErr w:type="gramStart"/>
            <w:r>
              <w:rPr>
                <w:sz w:val="13"/>
              </w:rPr>
              <w:t>Effective fed</w:t>
            </w:r>
            <w:proofErr w:type="gramEnd"/>
            <w:r>
              <w:rPr>
                <w:sz w:val="13"/>
              </w:rPr>
              <w:t xml:space="preserve"> funds rate</w:t>
            </w:r>
          </w:p>
        </w:tc>
        <w:tc>
          <w:tcPr>
            <w:tcW w:w="2131" w:type="dxa"/>
            <w:vAlign w:val="center"/>
          </w:tcPr>
          <w:p w14:paraId="2D2BEEAB" w14:textId="77777777" w:rsidR="004D5EA6" w:rsidRDefault="004D5EA6" w:rsidP="00406F1D">
            <w:r>
              <w:rPr>
                <w:sz w:val="13"/>
              </w:rPr>
              <w:t>4.21%</w:t>
            </w:r>
          </w:p>
        </w:tc>
        <w:tc>
          <w:tcPr>
            <w:tcW w:w="2131" w:type="dxa"/>
            <w:vAlign w:val="center"/>
          </w:tcPr>
          <w:p w14:paraId="096FE0FA" w14:textId="77777777" w:rsidR="004D5EA6" w:rsidRDefault="004D5EA6" w:rsidP="00406F1D">
            <w:r>
              <w:rPr>
                <w:sz w:val="13"/>
              </w:rPr>
              <w:t>2025 annual avg.</w:t>
            </w:r>
          </w:p>
        </w:tc>
        <w:tc>
          <w:tcPr>
            <w:tcW w:w="2131" w:type="dxa"/>
            <w:vAlign w:val="center"/>
          </w:tcPr>
          <w:p w14:paraId="24169BE8" w14:textId="77777777" w:rsidR="004D5EA6" w:rsidRDefault="004D5EA6" w:rsidP="00406F1D">
            <w:r>
              <w:rPr>
                <w:sz w:val="13"/>
              </w:rPr>
              <w:t>High vs 2010s</w:t>
            </w:r>
          </w:p>
        </w:tc>
      </w:tr>
      <w:tr w:rsidR="004D5EA6" w14:paraId="7DDAB691" w14:textId="77777777" w:rsidTr="00406F1D">
        <w:trPr>
          <w:jc w:val="center"/>
        </w:trPr>
        <w:tc>
          <w:tcPr>
            <w:tcW w:w="2131" w:type="dxa"/>
            <w:vAlign w:val="center"/>
          </w:tcPr>
          <w:p w14:paraId="34F872DA" w14:textId="77777777" w:rsidR="004D5EA6" w:rsidRDefault="004D5EA6" w:rsidP="00406F1D">
            <w:r>
              <w:rPr>
                <w:sz w:val="13"/>
              </w:rPr>
              <w:t>Monetary</w:t>
            </w:r>
          </w:p>
        </w:tc>
        <w:tc>
          <w:tcPr>
            <w:tcW w:w="2131" w:type="dxa"/>
            <w:vAlign w:val="center"/>
          </w:tcPr>
          <w:p w14:paraId="3A5AEEBC" w14:textId="77777777" w:rsidR="004D5EA6" w:rsidRDefault="004D5EA6" w:rsidP="00406F1D">
            <w:r>
              <w:rPr>
                <w:sz w:val="13"/>
              </w:rPr>
              <w:t>Real policy rate</w:t>
            </w:r>
          </w:p>
        </w:tc>
        <w:tc>
          <w:tcPr>
            <w:tcW w:w="2131" w:type="dxa"/>
            <w:vAlign w:val="center"/>
          </w:tcPr>
          <w:p w14:paraId="4D857E75" w14:textId="77777777" w:rsidR="004D5EA6" w:rsidRDefault="004D5EA6" w:rsidP="00406F1D">
            <w:r>
              <w:rPr>
                <w:sz w:val="13"/>
              </w:rPr>
              <w:t>1.61%</w:t>
            </w:r>
          </w:p>
        </w:tc>
        <w:tc>
          <w:tcPr>
            <w:tcW w:w="2131" w:type="dxa"/>
            <w:vAlign w:val="center"/>
          </w:tcPr>
          <w:p w14:paraId="15513861" w14:textId="77777777" w:rsidR="004D5EA6" w:rsidRDefault="004D5EA6" w:rsidP="00406F1D">
            <w:r>
              <w:rPr>
                <w:sz w:val="13"/>
              </w:rPr>
              <w:t>2025 derived</w:t>
            </w:r>
          </w:p>
        </w:tc>
        <w:tc>
          <w:tcPr>
            <w:tcW w:w="2131" w:type="dxa"/>
            <w:vAlign w:val="center"/>
          </w:tcPr>
          <w:p w14:paraId="67ECADF6" w14:textId="77777777" w:rsidR="004D5EA6" w:rsidRDefault="004D5EA6" w:rsidP="00406F1D">
            <w:r>
              <w:rPr>
                <w:sz w:val="13"/>
              </w:rPr>
              <w:t>Restrictive</w:t>
            </w:r>
          </w:p>
        </w:tc>
      </w:tr>
      <w:tr w:rsidR="004D5EA6" w14:paraId="69A40B1C" w14:textId="77777777" w:rsidTr="00406F1D">
        <w:trPr>
          <w:jc w:val="center"/>
        </w:trPr>
        <w:tc>
          <w:tcPr>
            <w:tcW w:w="2131" w:type="dxa"/>
            <w:vAlign w:val="center"/>
          </w:tcPr>
          <w:p w14:paraId="4A9AD0B6" w14:textId="77777777" w:rsidR="004D5EA6" w:rsidRDefault="004D5EA6" w:rsidP="00406F1D">
            <w:r>
              <w:rPr>
                <w:sz w:val="13"/>
              </w:rPr>
              <w:t>Fiscal</w:t>
            </w:r>
          </w:p>
        </w:tc>
        <w:tc>
          <w:tcPr>
            <w:tcW w:w="2131" w:type="dxa"/>
            <w:vAlign w:val="center"/>
          </w:tcPr>
          <w:p w14:paraId="3045AFA8" w14:textId="77777777" w:rsidR="004D5EA6" w:rsidRDefault="004D5EA6" w:rsidP="00406F1D">
            <w:r>
              <w:rPr>
                <w:sz w:val="13"/>
              </w:rPr>
              <w:t>Federal deficit</w:t>
            </w:r>
          </w:p>
        </w:tc>
        <w:tc>
          <w:tcPr>
            <w:tcW w:w="2131" w:type="dxa"/>
            <w:vAlign w:val="center"/>
          </w:tcPr>
          <w:p w14:paraId="7C709C31" w14:textId="77777777" w:rsidR="004D5EA6" w:rsidRDefault="004D5EA6" w:rsidP="00406F1D">
            <w:r>
              <w:rPr>
                <w:sz w:val="13"/>
              </w:rPr>
              <w:t>$1.9T</w:t>
            </w:r>
          </w:p>
        </w:tc>
        <w:tc>
          <w:tcPr>
            <w:tcW w:w="2131" w:type="dxa"/>
            <w:vAlign w:val="center"/>
          </w:tcPr>
          <w:p w14:paraId="0724EDAE" w14:textId="77777777" w:rsidR="004D5EA6" w:rsidRDefault="004D5EA6" w:rsidP="00406F1D">
            <w:r>
              <w:rPr>
                <w:sz w:val="13"/>
              </w:rPr>
              <w:t>FY2026 CBO baseline</w:t>
            </w:r>
          </w:p>
        </w:tc>
        <w:tc>
          <w:tcPr>
            <w:tcW w:w="2131" w:type="dxa"/>
            <w:vAlign w:val="center"/>
          </w:tcPr>
          <w:p w14:paraId="2EBED2A7" w14:textId="77777777" w:rsidR="004D5EA6" w:rsidRDefault="004D5EA6" w:rsidP="00406F1D">
            <w:r>
              <w:rPr>
                <w:sz w:val="13"/>
              </w:rPr>
              <w:t>High</w:t>
            </w:r>
          </w:p>
        </w:tc>
      </w:tr>
      <w:tr w:rsidR="004D5EA6" w14:paraId="19F84E3A" w14:textId="77777777" w:rsidTr="00406F1D">
        <w:trPr>
          <w:jc w:val="center"/>
        </w:trPr>
        <w:tc>
          <w:tcPr>
            <w:tcW w:w="2131" w:type="dxa"/>
            <w:vAlign w:val="center"/>
          </w:tcPr>
          <w:p w14:paraId="554B2516" w14:textId="77777777" w:rsidR="004D5EA6" w:rsidRDefault="004D5EA6" w:rsidP="00406F1D">
            <w:r>
              <w:rPr>
                <w:sz w:val="13"/>
              </w:rPr>
              <w:t>Fiscal</w:t>
            </w:r>
          </w:p>
        </w:tc>
        <w:tc>
          <w:tcPr>
            <w:tcW w:w="2131" w:type="dxa"/>
            <w:vAlign w:val="center"/>
          </w:tcPr>
          <w:p w14:paraId="3EDA96C2" w14:textId="77777777" w:rsidR="004D5EA6" w:rsidRDefault="004D5EA6" w:rsidP="00406F1D">
            <w:r>
              <w:rPr>
                <w:sz w:val="13"/>
              </w:rPr>
              <w:t>Federal deficit / GDP</w:t>
            </w:r>
          </w:p>
        </w:tc>
        <w:tc>
          <w:tcPr>
            <w:tcW w:w="2131" w:type="dxa"/>
            <w:vAlign w:val="center"/>
          </w:tcPr>
          <w:p w14:paraId="62D65B2E" w14:textId="77777777" w:rsidR="004D5EA6" w:rsidRDefault="004D5EA6" w:rsidP="00406F1D">
            <w:r>
              <w:rPr>
                <w:sz w:val="13"/>
              </w:rPr>
              <w:t>5.8%</w:t>
            </w:r>
          </w:p>
        </w:tc>
        <w:tc>
          <w:tcPr>
            <w:tcW w:w="2131" w:type="dxa"/>
            <w:vAlign w:val="center"/>
          </w:tcPr>
          <w:p w14:paraId="5474D138" w14:textId="77777777" w:rsidR="004D5EA6" w:rsidRDefault="004D5EA6" w:rsidP="00406F1D">
            <w:r>
              <w:rPr>
                <w:sz w:val="13"/>
              </w:rPr>
              <w:t>FY2026 CBO baseline</w:t>
            </w:r>
          </w:p>
        </w:tc>
        <w:tc>
          <w:tcPr>
            <w:tcW w:w="2131" w:type="dxa"/>
            <w:vAlign w:val="center"/>
          </w:tcPr>
          <w:p w14:paraId="208B458F" w14:textId="77777777" w:rsidR="004D5EA6" w:rsidRDefault="004D5EA6" w:rsidP="00406F1D">
            <w:r>
              <w:rPr>
                <w:sz w:val="13"/>
              </w:rPr>
              <w:t>High</w:t>
            </w:r>
          </w:p>
        </w:tc>
      </w:tr>
      <w:tr w:rsidR="004D5EA6" w14:paraId="4BBBFE31" w14:textId="77777777" w:rsidTr="00406F1D">
        <w:trPr>
          <w:jc w:val="center"/>
        </w:trPr>
        <w:tc>
          <w:tcPr>
            <w:tcW w:w="2131" w:type="dxa"/>
            <w:vAlign w:val="center"/>
          </w:tcPr>
          <w:p w14:paraId="65DDC14A" w14:textId="77777777" w:rsidR="004D5EA6" w:rsidRDefault="004D5EA6" w:rsidP="00406F1D">
            <w:r>
              <w:rPr>
                <w:sz w:val="13"/>
              </w:rPr>
              <w:t>Fiscal</w:t>
            </w:r>
          </w:p>
        </w:tc>
        <w:tc>
          <w:tcPr>
            <w:tcW w:w="2131" w:type="dxa"/>
            <w:vAlign w:val="center"/>
          </w:tcPr>
          <w:p w14:paraId="074D12E5" w14:textId="77777777" w:rsidR="004D5EA6" w:rsidRDefault="004D5EA6" w:rsidP="00406F1D">
            <w:r>
              <w:rPr>
                <w:sz w:val="13"/>
              </w:rPr>
              <w:t>Debt held by public</w:t>
            </w:r>
          </w:p>
        </w:tc>
        <w:tc>
          <w:tcPr>
            <w:tcW w:w="2131" w:type="dxa"/>
            <w:vAlign w:val="center"/>
          </w:tcPr>
          <w:p w14:paraId="32DA9AF5" w14:textId="77777777" w:rsidR="004D5EA6" w:rsidRDefault="004D5EA6" w:rsidP="00406F1D">
            <w:r>
              <w:rPr>
                <w:sz w:val="13"/>
              </w:rPr>
              <w:t>101% GDP</w:t>
            </w:r>
          </w:p>
        </w:tc>
        <w:tc>
          <w:tcPr>
            <w:tcW w:w="2131" w:type="dxa"/>
            <w:vAlign w:val="center"/>
          </w:tcPr>
          <w:p w14:paraId="07777296" w14:textId="77777777" w:rsidR="004D5EA6" w:rsidRDefault="004D5EA6" w:rsidP="00406F1D">
            <w:r>
              <w:rPr>
                <w:sz w:val="13"/>
              </w:rPr>
              <w:t>FY2026 CBO baseline</w:t>
            </w:r>
          </w:p>
        </w:tc>
        <w:tc>
          <w:tcPr>
            <w:tcW w:w="2131" w:type="dxa"/>
            <w:vAlign w:val="center"/>
          </w:tcPr>
          <w:p w14:paraId="0C73A635" w14:textId="77777777" w:rsidR="004D5EA6" w:rsidRDefault="004D5EA6" w:rsidP="00406F1D">
            <w:r>
              <w:rPr>
                <w:sz w:val="13"/>
              </w:rPr>
              <w:t>High</w:t>
            </w:r>
          </w:p>
        </w:tc>
      </w:tr>
      <w:tr w:rsidR="004D5EA6" w14:paraId="74F38423" w14:textId="77777777" w:rsidTr="00406F1D">
        <w:trPr>
          <w:jc w:val="center"/>
        </w:trPr>
        <w:tc>
          <w:tcPr>
            <w:tcW w:w="2131" w:type="dxa"/>
            <w:vAlign w:val="center"/>
          </w:tcPr>
          <w:p w14:paraId="06138DD3" w14:textId="77777777" w:rsidR="004D5EA6" w:rsidRDefault="004D5EA6" w:rsidP="00406F1D">
            <w:r>
              <w:rPr>
                <w:sz w:val="13"/>
              </w:rPr>
              <w:t>Fiscal</w:t>
            </w:r>
          </w:p>
        </w:tc>
        <w:tc>
          <w:tcPr>
            <w:tcW w:w="2131" w:type="dxa"/>
            <w:vAlign w:val="center"/>
          </w:tcPr>
          <w:p w14:paraId="373479F8" w14:textId="77777777" w:rsidR="004D5EA6" w:rsidRDefault="004D5EA6" w:rsidP="00406F1D">
            <w:r>
              <w:rPr>
                <w:sz w:val="13"/>
              </w:rPr>
              <w:t>Federal outlays</w:t>
            </w:r>
          </w:p>
        </w:tc>
        <w:tc>
          <w:tcPr>
            <w:tcW w:w="2131" w:type="dxa"/>
            <w:vAlign w:val="center"/>
          </w:tcPr>
          <w:p w14:paraId="73380046" w14:textId="77777777" w:rsidR="004D5EA6" w:rsidRDefault="004D5EA6" w:rsidP="00406F1D">
            <w:r>
              <w:rPr>
                <w:sz w:val="13"/>
              </w:rPr>
              <w:t>$7.4T</w:t>
            </w:r>
          </w:p>
        </w:tc>
        <w:tc>
          <w:tcPr>
            <w:tcW w:w="2131" w:type="dxa"/>
            <w:vAlign w:val="center"/>
          </w:tcPr>
          <w:p w14:paraId="466F6DD2" w14:textId="77777777" w:rsidR="004D5EA6" w:rsidRDefault="004D5EA6" w:rsidP="00406F1D">
            <w:r>
              <w:rPr>
                <w:sz w:val="13"/>
              </w:rPr>
              <w:t>FY2026 CBO baseline</w:t>
            </w:r>
          </w:p>
        </w:tc>
        <w:tc>
          <w:tcPr>
            <w:tcW w:w="2131" w:type="dxa"/>
            <w:vAlign w:val="center"/>
          </w:tcPr>
          <w:p w14:paraId="3BD4FCD0" w14:textId="77777777" w:rsidR="004D5EA6" w:rsidRDefault="004D5EA6" w:rsidP="00406F1D">
            <w:r>
              <w:rPr>
                <w:sz w:val="13"/>
              </w:rPr>
              <w:t>High</w:t>
            </w:r>
          </w:p>
        </w:tc>
      </w:tr>
      <w:tr w:rsidR="004D5EA6" w14:paraId="098AE77D" w14:textId="77777777" w:rsidTr="00406F1D">
        <w:trPr>
          <w:jc w:val="center"/>
        </w:trPr>
        <w:tc>
          <w:tcPr>
            <w:tcW w:w="2131" w:type="dxa"/>
            <w:vAlign w:val="center"/>
          </w:tcPr>
          <w:p w14:paraId="3D2124FB" w14:textId="77777777" w:rsidR="004D5EA6" w:rsidRDefault="004D5EA6" w:rsidP="00406F1D">
            <w:r>
              <w:rPr>
                <w:sz w:val="13"/>
              </w:rPr>
              <w:t>Fiscal</w:t>
            </w:r>
          </w:p>
        </w:tc>
        <w:tc>
          <w:tcPr>
            <w:tcW w:w="2131" w:type="dxa"/>
            <w:vAlign w:val="center"/>
          </w:tcPr>
          <w:p w14:paraId="3B948B2C" w14:textId="77777777" w:rsidR="004D5EA6" w:rsidRDefault="004D5EA6" w:rsidP="00406F1D">
            <w:r>
              <w:rPr>
                <w:sz w:val="13"/>
              </w:rPr>
              <w:t>Federal revenues</w:t>
            </w:r>
          </w:p>
        </w:tc>
        <w:tc>
          <w:tcPr>
            <w:tcW w:w="2131" w:type="dxa"/>
            <w:vAlign w:val="center"/>
          </w:tcPr>
          <w:p w14:paraId="4CABF698" w14:textId="77777777" w:rsidR="004D5EA6" w:rsidRDefault="004D5EA6" w:rsidP="00406F1D">
            <w:r>
              <w:rPr>
                <w:sz w:val="13"/>
              </w:rPr>
              <w:t>$5.6T</w:t>
            </w:r>
          </w:p>
        </w:tc>
        <w:tc>
          <w:tcPr>
            <w:tcW w:w="2131" w:type="dxa"/>
            <w:vAlign w:val="center"/>
          </w:tcPr>
          <w:p w14:paraId="7C1FF65D" w14:textId="77777777" w:rsidR="004D5EA6" w:rsidRDefault="004D5EA6" w:rsidP="00406F1D">
            <w:r>
              <w:rPr>
                <w:sz w:val="13"/>
              </w:rPr>
              <w:t>FY2026 CBO baseline</w:t>
            </w:r>
          </w:p>
        </w:tc>
        <w:tc>
          <w:tcPr>
            <w:tcW w:w="2131" w:type="dxa"/>
            <w:vAlign w:val="center"/>
          </w:tcPr>
          <w:p w14:paraId="713B431F" w14:textId="77777777" w:rsidR="004D5EA6" w:rsidRDefault="004D5EA6" w:rsidP="00406F1D">
            <w:r>
              <w:rPr>
                <w:sz w:val="13"/>
              </w:rPr>
              <w:t>Firm</w:t>
            </w:r>
          </w:p>
        </w:tc>
      </w:tr>
      <w:tr w:rsidR="004D5EA6" w14:paraId="327FEFD3" w14:textId="77777777" w:rsidTr="00406F1D">
        <w:trPr>
          <w:jc w:val="center"/>
        </w:trPr>
        <w:tc>
          <w:tcPr>
            <w:tcW w:w="2131" w:type="dxa"/>
            <w:vAlign w:val="center"/>
          </w:tcPr>
          <w:p w14:paraId="30DF5731" w14:textId="77777777" w:rsidR="004D5EA6" w:rsidRDefault="004D5EA6" w:rsidP="00406F1D">
            <w:r>
              <w:rPr>
                <w:sz w:val="13"/>
              </w:rPr>
              <w:t>Fiscal</w:t>
            </w:r>
          </w:p>
        </w:tc>
        <w:tc>
          <w:tcPr>
            <w:tcW w:w="2131" w:type="dxa"/>
            <w:vAlign w:val="center"/>
          </w:tcPr>
          <w:p w14:paraId="0320AFCC" w14:textId="77777777" w:rsidR="004D5EA6" w:rsidRDefault="004D5EA6" w:rsidP="00406F1D">
            <w:r>
              <w:rPr>
                <w:sz w:val="13"/>
              </w:rPr>
              <w:t>Net interest / GDP</w:t>
            </w:r>
          </w:p>
        </w:tc>
        <w:tc>
          <w:tcPr>
            <w:tcW w:w="2131" w:type="dxa"/>
            <w:vAlign w:val="center"/>
          </w:tcPr>
          <w:p w14:paraId="1804D30B" w14:textId="77777777" w:rsidR="004D5EA6" w:rsidRDefault="004D5EA6" w:rsidP="00406F1D">
            <w:r>
              <w:rPr>
                <w:sz w:val="13"/>
              </w:rPr>
              <w:t>3.3%</w:t>
            </w:r>
          </w:p>
        </w:tc>
        <w:tc>
          <w:tcPr>
            <w:tcW w:w="2131" w:type="dxa"/>
            <w:vAlign w:val="center"/>
          </w:tcPr>
          <w:p w14:paraId="0C210DBD" w14:textId="77777777" w:rsidR="004D5EA6" w:rsidRDefault="004D5EA6" w:rsidP="00406F1D">
            <w:r>
              <w:rPr>
                <w:sz w:val="13"/>
              </w:rPr>
              <w:t>FY2026 CBO baseline</w:t>
            </w:r>
          </w:p>
        </w:tc>
        <w:tc>
          <w:tcPr>
            <w:tcW w:w="2131" w:type="dxa"/>
            <w:vAlign w:val="center"/>
          </w:tcPr>
          <w:p w14:paraId="6B18D3BD" w14:textId="77777777" w:rsidR="004D5EA6" w:rsidRDefault="004D5EA6" w:rsidP="00406F1D">
            <w:r>
              <w:rPr>
                <w:sz w:val="13"/>
              </w:rPr>
              <w:t>Elevated</w:t>
            </w:r>
          </w:p>
        </w:tc>
      </w:tr>
    </w:tbl>
    <w:p w14:paraId="7120365C" w14:textId="77777777" w:rsidR="004D5EA6" w:rsidRDefault="004D5EA6" w:rsidP="004D5EA6">
      <w:r>
        <w:rPr>
          <w:b/>
        </w:rPr>
        <w:t xml:space="preserve">Dashboard note: </w:t>
      </w:r>
      <w:r>
        <w:rPr>
          <w:i/>
        </w:rPr>
        <w:t>Monthly, quarterly, annual and fiscal-year indicators are labelled separately. The dashboard uses the latest reliable reading where available and keeps structural annual indicators as reference measures.</w:t>
      </w:r>
    </w:p>
    <w:p w14:paraId="7BD256E9" w14:textId="77777777" w:rsidR="004D5EA6" w:rsidRDefault="004D5EA6" w:rsidP="004D5EA6">
      <w:r>
        <w:br w:type="page"/>
      </w:r>
    </w:p>
    <w:p w14:paraId="4F5D33A3" w14:textId="77777777" w:rsidR="004D5EA6" w:rsidRDefault="004D5EA6" w:rsidP="004D5EA6">
      <w:pPr>
        <w:pStyle w:val="Heading1"/>
      </w:pPr>
      <w:r>
        <w:t>Rates and Labor: Economic Impact</w:t>
      </w:r>
    </w:p>
    <w:tbl>
      <w:tblPr>
        <w:tblW w:w="0" w:type="auto"/>
        <w:jc w:val="center"/>
        <w:tblLook w:val="04A0" w:firstRow="1" w:lastRow="0" w:firstColumn="1" w:lastColumn="0" w:noHBand="0" w:noVBand="1"/>
      </w:tblPr>
      <w:tblGrid>
        <w:gridCol w:w="5184"/>
        <w:gridCol w:w="5184"/>
      </w:tblGrid>
      <w:tr w:rsidR="004D5EA6" w14:paraId="4AF716ED" w14:textId="77777777" w:rsidTr="00406F1D">
        <w:trPr>
          <w:jc w:val="center"/>
        </w:trPr>
        <w:tc>
          <w:tcPr>
            <w:tcW w:w="5328" w:type="dxa"/>
          </w:tcPr>
          <w:p w14:paraId="4592CBF5" w14:textId="77777777" w:rsidR="004D5EA6" w:rsidRDefault="004D5EA6" w:rsidP="00406F1D">
            <w:pPr>
              <w:jc w:val="center"/>
            </w:pPr>
            <w:r>
              <w:rPr>
                <w:noProof/>
              </w:rPr>
              <w:drawing>
                <wp:inline distT="0" distB="0" distL="0" distR="0" wp14:anchorId="3BE7F4CC" wp14:editId="4CA70CBA">
                  <wp:extent cx="2971800" cy="1415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png"/>
                          <pic:cNvPicPr/>
                        </pic:nvPicPr>
                        <pic:blipFill>
                          <a:blip r:embed="rId18"/>
                          <a:stretch>
                            <a:fillRect/>
                          </a:stretch>
                        </pic:blipFill>
                        <pic:spPr>
                          <a:xfrm>
                            <a:off x="0" y="0"/>
                            <a:ext cx="2971800" cy="1415143"/>
                          </a:xfrm>
                          <a:prstGeom prst="rect">
                            <a:avLst/>
                          </a:prstGeom>
                        </pic:spPr>
                      </pic:pic>
                    </a:graphicData>
                  </a:graphic>
                </wp:inline>
              </w:drawing>
            </w:r>
          </w:p>
        </w:tc>
        <w:tc>
          <w:tcPr>
            <w:tcW w:w="5328" w:type="dxa"/>
          </w:tcPr>
          <w:p w14:paraId="2BA74461" w14:textId="77777777" w:rsidR="004D5EA6" w:rsidRDefault="004D5EA6" w:rsidP="00406F1D">
            <w:pPr>
              <w:jc w:val="center"/>
            </w:pPr>
            <w:r>
              <w:rPr>
                <w:noProof/>
              </w:rPr>
              <w:drawing>
                <wp:inline distT="0" distB="0" distL="0" distR="0" wp14:anchorId="3FA01483" wp14:editId="7B3FB05D">
                  <wp:extent cx="2971800" cy="1415143"/>
                  <wp:effectExtent l="0" t="0" r="0" b="0"/>
                  <wp:docPr id="1193053551" name="Picture 119305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or.png"/>
                          <pic:cNvPicPr/>
                        </pic:nvPicPr>
                        <pic:blipFill>
                          <a:blip r:embed="rId19"/>
                          <a:stretch>
                            <a:fillRect/>
                          </a:stretch>
                        </pic:blipFill>
                        <pic:spPr>
                          <a:xfrm>
                            <a:off x="0" y="0"/>
                            <a:ext cx="2971800" cy="1415143"/>
                          </a:xfrm>
                          <a:prstGeom prst="rect">
                            <a:avLst/>
                          </a:prstGeom>
                        </pic:spPr>
                      </pic:pic>
                    </a:graphicData>
                  </a:graphic>
                </wp:inline>
              </w:drawing>
            </w:r>
          </w:p>
        </w:tc>
      </w:tr>
    </w:tbl>
    <w:p w14:paraId="04376C33" w14:textId="77777777" w:rsidR="004D5EA6" w:rsidRDefault="004D5EA6" w:rsidP="004D5EA6">
      <w:r>
        <w:rPr>
          <w:b/>
          <w:color w:val="1F3756"/>
        </w:rPr>
      </w:r>
      <w:r/>
      <w:r>
        <w:t>The interest-rate environment remains much tighter than the low-rate conditions that dominated much of the earlier period. Higher financing costs have reduced housing affordability, raised corporate hurdle rates and made refinancing more expensive for households, businesses and the federal government. This has shifted investment toward projects with stronger expected returns and kept interest-sensitive demand from accelerating as quickly as overall activity.</w:t>
      </w:r>
    </w:p>
    <w:p w14:paraId="5D3E9BCB" w14:textId="77777777" w:rsidR="004D5EA6" w:rsidRDefault="004D5EA6" w:rsidP="004D5EA6">
      <w:r>
        <w:rPr>
          <w:b/>
          <w:color w:val="1F3756"/>
        </w:rPr>
      </w:r>
      <w:r/>
      <w:r>
        <w:t>The labor market has moved toward more balanced conditions after the unusually tight post-pandemic period. Employment and wage income are still supporting household consumption, but softer hiring and fewer vacancies have reduced workers’ bargaining power and eased some wage pressure on employers. That combination supports disinflation, while a further weakening in labor demand would begin to weigh more directly on consumer spending and confidence.</w:t>
      </w:r>
    </w:p>
    <w:p w14:paraId="45EBAE96" w14:textId="77777777" w:rsidR="004D5EA6" w:rsidRDefault="004D5EA6" w:rsidP="004D5EA6">
      <w:pPr>
        <w:pStyle w:val="Heading2"/>
      </w:pPr>
      <w:r>
        <w:t>How the Movements Affect the U.S. Economy</w:t>
      </w:r>
    </w:p>
    <w:p w14:paraId="7D958349" w14:textId="77777777" w:rsidR="004D5EA6" w:rsidRDefault="004D5EA6" w:rsidP="004D5EA6">
      <w:r>
        <w:rPr>
          <w:b/>
          <w:color w:val="1F3756"/>
        </w:rPr>
      </w:r>
      <w:r/>
      <w:r>
        <w:t>Growth &amp; Consumer: Activity remains positive, but slower growth means household demand is providing less acceleration than during the rebound. This reduces the lift to retail, discretionary services and revenue growth, while keeping the expansion dependent on continued income gains and employment stability.</w:t>
      </w:r>
    </w:p>
    <w:p w14:paraId="6BDA7CB4" w14:textId="77777777" w:rsidR="004D5EA6" w:rsidRDefault="004D5EA6" w:rsidP="004D5EA6">
      <w:r>
        <w:rPr>
          <w:b/>
          <w:color w:val="1F3756"/>
        </w:rPr>
      </w:r>
      <w:r/>
      <w:r>
        <w:t>Inflation: Lower inflation has improved real purchasing power and reduced part of the cost pressure facing businesses. However, incomplete disinflation keeps monetary policy relatively restrictive, which continues to affect mortgages, consumer credit and corporate financing.</w:t>
      </w:r>
    </w:p>
    <w:p w14:paraId="37EF08E4" w14:textId="77777777" w:rsidR="004D5EA6" w:rsidRDefault="004D5EA6" w:rsidP="004D5EA6">
      <w:r>
        <w:rPr>
          <w:b/>
          <w:color w:val="1F3756"/>
        </w:rPr>
      </w:r>
      <w:r/>
      <w:r>
        <w:t>Labor: A more balanced labor market is reducing recruitment pressure and wage-cost acceleration for employers, while still generating enough income to support consumption. A sharper rise in unemployment would weaken that support and increase downside risk to household demand.</w:t>
      </w:r>
    </w:p>
    <w:p w14:paraId="6834E446" w14:textId="77777777" w:rsidR="004D5EA6" w:rsidRDefault="004D5EA6" w:rsidP="004D5EA6">
      <w:r>
        <w:rPr>
          <w:b/>
          <w:color w:val="1F3756"/>
        </w:rPr>
      </w:r>
      <w:r/>
      <w:r>
        <w:t>Monetary Conditions: Higher rates continue to raise mortgage payments, corporate borrowing costs and investment hurdle rates. This has slowed interest-sensitive demand and encouraged firms to prioritise higher-return projects, even as credit remains available.</w:t>
      </w:r>
    </w:p>
    <w:p w14:paraId="50263C47" w14:textId="77777777" w:rsidR="004D5EA6" w:rsidRDefault="004D5EA6" w:rsidP="004D5EA6">
      <w:r>
        <w:rPr>
          <w:b/>
          <w:color w:val="1F3756"/>
        </w:rPr>
      </w:r>
      <w:r/>
      <w:proofErr w:type="gramStart"/>
      <w:r/>
      <w:proofErr w:type="gramEnd"/>
      <w:r/>
      <w:r>
        <w:t>Fiscal Position: Large borrowing needs and rising interest costs absorb a greater share of public resources and increase Treasury supply. That can keep upward pressure on longer-term yields, reinforcing financing costs across mortgages, business loans and investment markets.</w:t>
      </w:r>
    </w:p>
    <w:p w14:paraId="65E34A61" w14:textId="77777777" w:rsidR="004D5EA6" w:rsidRDefault="004D5EA6" w:rsidP="004D5EA6">
      <w:r>
        <w:rPr>
          <w:b/>
          <w:color w:val="1F3756"/>
        </w:rPr>
      </w:r>
      <w:r/>
      <w:r>
        <w:t>External Position: The current-account deficit keeps the U.S. reliant on sustained global demand for dollar assets. Strong capital inflows help finance domestic spending and government borrowing, while weaker foreign demand would increase pressure on yields and the dollar.</w:t>
      </w:r>
    </w:p>
    <w:p w14:paraId="5BA95C3B" w14:textId="77777777" w:rsidR="004D5EA6" w:rsidRDefault="004D5EA6" w:rsidP="004D5EA6">
      <w:pPr>
        <w:pStyle w:val="Heading2"/>
      </w:pPr>
      <w:r>
        <w:t>Overall Economic Impact</w:t>
      </w:r>
    </w:p>
    <w:p w14:paraId="0B4419FB" w14:textId="77777777" w:rsidR="004D5EA6" w:rsidRDefault="004D5EA6" w:rsidP="004D5EA6">
      <w:r>
        <w:t>The dashboard does not point to a single dominant weakness. Instead, it shows an economy that is still expanding while adjusting to higher inflation and financing costs than were common before 2020. The strongest support continues to come from employment, income and private demand. The main pressures are inflation, interest-sensitive activity and the fiscal position.</w:t>
      </w:r>
    </w:p>
    <w:p w14:paraId="4EA55DCB" w14:textId="77777777" w:rsidR="004D5EA6" w:rsidRDefault="004D5EA6" w:rsidP="004D5EA6">
      <w:pPr>
        <w:pStyle w:val="Heading2"/>
      </w:pPr>
      <w:r>
        <w:t>Source Notes</w:t>
      </w:r>
    </w:p>
    <w:p w14:paraId="390C03A5" w14:textId="77777777" w:rsidR="004D5EA6" w:rsidRDefault="004D5EA6" w:rsidP="004D5EA6">
      <w:pPr>
        <w:pStyle w:val="ListBullet"/>
        <w:spacing w:after="60"/>
      </w:pPr>
      <w:r>
        <w:t>U.S. Bureau of Economic Analysis — GDP and Personal Income and Outlays.</w:t>
      </w:r>
    </w:p>
    <w:p w14:paraId="1CF4B50C" w14:textId="77777777" w:rsidR="004D5EA6" w:rsidRDefault="004D5EA6" w:rsidP="004D5EA6">
      <w:pPr>
        <w:pStyle w:val="ListBullet"/>
        <w:spacing w:after="60"/>
      </w:pPr>
      <w:r>
        <w:t>U.S. Bureau of Labor Statistics — CPI, Employment Situation, earnings, PPI, import/export prices and ECI.</w:t>
      </w:r>
    </w:p>
    <w:p w14:paraId="72D25A9C" w14:textId="77777777" w:rsidR="004D5EA6" w:rsidRDefault="004D5EA6" w:rsidP="004D5EA6">
      <w:pPr>
        <w:pStyle w:val="ListBullet"/>
        <w:spacing w:after="60"/>
      </w:pPr>
      <w:r>
        <w:t>Federal Reserve — monetary-policy and effective federal funds rate series.</w:t>
      </w:r>
    </w:p>
    <w:p w14:paraId="14971927" w14:textId="0AEAF6EE" w:rsidR="004D5EA6" w:rsidRPr="004D5EA6" w:rsidRDefault="004D5EA6" w:rsidP="004D5EA6">
      <w:r>
        <w:t>Congressional Budget Office — FY2026 budget baseline and debt projection</w:t>
      </w:r>
    </w:p>
    <w:p w14:paraId="1000A37A" w14:textId="7351EE42" w:rsidR="000F56DE" w:rsidRDefault="000F56DE">
      <w:pPr>
        <w:jc w:val="center"/>
      </w:pPr>
    </w:p>
    <w:p w14:paraId="6DE27AF2" w14:textId="77777777" w:rsidR="00515775" w:rsidRDefault="00515775">
      <w:pPr>
        <w:pStyle w:val="Kicker"/>
      </w:pPr>
    </w:p>
    <w:p w14:paraId="4CE46F5E" w14:textId="77777777" w:rsidR="00515775" w:rsidRDefault="00515775">
      <w:pPr>
        <w:pStyle w:val="Kicker"/>
      </w:pPr>
    </w:p>
    <w:p w14:paraId="491FDCF4" w14:textId="77777777" w:rsidR="00515775" w:rsidRDefault="00515775">
      <w:pPr>
        <w:pStyle w:val="Kicker"/>
      </w:pPr>
    </w:p>
    <w:p w14:paraId="7B927BC2" w14:textId="72913EB7" w:rsidR="000F56DE" w:rsidRDefault="00000000">
      <w:pPr>
        <w:pStyle w:val="Kicker"/>
      </w:pPr>
      <w:r>
        <w:lastRenderedPageBreak/>
        <w:t xml:space="preserve">CHAPTER </w:t>
      </w:r>
      <w:proofErr w:type="gramStart"/>
      <w:r>
        <w:t>04  /</w:t>
      </w:r>
      <w:proofErr w:type="gramEnd"/>
      <w:r>
        <w:t xml:space="preserve">  PAGE </w:t>
      </w:r>
      <w:proofErr w:type="gramStart"/>
      <w:r>
        <w:t>006  /</w:t>
      </w:r>
      <w:proofErr w:type="gramEnd"/>
      <w:r>
        <w:t xml:space="preserve">  BRANDESSENCE U.S. MACRO VIEW</w:t>
      </w:r>
    </w:p>
    <w:p w14:paraId="651ED199" w14:textId="5FB21963" w:rsidR="006F42C9" w:rsidRDefault="006F42C9" w:rsidP="006F42C9">
      <w:pPr>
        <w:pStyle w:val="Heading1"/>
      </w:pPr>
      <w:r>
        <w:t>4. THE BRANDESSENCE U.S. MACRO VIEW</w:t>
      </w:r>
    </w:p>
    <w:p w14:paraId="6A5BBBFD" w14:textId="77777777" w:rsidR="006F42C9" w:rsidRDefault="006F42C9" w:rsidP="006F42C9">
      <w:r>
        <w:rPr>
          <w:i/>
          <w:color w:val="5A5A5A"/>
        </w:rPr>
        <w:t xml:space="preserve">Proprietary Interpretation | What </w:t>
      </w:r>
      <w:proofErr w:type="spellStart"/>
      <w:r>
        <w:rPr>
          <w:i/>
          <w:color w:val="5A5A5A"/>
        </w:rPr>
        <w:t>BrandEssence</w:t>
      </w:r>
      <w:proofErr w:type="spellEnd"/>
      <w:r>
        <w:rPr>
          <w:i/>
          <w:color w:val="5A5A5A"/>
        </w:rPr>
        <w:t xml:space="preserve"> believes the data means</w:t>
      </w:r>
    </w:p>
    <w:p w14:paraId="5C47B7D8" w14:textId="77777777" w:rsidR="006F42C9" w:rsidRDefault="006F42C9" w:rsidP="006F42C9">
      <w:proofErr w:type="spellStart"/>
      <w:r>
        <w:t>BrandEssence</w:t>
      </w:r>
      <w:proofErr w:type="spellEnd"/>
      <w:r>
        <w:t xml:space="preserve"> sees the U.S. economy moving into a more selective phase of growth. The broad post-pandemic rebound has largely passed, but this does not necessarily </w:t>
      </w:r>
      <w:proofErr w:type="gramStart"/>
      <w:r>
        <w:t>point</w:t>
      </w:r>
      <w:proofErr w:type="gramEnd"/>
      <w:r>
        <w:t xml:space="preserve"> to a weak economic cycle. Growth is becoming more dependent on productivity, technology investment and the ability of households and businesses to operate effectively in a higher-cost financial environment.</w:t>
      </w:r>
    </w:p>
    <w:p w14:paraId="4664B8A1" w14:textId="77777777" w:rsidR="006F42C9" w:rsidRDefault="006F42C9" w:rsidP="006F42C9">
      <w:r>
        <w:t>Our view is that the U.S. still has meaningful economic resilience. Consumer demand and employment continue to provide support, while technology, AI and infrastructure investment are creating a new source of capital spending. At the same time, fiscal pressure, long-term borrowing costs and policy uncertainty have become more important constraints than they were during the earlier low-rate period.</w:t>
      </w:r>
    </w:p>
    <w:p w14:paraId="210BC631" w14:textId="77777777" w:rsidR="006F42C9" w:rsidRDefault="006F42C9" w:rsidP="006F42C9">
      <w:pPr>
        <w:pStyle w:val="Heading2"/>
      </w:pPr>
      <w:proofErr w:type="spellStart"/>
      <w:r>
        <w:t>BrandEssence</w:t>
      </w:r>
      <w:proofErr w:type="spellEnd"/>
      <w:r>
        <w:t xml:space="preserve"> Core Macro View</w:t>
      </w:r>
    </w:p>
    <w:p w14:paraId="5BBF0723" w14:textId="77777777" w:rsidR="006F42C9" w:rsidRDefault="006F42C9" w:rsidP="006F42C9">
      <w:r>
        <w:rPr>
          <w:b/>
          <w:color w:val="1F3756"/>
        </w:rPr>
        <w:t xml:space="preserve">Growth: </w:t>
      </w:r>
      <w:r>
        <w:t>Resilient, but more moderate. The economy can continue to expand without returning to the unusually strong recovery pace.</w:t>
      </w:r>
    </w:p>
    <w:p w14:paraId="4A81B28A" w14:textId="77777777" w:rsidR="006F42C9" w:rsidRDefault="006F42C9" w:rsidP="006F42C9">
      <w:r>
        <w:rPr>
          <w:b/>
          <w:color w:val="1F3756"/>
        </w:rPr>
        <w:t xml:space="preserve">Consumer: </w:t>
      </w:r>
      <w:r>
        <w:t xml:space="preserve">Still supportive, but more selective. Affordability and credit costs </w:t>
      </w:r>
      <w:proofErr w:type="gramStart"/>
      <w:r>
        <w:t>are playing</w:t>
      </w:r>
      <w:proofErr w:type="gramEnd"/>
      <w:r>
        <w:t xml:space="preserve"> a larger role in spending decisions.</w:t>
      </w:r>
    </w:p>
    <w:p w14:paraId="6CAB3664" w14:textId="77777777" w:rsidR="006F42C9" w:rsidRDefault="006F42C9" w:rsidP="006F42C9">
      <w:r>
        <w:rPr>
          <w:b/>
          <w:color w:val="1F3756"/>
        </w:rPr>
        <w:t xml:space="preserve">Labor Market: </w:t>
      </w:r>
      <w:r>
        <w:t>Cooling rather than collapsing. A more balanced labor market can reduce wage pressure without creating a major demand shock.</w:t>
      </w:r>
    </w:p>
    <w:p w14:paraId="7F52877F" w14:textId="77777777" w:rsidR="006F42C9" w:rsidRDefault="006F42C9" w:rsidP="006F42C9">
      <w:r>
        <w:rPr>
          <w:b/>
          <w:color w:val="1F3756"/>
        </w:rPr>
        <w:t xml:space="preserve">Inflation: </w:t>
      </w:r>
      <w:proofErr w:type="gramStart"/>
      <w:r>
        <w:t>Improving, but</w:t>
      </w:r>
      <w:proofErr w:type="gramEnd"/>
      <w:r>
        <w:t xml:space="preserve"> not fully resolved. The direction is better, although price stability still matters for rates and confidence.</w:t>
      </w:r>
    </w:p>
    <w:p w14:paraId="1C250601" w14:textId="77777777" w:rsidR="006F42C9" w:rsidRDefault="006F42C9" w:rsidP="006F42C9">
      <w:r>
        <w:rPr>
          <w:b/>
          <w:color w:val="1F3756"/>
        </w:rPr>
        <w:t xml:space="preserve">Monetary Conditions: </w:t>
      </w:r>
      <w:r>
        <w:t xml:space="preserve">Less restrictive </w:t>
      </w:r>
      <w:proofErr w:type="gramStart"/>
      <w:r>
        <w:t>over time</w:t>
      </w:r>
      <w:proofErr w:type="gramEnd"/>
      <w:r>
        <w:t>, but not a return to the old low-rate environment. Financing discipline remains important.</w:t>
      </w:r>
    </w:p>
    <w:p w14:paraId="5364195F" w14:textId="77777777" w:rsidR="006F42C9" w:rsidRDefault="006F42C9" w:rsidP="006F42C9">
      <w:r>
        <w:rPr>
          <w:b/>
          <w:color w:val="1F3756"/>
        </w:rPr>
        <w:t xml:space="preserve">Fiscal Position: </w:t>
      </w:r>
      <w:r>
        <w:t>The clearest structural vulnerability. Persistent deficits and interest costs can keep pressure on long-term yields.</w:t>
      </w:r>
    </w:p>
    <w:p w14:paraId="422E3684" w14:textId="77777777" w:rsidR="006F42C9" w:rsidRDefault="006F42C9" w:rsidP="006F42C9">
      <w:r>
        <w:rPr>
          <w:b/>
          <w:color w:val="1F3756"/>
        </w:rPr>
        <w:t xml:space="preserve">Financial System: </w:t>
      </w:r>
      <w:r>
        <w:t>Broadly resilient, although refinancing risk and pockets of credit stress still need to be watched.</w:t>
      </w:r>
    </w:p>
    <w:p w14:paraId="01EE3A1A" w14:textId="77777777" w:rsidR="006F42C9" w:rsidRDefault="006F42C9" w:rsidP="006F42C9">
      <w:r>
        <w:rPr>
          <w:b/>
          <w:color w:val="1F3756"/>
        </w:rPr>
        <w:t xml:space="preserve">Technology &amp; Productivity: </w:t>
      </w:r>
      <w:r>
        <w:t>The strongest medium-term opportunity. AI, data centers, automation and infrastructure can support investment and productivity.</w:t>
      </w:r>
    </w:p>
    <w:p w14:paraId="2B37AA40" w14:textId="77777777" w:rsidR="006F42C9" w:rsidRDefault="006F42C9" w:rsidP="006F42C9">
      <w:r>
        <w:br w:type="page"/>
      </w:r>
    </w:p>
    <w:p w14:paraId="118B1293" w14:textId="77777777" w:rsidR="006F42C9" w:rsidRDefault="006F42C9" w:rsidP="006F42C9">
      <w:pPr>
        <w:pStyle w:val="Heading1"/>
      </w:pPr>
      <w:proofErr w:type="spellStart"/>
      <w:r>
        <w:lastRenderedPageBreak/>
        <w:t>BrandEssence</w:t>
      </w:r>
      <w:proofErr w:type="spellEnd"/>
      <w:r>
        <w:t xml:space="preserve"> U.S. Macro Resilience Wheel</w:t>
      </w:r>
    </w:p>
    <w:p w14:paraId="1F545A29" w14:textId="77777777" w:rsidR="006F42C9" w:rsidRDefault="006F42C9" w:rsidP="006F42C9">
      <w:r>
        <w:t xml:space="preserve">The wheel summarizes </w:t>
      </w:r>
      <w:proofErr w:type="spellStart"/>
      <w:r>
        <w:t>BrandEssence's</w:t>
      </w:r>
      <w:proofErr w:type="spellEnd"/>
      <w:r>
        <w:t xml:space="preserve"> internal view of the main forces supporting or constraining the U.S. economy. A higher score represents greater resilience or a stronger structural opportunity. These are proprietary assessment scores, not official statistics.</w:t>
      </w:r>
    </w:p>
    <w:p w14:paraId="021398B0" w14:textId="77777777" w:rsidR="006F42C9" w:rsidRDefault="006F42C9" w:rsidP="006F42C9">
      <w:pPr>
        <w:jc w:val="center"/>
      </w:pPr>
      <w:r>
        <w:rPr>
          <w:noProof/>
        </w:rPr>
        <w:drawing>
          <wp:inline distT="0" distB="0" distL="0" distR="0" wp14:anchorId="7AE61F4E" wp14:editId="694BF1AA">
            <wp:extent cx="4389120" cy="4402367"/>
            <wp:effectExtent l="0" t="0" r="0" b="0"/>
            <wp:docPr id="940422866" name="Picture 94042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resilience_wheel.png"/>
                    <pic:cNvPicPr/>
                  </pic:nvPicPr>
                  <pic:blipFill>
                    <a:blip r:embed="rId20"/>
                    <a:stretch>
                      <a:fillRect/>
                    </a:stretch>
                  </pic:blipFill>
                  <pic:spPr>
                    <a:xfrm>
                      <a:off x="0" y="0"/>
                      <a:ext cx="4389120" cy="4402367"/>
                    </a:xfrm>
                    <a:prstGeom prst="rect">
                      <a:avLst/>
                    </a:prstGeom>
                  </pic:spPr>
                </pic:pic>
              </a:graphicData>
            </a:graphic>
          </wp:inline>
        </w:drawing>
      </w:r>
    </w:p>
    <w:p w14:paraId="44D5377B" w14:textId="77777777" w:rsidR="006F42C9" w:rsidRDefault="006F42C9" w:rsidP="006F42C9">
      <w:r>
        <w:rPr>
          <w:b/>
          <w:color w:val="1F3756"/>
        </w:rPr>
      </w:r>
      <w:r>
        <w:t>Technology and productivity stand out as the strongest part of the current macro picture, supported by relatively resilient growth and a still-functional financial system. Fiscal conditions are the weakest area because persistent deficits and higher interest costs create a longer-term constraint. Inflation and monetary conditions sit between these two extremes: both have improved, but neither has fully returned to the environment that existed before the pandemic.</w:t>
      </w:r>
    </w:p>
    <w:p w14:paraId="42BE5595" w14:textId="77777777" w:rsidR="006F42C9" w:rsidRDefault="006F42C9" w:rsidP="006F42C9">
      <w:pPr>
        <w:pStyle w:val="Heading2"/>
      </w:pPr>
      <w:proofErr w:type="spellStart"/>
      <w:r>
        <w:t>BrandEssence</w:t>
      </w:r>
      <w:proofErr w:type="spellEnd"/>
      <w:r>
        <w:t xml:space="preserve"> Resilience Scores</w:t>
      </w:r>
    </w:p>
    <w:tbl>
      <w:tblPr>
        <w:tblW w:w="0" w:type="auto"/>
        <w:jc w:val="center"/>
        <w:tblLook w:val="04A0" w:firstRow="1" w:lastRow="0" w:firstColumn="1" w:lastColumn="0" w:noHBand="0" w:noVBand="1"/>
      </w:tblPr>
      <w:tblGrid>
        <w:gridCol w:w="3456"/>
        <w:gridCol w:w="3456"/>
        <w:gridCol w:w="3456"/>
      </w:tblGrid>
      <w:tr w:rsidR="006F42C9" w14:paraId="20834747" w14:textId="77777777" w:rsidTr="00406F1D">
        <w:trPr>
          <w:jc w:val="center"/>
        </w:trPr>
        <w:tc>
          <w:tcPr>
            <w:tcW w:w="3456" w:type="dxa"/>
            <w:shd w:val="clear" w:color="auto" w:fill="1F3756"/>
          </w:tcPr>
          <w:p w14:paraId="1AE61531" w14:textId="77777777" w:rsidR="006F42C9" w:rsidRDefault="006F42C9" w:rsidP="00406F1D">
            <w:r>
              <w:rPr>
                <w:b/>
                <w:color w:val="FFFFFF"/>
                <w:sz w:val="15"/>
              </w:rPr>
              <w:t>Dimension</w:t>
            </w:r>
          </w:p>
        </w:tc>
        <w:tc>
          <w:tcPr>
            <w:tcW w:w="3456" w:type="dxa"/>
            <w:shd w:val="clear" w:color="auto" w:fill="1F3756"/>
          </w:tcPr>
          <w:p w14:paraId="07C7A709" w14:textId="77777777" w:rsidR="006F42C9" w:rsidRDefault="006F42C9" w:rsidP="00406F1D">
            <w:r>
              <w:rPr>
                <w:b/>
                <w:color w:val="FFFFFF"/>
                <w:sz w:val="15"/>
              </w:rPr>
              <w:t>Score / 5</w:t>
            </w:r>
          </w:p>
        </w:tc>
        <w:tc>
          <w:tcPr>
            <w:tcW w:w="3456" w:type="dxa"/>
            <w:shd w:val="clear" w:color="auto" w:fill="1F3756"/>
          </w:tcPr>
          <w:p w14:paraId="115FBA85" w14:textId="77777777" w:rsidR="006F42C9" w:rsidRDefault="006F42C9" w:rsidP="00406F1D">
            <w:proofErr w:type="spellStart"/>
            <w:r>
              <w:rPr>
                <w:b/>
                <w:color w:val="FFFFFF"/>
                <w:sz w:val="15"/>
              </w:rPr>
              <w:t>BrandEssence</w:t>
            </w:r>
            <w:proofErr w:type="spellEnd"/>
            <w:r>
              <w:rPr>
                <w:b/>
                <w:color w:val="FFFFFF"/>
                <w:sz w:val="15"/>
              </w:rPr>
              <w:t xml:space="preserve"> Reading</w:t>
            </w:r>
          </w:p>
        </w:tc>
      </w:tr>
      <w:tr w:rsidR="006F42C9" w14:paraId="1783005F" w14:textId="77777777" w:rsidTr="00406F1D">
        <w:trPr>
          <w:jc w:val="center"/>
        </w:trPr>
        <w:tc>
          <w:tcPr>
            <w:tcW w:w="3456" w:type="dxa"/>
          </w:tcPr>
          <w:p w14:paraId="675222CB" w14:textId="77777777" w:rsidR="006F42C9" w:rsidRDefault="006F42C9" w:rsidP="00406F1D">
            <w:pPr>
              <w:spacing w:after="0"/>
            </w:pPr>
            <w:r>
              <w:rPr>
                <w:sz w:val="14"/>
              </w:rPr>
              <w:t>Growth</w:t>
            </w:r>
          </w:p>
        </w:tc>
        <w:tc>
          <w:tcPr>
            <w:tcW w:w="3456" w:type="dxa"/>
          </w:tcPr>
          <w:p w14:paraId="550DA1D5" w14:textId="77777777" w:rsidR="006F42C9" w:rsidRDefault="006F42C9" w:rsidP="00406F1D">
            <w:pPr>
              <w:spacing w:after="0"/>
            </w:pPr>
            <w:r>
              <w:rPr>
                <w:sz w:val="14"/>
              </w:rPr>
              <w:t>4.0</w:t>
            </w:r>
          </w:p>
        </w:tc>
        <w:tc>
          <w:tcPr>
            <w:tcW w:w="3456" w:type="dxa"/>
          </w:tcPr>
          <w:p w14:paraId="07064B4A" w14:textId="77777777" w:rsidR="006F42C9" w:rsidRDefault="006F42C9" w:rsidP="00406F1D">
            <w:pPr>
              <w:spacing w:after="0"/>
            </w:pPr>
            <w:r>
              <w:rPr>
                <w:sz w:val="14"/>
              </w:rPr>
              <w:t>Resilient</w:t>
            </w:r>
          </w:p>
        </w:tc>
      </w:tr>
      <w:tr w:rsidR="006F42C9" w14:paraId="692E0287" w14:textId="77777777" w:rsidTr="00406F1D">
        <w:trPr>
          <w:jc w:val="center"/>
        </w:trPr>
        <w:tc>
          <w:tcPr>
            <w:tcW w:w="3456" w:type="dxa"/>
          </w:tcPr>
          <w:p w14:paraId="17B1EF9E" w14:textId="77777777" w:rsidR="006F42C9" w:rsidRDefault="006F42C9" w:rsidP="00406F1D">
            <w:pPr>
              <w:spacing w:after="0"/>
            </w:pPr>
            <w:r>
              <w:rPr>
                <w:sz w:val="14"/>
              </w:rPr>
              <w:t>Consumer</w:t>
            </w:r>
          </w:p>
        </w:tc>
        <w:tc>
          <w:tcPr>
            <w:tcW w:w="3456" w:type="dxa"/>
          </w:tcPr>
          <w:p w14:paraId="20422F3B" w14:textId="77777777" w:rsidR="006F42C9" w:rsidRDefault="006F42C9" w:rsidP="00406F1D">
            <w:pPr>
              <w:spacing w:after="0"/>
            </w:pPr>
            <w:r>
              <w:rPr>
                <w:sz w:val="14"/>
              </w:rPr>
              <w:t>3.5</w:t>
            </w:r>
          </w:p>
        </w:tc>
        <w:tc>
          <w:tcPr>
            <w:tcW w:w="3456" w:type="dxa"/>
          </w:tcPr>
          <w:p w14:paraId="261AB211" w14:textId="77777777" w:rsidR="006F42C9" w:rsidRDefault="006F42C9" w:rsidP="00406F1D">
            <w:pPr>
              <w:spacing w:after="0"/>
            </w:pPr>
            <w:r>
              <w:rPr>
                <w:sz w:val="14"/>
              </w:rPr>
              <w:t>Moderately resilient</w:t>
            </w:r>
          </w:p>
        </w:tc>
      </w:tr>
      <w:tr w:rsidR="006F42C9" w14:paraId="40C98F8B" w14:textId="77777777" w:rsidTr="00406F1D">
        <w:trPr>
          <w:jc w:val="center"/>
        </w:trPr>
        <w:tc>
          <w:tcPr>
            <w:tcW w:w="3456" w:type="dxa"/>
          </w:tcPr>
          <w:p w14:paraId="2523D268" w14:textId="77777777" w:rsidR="006F42C9" w:rsidRDefault="006F42C9" w:rsidP="00406F1D">
            <w:pPr>
              <w:spacing w:after="0"/>
            </w:pPr>
            <w:r>
              <w:rPr>
                <w:sz w:val="14"/>
              </w:rPr>
              <w:t>Labor</w:t>
            </w:r>
          </w:p>
        </w:tc>
        <w:tc>
          <w:tcPr>
            <w:tcW w:w="3456" w:type="dxa"/>
          </w:tcPr>
          <w:p w14:paraId="6A4B9FB1" w14:textId="77777777" w:rsidR="006F42C9" w:rsidRDefault="006F42C9" w:rsidP="00406F1D">
            <w:pPr>
              <w:spacing w:after="0"/>
            </w:pPr>
            <w:r>
              <w:rPr>
                <w:sz w:val="14"/>
              </w:rPr>
              <w:t>3.7</w:t>
            </w:r>
          </w:p>
        </w:tc>
        <w:tc>
          <w:tcPr>
            <w:tcW w:w="3456" w:type="dxa"/>
          </w:tcPr>
          <w:p w14:paraId="723A472D" w14:textId="77777777" w:rsidR="006F42C9" w:rsidRDefault="006F42C9" w:rsidP="00406F1D">
            <w:pPr>
              <w:spacing w:after="0"/>
            </w:pPr>
            <w:r>
              <w:rPr>
                <w:sz w:val="14"/>
              </w:rPr>
              <w:t>Stable / cooling</w:t>
            </w:r>
          </w:p>
        </w:tc>
      </w:tr>
      <w:tr w:rsidR="006F42C9" w14:paraId="60E4F388" w14:textId="77777777" w:rsidTr="00406F1D">
        <w:trPr>
          <w:jc w:val="center"/>
        </w:trPr>
        <w:tc>
          <w:tcPr>
            <w:tcW w:w="3456" w:type="dxa"/>
          </w:tcPr>
          <w:p w14:paraId="0F94ADA0" w14:textId="77777777" w:rsidR="006F42C9" w:rsidRDefault="006F42C9" w:rsidP="00406F1D">
            <w:pPr>
              <w:spacing w:after="0"/>
            </w:pPr>
            <w:r>
              <w:rPr>
                <w:sz w:val="14"/>
              </w:rPr>
              <w:t>Inflation</w:t>
            </w:r>
          </w:p>
        </w:tc>
        <w:tc>
          <w:tcPr>
            <w:tcW w:w="3456" w:type="dxa"/>
          </w:tcPr>
          <w:p w14:paraId="55D59CB4" w14:textId="77777777" w:rsidR="006F42C9" w:rsidRDefault="006F42C9" w:rsidP="00406F1D">
            <w:pPr>
              <w:spacing w:after="0"/>
            </w:pPr>
            <w:r>
              <w:rPr>
                <w:sz w:val="14"/>
              </w:rPr>
              <w:t>3.2</w:t>
            </w:r>
          </w:p>
        </w:tc>
        <w:tc>
          <w:tcPr>
            <w:tcW w:w="3456" w:type="dxa"/>
          </w:tcPr>
          <w:p w14:paraId="7EE98D76" w14:textId="77777777" w:rsidR="006F42C9" w:rsidRDefault="006F42C9" w:rsidP="00406F1D">
            <w:pPr>
              <w:spacing w:after="0"/>
            </w:pPr>
            <w:r>
              <w:rPr>
                <w:sz w:val="14"/>
              </w:rPr>
              <w:t>Improving</w:t>
            </w:r>
          </w:p>
        </w:tc>
      </w:tr>
      <w:tr w:rsidR="006F42C9" w14:paraId="05F5BADA" w14:textId="77777777" w:rsidTr="00406F1D">
        <w:trPr>
          <w:jc w:val="center"/>
        </w:trPr>
        <w:tc>
          <w:tcPr>
            <w:tcW w:w="3456" w:type="dxa"/>
          </w:tcPr>
          <w:p w14:paraId="4A5F986C" w14:textId="77777777" w:rsidR="006F42C9" w:rsidRDefault="006F42C9" w:rsidP="00406F1D">
            <w:pPr>
              <w:spacing w:after="0"/>
            </w:pPr>
            <w:r>
              <w:rPr>
                <w:sz w:val="14"/>
              </w:rPr>
              <w:t>Monetary</w:t>
            </w:r>
          </w:p>
        </w:tc>
        <w:tc>
          <w:tcPr>
            <w:tcW w:w="3456" w:type="dxa"/>
          </w:tcPr>
          <w:p w14:paraId="50675647" w14:textId="77777777" w:rsidR="006F42C9" w:rsidRDefault="006F42C9" w:rsidP="00406F1D">
            <w:pPr>
              <w:spacing w:after="0"/>
            </w:pPr>
            <w:r>
              <w:rPr>
                <w:sz w:val="14"/>
              </w:rPr>
              <w:t>3.0</w:t>
            </w:r>
          </w:p>
        </w:tc>
        <w:tc>
          <w:tcPr>
            <w:tcW w:w="3456" w:type="dxa"/>
          </w:tcPr>
          <w:p w14:paraId="2765C2FA" w14:textId="77777777" w:rsidR="006F42C9" w:rsidRDefault="006F42C9" w:rsidP="00406F1D">
            <w:pPr>
              <w:spacing w:after="0"/>
            </w:pPr>
            <w:r>
              <w:rPr>
                <w:sz w:val="14"/>
              </w:rPr>
              <w:t>Still restrictive</w:t>
            </w:r>
          </w:p>
        </w:tc>
      </w:tr>
      <w:tr w:rsidR="006F42C9" w14:paraId="6D973ECF" w14:textId="77777777" w:rsidTr="00406F1D">
        <w:trPr>
          <w:jc w:val="center"/>
        </w:trPr>
        <w:tc>
          <w:tcPr>
            <w:tcW w:w="3456" w:type="dxa"/>
          </w:tcPr>
          <w:p w14:paraId="3F0E025B" w14:textId="77777777" w:rsidR="006F42C9" w:rsidRDefault="006F42C9" w:rsidP="00406F1D">
            <w:pPr>
              <w:spacing w:after="0"/>
            </w:pPr>
            <w:r>
              <w:rPr>
                <w:sz w:val="14"/>
              </w:rPr>
              <w:t>Fiscal</w:t>
            </w:r>
          </w:p>
        </w:tc>
        <w:tc>
          <w:tcPr>
            <w:tcW w:w="3456" w:type="dxa"/>
          </w:tcPr>
          <w:p w14:paraId="177D29A3" w14:textId="77777777" w:rsidR="006F42C9" w:rsidRDefault="006F42C9" w:rsidP="00406F1D">
            <w:pPr>
              <w:spacing w:after="0"/>
            </w:pPr>
            <w:r>
              <w:rPr>
                <w:sz w:val="14"/>
              </w:rPr>
              <w:t>2.2</w:t>
            </w:r>
          </w:p>
        </w:tc>
        <w:tc>
          <w:tcPr>
            <w:tcW w:w="3456" w:type="dxa"/>
          </w:tcPr>
          <w:p w14:paraId="37B31E1E" w14:textId="77777777" w:rsidR="006F42C9" w:rsidRDefault="006F42C9" w:rsidP="00406F1D">
            <w:pPr>
              <w:spacing w:after="0"/>
            </w:pPr>
            <w:r>
              <w:rPr>
                <w:sz w:val="14"/>
              </w:rPr>
              <w:t>Vulnerable</w:t>
            </w:r>
          </w:p>
        </w:tc>
      </w:tr>
      <w:tr w:rsidR="006F42C9" w14:paraId="5613D368" w14:textId="77777777" w:rsidTr="00406F1D">
        <w:trPr>
          <w:jc w:val="center"/>
        </w:trPr>
        <w:tc>
          <w:tcPr>
            <w:tcW w:w="3456" w:type="dxa"/>
          </w:tcPr>
          <w:p w14:paraId="5E518A33" w14:textId="77777777" w:rsidR="006F42C9" w:rsidRDefault="006F42C9" w:rsidP="00406F1D">
            <w:pPr>
              <w:spacing w:after="0"/>
            </w:pPr>
            <w:r>
              <w:rPr>
                <w:sz w:val="14"/>
              </w:rPr>
              <w:t>Financial</w:t>
            </w:r>
          </w:p>
        </w:tc>
        <w:tc>
          <w:tcPr>
            <w:tcW w:w="3456" w:type="dxa"/>
          </w:tcPr>
          <w:p w14:paraId="792FC23B" w14:textId="77777777" w:rsidR="006F42C9" w:rsidRDefault="006F42C9" w:rsidP="00406F1D">
            <w:pPr>
              <w:spacing w:after="0"/>
            </w:pPr>
            <w:r>
              <w:rPr>
                <w:sz w:val="14"/>
              </w:rPr>
              <w:t>3.8</w:t>
            </w:r>
          </w:p>
        </w:tc>
        <w:tc>
          <w:tcPr>
            <w:tcW w:w="3456" w:type="dxa"/>
          </w:tcPr>
          <w:p w14:paraId="383B4D5E" w14:textId="77777777" w:rsidR="006F42C9" w:rsidRDefault="006F42C9" w:rsidP="00406F1D">
            <w:pPr>
              <w:spacing w:after="0"/>
            </w:pPr>
            <w:r>
              <w:rPr>
                <w:sz w:val="14"/>
              </w:rPr>
              <w:t>Relatively resilient</w:t>
            </w:r>
          </w:p>
        </w:tc>
      </w:tr>
      <w:tr w:rsidR="006F42C9" w14:paraId="4A8105FA" w14:textId="77777777" w:rsidTr="00406F1D">
        <w:trPr>
          <w:jc w:val="center"/>
        </w:trPr>
        <w:tc>
          <w:tcPr>
            <w:tcW w:w="3456" w:type="dxa"/>
          </w:tcPr>
          <w:p w14:paraId="51A228D4" w14:textId="77777777" w:rsidR="006F42C9" w:rsidRDefault="006F42C9" w:rsidP="00406F1D">
            <w:pPr>
              <w:spacing w:after="0"/>
            </w:pPr>
            <w:r>
              <w:rPr>
                <w:sz w:val="14"/>
              </w:rPr>
              <w:t>Tech/Productivity</w:t>
            </w:r>
          </w:p>
        </w:tc>
        <w:tc>
          <w:tcPr>
            <w:tcW w:w="3456" w:type="dxa"/>
          </w:tcPr>
          <w:p w14:paraId="55052402" w14:textId="77777777" w:rsidR="006F42C9" w:rsidRDefault="006F42C9" w:rsidP="00406F1D">
            <w:pPr>
              <w:spacing w:after="0"/>
            </w:pPr>
            <w:r>
              <w:rPr>
                <w:sz w:val="14"/>
              </w:rPr>
              <w:t>4.6</w:t>
            </w:r>
          </w:p>
        </w:tc>
        <w:tc>
          <w:tcPr>
            <w:tcW w:w="3456" w:type="dxa"/>
          </w:tcPr>
          <w:p w14:paraId="41433625" w14:textId="77777777" w:rsidR="006F42C9" w:rsidRDefault="006F42C9" w:rsidP="00406F1D">
            <w:pPr>
              <w:spacing w:after="0"/>
            </w:pPr>
            <w:r>
              <w:rPr>
                <w:sz w:val="14"/>
              </w:rPr>
              <w:t>Strong opportunity</w:t>
            </w:r>
          </w:p>
        </w:tc>
      </w:tr>
    </w:tbl>
    <w:p w14:paraId="52CF2E2C" w14:textId="77777777" w:rsidR="006F42C9" w:rsidRDefault="006F42C9" w:rsidP="006F42C9">
      <w:r>
        <w:br w:type="page"/>
      </w:r>
    </w:p>
    <w:p w14:paraId="712B2C77" w14:textId="77777777" w:rsidR="006F42C9" w:rsidRDefault="006F42C9" w:rsidP="006F42C9">
      <w:pPr>
        <w:pStyle w:val="Heading1"/>
      </w:pPr>
      <w:r>
        <w:lastRenderedPageBreak/>
        <w:t xml:space="preserve">Where </w:t>
      </w:r>
      <w:proofErr w:type="spellStart"/>
      <w:r>
        <w:t>BrandEssence</w:t>
      </w:r>
      <w:proofErr w:type="spellEnd"/>
      <w:r>
        <w:t xml:space="preserve"> Is Positive</w:t>
      </w:r>
    </w:p>
    <w:p w14:paraId="2055D34F" w14:textId="77777777" w:rsidR="006F42C9" w:rsidRDefault="006F42C9" w:rsidP="006F42C9">
      <w:r>
        <w:rPr>
          <w:b/>
          <w:color w:val="1F3756"/>
        </w:rPr>
        <w:t xml:space="preserve">AI and Data Centers: </w:t>
      </w:r>
      <w:r>
        <w:t>The investment cycle is spreading beyond software and semiconductors into construction, power, cooling, networking and grid infrastructure.</w:t>
      </w:r>
    </w:p>
    <w:p w14:paraId="17983DC4" w14:textId="77777777" w:rsidR="006F42C9" w:rsidRDefault="006F42C9" w:rsidP="006F42C9">
      <w:r>
        <w:rPr>
          <w:b/>
          <w:color w:val="1F3756"/>
        </w:rPr>
        <w:t xml:space="preserve">Productivity: </w:t>
      </w:r>
      <w:r>
        <w:t>Wider adoption of AI and automation creates a path for firms to improve efficiency even when labor and financing costs remain higher.</w:t>
      </w:r>
    </w:p>
    <w:p w14:paraId="4686474B" w14:textId="77777777" w:rsidR="006F42C9" w:rsidRDefault="006F42C9" w:rsidP="006F42C9">
      <w:r>
        <w:rPr>
          <w:b/>
          <w:color w:val="1F3756"/>
        </w:rPr>
        <w:t xml:space="preserve">Private-Sector Adaptability: </w:t>
      </w:r>
      <w:r>
        <w:t>U.S. companies have repeatedly adjusted to changing demand, supply conditions and financing costs, supporting overall resilience.</w:t>
      </w:r>
    </w:p>
    <w:p w14:paraId="2869DFD7" w14:textId="77777777" w:rsidR="006F42C9" w:rsidRDefault="006F42C9" w:rsidP="006F42C9">
      <w:r>
        <w:rPr>
          <w:b/>
          <w:color w:val="1F3756"/>
        </w:rPr>
        <w:t xml:space="preserve">Infrastructure Investment: </w:t>
      </w:r>
      <w:r>
        <w:t>Power generation, transmission, electrical equipment and digital infrastructure are becoming more important parts of the investment story.</w:t>
      </w:r>
    </w:p>
    <w:p w14:paraId="00BCFB8C" w14:textId="77777777" w:rsidR="006F42C9" w:rsidRDefault="006F42C9" w:rsidP="006F42C9">
      <w:r>
        <w:rPr>
          <w:b/>
          <w:color w:val="1F3756"/>
        </w:rPr>
        <w:t xml:space="preserve">Selective Consumer Strength: </w:t>
      </w:r>
      <w:r>
        <w:t>Household demand is not uniformly strong, but employment and income continue to provide a base for spending in many categories.</w:t>
      </w:r>
    </w:p>
    <w:p w14:paraId="6D0AE56D" w14:textId="77777777" w:rsidR="006F42C9" w:rsidRDefault="006F42C9" w:rsidP="006F42C9">
      <w:pPr>
        <w:pStyle w:val="Heading1"/>
      </w:pPr>
      <w:r>
        <w:t xml:space="preserve">Where </w:t>
      </w:r>
      <w:proofErr w:type="spellStart"/>
      <w:r>
        <w:t>BrandEssence</w:t>
      </w:r>
      <w:proofErr w:type="spellEnd"/>
      <w:r>
        <w:t xml:space="preserve"> Is Cautious</w:t>
      </w:r>
    </w:p>
    <w:p w14:paraId="56106FF2" w14:textId="77777777" w:rsidR="006F42C9" w:rsidRDefault="006F42C9" w:rsidP="006F42C9">
      <w:r>
        <w:rPr>
          <w:b/>
          <w:color w:val="1F3756"/>
        </w:rPr>
        <w:t xml:space="preserve">Fiscal Pressure: </w:t>
      </w:r>
      <w:r>
        <w:t>Large deficits and higher interest costs could keep long-term borrowing conditions tighter than businesses and households would prefer.</w:t>
      </w:r>
    </w:p>
    <w:p w14:paraId="4FA38B21" w14:textId="77777777" w:rsidR="006F42C9" w:rsidRDefault="006F42C9" w:rsidP="006F42C9">
      <w:r>
        <w:rPr>
          <w:b/>
          <w:color w:val="1F3756"/>
        </w:rPr>
        <w:t xml:space="preserve">Long-Term Interest Rates: </w:t>
      </w:r>
      <w:r>
        <w:t>Even if short-term policy rates ease, Treasury yields may remain sensitive to inflation, debt issuance and investor demand.</w:t>
      </w:r>
    </w:p>
    <w:p w14:paraId="501D4043" w14:textId="77777777" w:rsidR="006F42C9" w:rsidRDefault="006F42C9" w:rsidP="006F42C9">
      <w:r>
        <w:rPr>
          <w:b/>
          <w:color w:val="1F3756"/>
        </w:rPr>
        <w:t xml:space="preserve">Housing Affordability: </w:t>
      </w:r>
      <w:r>
        <w:t>Mortgage costs and home prices continue to make housing one of the most interest-sensitive parts of the economy.</w:t>
      </w:r>
    </w:p>
    <w:p w14:paraId="0D372AED" w14:textId="77777777" w:rsidR="006F42C9" w:rsidRDefault="006F42C9" w:rsidP="006F42C9">
      <w:r>
        <w:rPr>
          <w:b/>
          <w:color w:val="1F3756"/>
        </w:rPr>
        <w:t xml:space="preserve">Trade and Policy Uncertainty: </w:t>
      </w:r>
      <w:r>
        <w:t>Changes in tariffs and other policy settings can affect costs, supply chains and the timing of business investment.</w:t>
      </w:r>
    </w:p>
    <w:p w14:paraId="18767EBF" w14:textId="77777777" w:rsidR="006F42C9" w:rsidRDefault="006F42C9" w:rsidP="006F42C9">
      <w:r>
        <w:rPr>
          <w:b/>
          <w:color w:val="1F3756"/>
        </w:rPr>
        <w:t xml:space="preserve">Uneven Credit Conditions: </w:t>
      </w:r>
      <w:r>
        <w:t>The financial system is broadly stable, but highly leveraged borrowers and refinancing-dependent sectors remain more exposed.</w:t>
      </w:r>
    </w:p>
    <w:p w14:paraId="14E92527" w14:textId="77777777" w:rsidR="006F42C9" w:rsidRDefault="006F42C9" w:rsidP="006F42C9">
      <w:pPr>
        <w:pStyle w:val="Heading1"/>
      </w:pPr>
      <w:proofErr w:type="spellStart"/>
      <w:r>
        <w:t>BrandEssence</w:t>
      </w:r>
      <w:proofErr w:type="spellEnd"/>
      <w:r>
        <w:t xml:space="preserve"> Macro View</w:t>
      </w:r>
    </w:p>
    <w:p w14:paraId="4F4312BF" w14:textId="77777777" w:rsidR="006F42C9" w:rsidRDefault="006F42C9" w:rsidP="006F42C9">
      <w:proofErr w:type="spellStart"/>
      <w:r>
        <w:t>BrandEssence</w:t>
      </w:r>
      <w:proofErr w:type="spellEnd"/>
      <w:r>
        <w:t xml:space="preserve"> does not view the current U.S. environment as a simple slowdown story. The economy is adjusting to higher financing costs, a larger fiscal burden and a more uncertain policy environment, but it continues to benefit from strong private-sector capacity and a new investment cycle linked to technology and infrastructure.</w:t>
      </w:r>
    </w:p>
    <w:p w14:paraId="5B331176" w14:textId="77777777" w:rsidR="006F42C9" w:rsidRDefault="006F42C9" w:rsidP="006F42C9">
      <w:r>
        <w:t>In our view, the main opportunity lies in productivity-</w:t>
      </w:r>
      <w:proofErr w:type="gramStart"/>
      <w:r>
        <w:t>led</w:t>
      </w:r>
      <w:proofErr w:type="gramEnd"/>
      <w:r>
        <w:t xml:space="preserve"> growth. The main risk comes from the interaction of fiscal pressure, long-term interest rates and persistent inflation. If inflation continues to improve without a major deterioration in employment, the economy should remain capable of moderate expansion. If fiscal and financing pressures intensify at the same time, growth could become more uneven.</w:t>
      </w:r>
    </w:p>
    <w:p w14:paraId="5131C12B" w14:textId="77777777" w:rsidR="006F42C9" w:rsidRDefault="006F42C9" w:rsidP="006F42C9">
      <w:pPr>
        <w:pStyle w:val="Heading2"/>
      </w:pPr>
      <w:r>
        <w:t>Methodology Note</w:t>
      </w:r>
    </w:p>
    <w:p w14:paraId="7CCC7EA3" w14:textId="77777777" w:rsidR="006F42C9" w:rsidRDefault="006F42C9" w:rsidP="006F42C9">
      <w:r>
        <w:t xml:space="preserve">The </w:t>
      </w:r>
      <w:proofErr w:type="spellStart"/>
      <w:r>
        <w:t>BrandEssence</w:t>
      </w:r>
      <w:proofErr w:type="spellEnd"/>
      <w:r>
        <w:t xml:space="preserve"> Macro Resilience Wheel is a proprietary qualitative framework. Scores range from 1 to 5, where a higher score indicates greater resilience or a stronger structural opportunity. The assessment combines official macroeconomic evidence with </w:t>
      </w:r>
      <w:proofErr w:type="spellStart"/>
      <w:r>
        <w:t>BrandEssence's</w:t>
      </w:r>
      <w:proofErr w:type="spellEnd"/>
      <w:r>
        <w:t xml:space="preserve"> interpretation of direction, persistence and economic impact. The scores should not be read as government statistics or a third-party credit rating.</w:t>
      </w:r>
    </w:p>
    <w:p w14:paraId="4C232242" w14:textId="77777777" w:rsidR="006F42C9" w:rsidRDefault="006F42C9" w:rsidP="006F42C9">
      <w:r>
        <w:rPr>
          <w:b/>
        </w:rPr>
        <w:t xml:space="preserve">External context: </w:t>
      </w:r>
      <w:r>
        <w:rPr>
          <w:i/>
        </w:rPr>
        <w:t>Congressional Budget Office, The Budget and Economic Outlook: 2026 to 2036; Federal Reserve, June 2026 Summary of Economic Projections.</w:t>
      </w:r>
    </w:p>
    <w:p w14:paraId="65FE3AB3" w14:textId="77777777" w:rsidR="006F42C9" w:rsidRDefault="006F42C9">
      <w:pPr>
        <w:pStyle w:val="Kicker"/>
      </w:pPr>
    </w:p>
    <w:p w14:paraId="364C5D71" w14:textId="77777777" w:rsidR="000F56DE" w:rsidRDefault="00000000">
      <w:pPr>
        <w:pStyle w:val="Kicker"/>
      </w:pPr>
      <w:r>
        <w:lastRenderedPageBreak/>
        <w:t xml:space="preserve">CHAPTER </w:t>
      </w:r>
      <w:proofErr w:type="gramStart"/>
      <w:r>
        <w:t>05  /</w:t>
      </w:r>
      <w:proofErr w:type="gramEnd"/>
      <w:r>
        <w:t xml:space="preserve">  PAGE </w:t>
      </w:r>
      <w:proofErr w:type="gramStart"/>
      <w:r>
        <w:t>007  /</w:t>
      </w:r>
      <w:proofErr w:type="gramEnd"/>
      <w:r>
        <w:t xml:space="preserve">  GLOBAL ECONOMY &amp; U.S. POSITION</w:t>
      </w:r>
    </w:p>
    <w:p w14:paraId="07EB44E1" w14:textId="77777777" w:rsidR="00540580" w:rsidRDefault="00540580" w:rsidP="00540580">
      <w:pPr>
        <w:pStyle w:val="Heading1"/>
      </w:pPr>
      <w:r>
        <w:t xml:space="preserve"> </w:t>
      </w:r>
      <w:r>
        <w:t>GLOBAL ECONOMY: STARTING POINT</w:t>
      </w:r>
    </w:p>
    <w:p w14:paraId="67BE0EF4" w14:textId="77777777" w:rsidR="00540580" w:rsidRDefault="00540580" w:rsidP="00540580">
      <w:r>
        <w:rPr>
          <w:i/>
          <w:color w:val="5A5A5A"/>
        </w:rPr>
        <w:t>World Growth and Inflation | Global Context for the U.S. Outlook</w:t>
      </w:r>
    </w:p>
    <w:p w14:paraId="01508EB8" w14:textId="77777777" w:rsidR="00540580" w:rsidRDefault="00540580" w:rsidP="00540580">
      <w:r>
        <w:t>The global economy entered 2026 with reasonable momentum, but the environment became more difficult as energy-market disruption and geopolitical uncertainty added new pressure to prices and confidence. At the same time, technology-related investment has remained a source of support, especially in economies connected to the AI and digital infrastructure cycle.</w:t>
      </w:r>
    </w:p>
    <w:p w14:paraId="0A7FE7CA" w14:textId="77777777" w:rsidR="00540580" w:rsidRDefault="00540580" w:rsidP="00540580">
      <w:r>
        <w:t>The result is an uneven global picture rather than a synchronized downturn. Growth remains stronger in parts of Asia and several emerging markets, while many advanced economies are expanding more slowly. For the United States, this matters through trade demand, energy prices, financial conditions, supply chains and capital flows.</w:t>
      </w:r>
    </w:p>
    <w:p w14:paraId="67EBD3AC" w14:textId="77777777" w:rsidR="00540580" w:rsidRDefault="00540580" w:rsidP="00540580">
      <w:pPr>
        <w:jc w:val="center"/>
      </w:pPr>
      <w:r>
        <w:rPr>
          <w:noProof/>
        </w:rPr>
        <w:drawing>
          <wp:inline distT="0" distB="0" distL="0" distR="0" wp14:anchorId="5473F163" wp14:editId="7F004BB6">
            <wp:extent cx="5303520" cy="2692556"/>
            <wp:effectExtent l="0" t="0" r="0" b="0"/>
            <wp:docPr id="765531533" name="Picture 76553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growth.png"/>
                    <pic:cNvPicPr/>
                  </pic:nvPicPr>
                  <pic:blipFill>
                    <a:blip r:embed="rId21"/>
                    <a:stretch>
                      <a:fillRect/>
                    </a:stretch>
                  </pic:blipFill>
                  <pic:spPr>
                    <a:xfrm>
                      <a:off x="0" y="0"/>
                      <a:ext cx="5303520" cy="2692556"/>
                    </a:xfrm>
                    <a:prstGeom prst="rect">
                      <a:avLst/>
                    </a:prstGeom>
                  </pic:spPr>
                </pic:pic>
              </a:graphicData>
            </a:graphic>
          </wp:inline>
        </w:drawing>
      </w:r>
    </w:p>
    <w:p w14:paraId="5D246807" w14:textId="77777777" w:rsidR="00540580" w:rsidRDefault="00540580" w:rsidP="00540580">
      <w:r>
        <w:rPr>
          <w:b/>
          <w:color w:val="1F3756"/>
        </w:rPr>
      </w:r>
      <w:r>
        <w:t>The major institutions differ on the exact pace of global growth, but they tell a similar story. 2026 is expected to be softer than the stronger momentum seen before the latest energy shock, while 2027 is generally expected to improve. The gap between forecasts also shows how sensitive the outlook remains to assumptions about geopolitics, energy markets and policy.</w:t>
      </w:r>
    </w:p>
    <w:p w14:paraId="58B7C456" w14:textId="77777777" w:rsidR="00540580" w:rsidRDefault="00540580" w:rsidP="00540580">
      <w:r>
        <w:br w:type="page"/>
      </w:r>
    </w:p>
    <w:p w14:paraId="1CF3F162" w14:textId="77777777" w:rsidR="00540580" w:rsidRDefault="00540580" w:rsidP="00540580">
      <w:pPr>
        <w:pStyle w:val="Heading1"/>
      </w:pPr>
      <w:r>
        <w:lastRenderedPageBreak/>
        <w:t>A More Uneven Global Growth Map</w:t>
      </w:r>
    </w:p>
    <w:p w14:paraId="558003C8" w14:textId="77777777" w:rsidR="00540580" w:rsidRDefault="00540580" w:rsidP="00540580">
      <w:pPr>
        <w:jc w:val="center"/>
      </w:pPr>
      <w:r>
        <w:rPr>
          <w:noProof/>
        </w:rPr>
        <w:drawing>
          <wp:inline distT="0" distB="0" distL="0" distR="0" wp14:anchorId="496582C6" wp14:editId="5656B0EF">
            <wp:extent cx="5577840" cy="2709237"/>
            <wp:effectExtent l="0" t="0" r="0" b="0"/>
            <wp:docPr id="815793992" name="Picture 81579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growth.png"/>
                    <pic:cNvPicPr/>
                  </pic:nvPicPr>
                  <pic:blipFill>
                    <a:blip r:embed="rId22"/>
                    <a:stretch>
                      <a:fillRect/>
                    </a:stretch>
                  </pic:blipFill>
                  <pic:spPr>
                    <a:xfrm>
                      <a:off x="0" y="0"/>
                      <a:ext cx="5577840" cy="2709237"/>
                    </a:xfrm>
                    <a:prstGeom prst="rect">
                      <a:avLst/>
                    </a:prstGeom>
                  </pic:spPr>
                </pic:pic>
              </a:graphicData>
            </a:graphic>
          </wp:inline>
        </w:drawing>
      </w:r>
    </w:p>
    <w:p w14:paraId="2B1DFEED" w14:textId="77777777" w:rsidR="00540580" w:rsidRDefault="00540580" w:rsidP="00540580">
      <w:r>
        <w:rPr>
          <w:b/>
          <w:color w:val="1F3756"/>
        </w:rPr>
      </w:r>
      <w:r>
        <w:t>Growth is increasingly uneven across regions. South Asia remains the fastest-growing major region in the World Bank outlook, while Europe and Latin America are expanding at a more modest pace. The Middle East outlook shows the largest expected rebound into 2027, reflecting the assumed recovery from the 2026 conflict-related disruption. This uneven pattern means global demand will not provide the same support to every industry or export market.</w:t>
      </w:r>
    </w:p>
    <w:p w14:paraId="38C999D2" w14:textId="77777777" w:rsidR="00540580" w:rsidRDefault="00540580" w:rsidP="00540580">
      <w:pPr>
        <w:pStyle w:val="Heading2"/>
      </w:pPr>
      <w:r>
        <w:t>World Map – How to Read the Global Starting Point</w:t>
      </w:r>
    </w:p>
    <w:p w14:paraId="291EF152" w14:textId="77777777" w:rsidR="00540580" w:rsidRDefault="00540580" w:rsidP="00540580">
      <w:r>
        <w:t>For the report's world-map visual, countries and regions should be grouped by growth momentum rather than treated as if the global cycle is uniform. Asia should appear as the main growth engine, Europe as a slower-growth region, and energy-sensitive economies should be highlighted separately because their outlook is more exposed to commodity and geopolitical developments.</w:t>
      </w:r>
    </w:p>
    <w:p w14:paraId="231C9D13" w14:textId="77777777" w:rsidR="00540580" w:rsidRDefault="00540580" w:rsidP="00540580">
      <w:r>
        <w:rPr>
          <w:b/>
          <w:color w:val="1F3756"/>
        </w:rPr>
        <w:t xml:space="preserve">Asia: </w:t>
      </w:r>
      <w:r>
        <w:t>Remains the main source of global growth, supported by large domestic markets, manufacturing and technology-linked investment.</w:t>
      </w:r>
    </w:p>
    <w:p w14:paraId="1BC2A3EB" w14:textId="77777777" w:rsidR="00540580" w:rsidRDefault="00540580" w:rsidP="00540580">
      <w:r>
        <w:rPr>
          <w:b/>
          <w:color w:val="1F3756"/>
        </w:rPr>
        <w:t xml:space="preserve">Europe: </w:t>
      </w:r>
      <w:r>
        <w:t>Growth remains comparatively modest and more sensitive to energy costs, external demand and financial conditions.</w:t>
      </w:r>
    </w:p>
    <w:p w14:paraId="151722D3" w14:textId="77777777" w:rsidR="00540580" w:rsidRDefault="00540580" w:rsidP="00540580">
      <w:r>
        <w:rPr>
          <w:b/>
          <w:color w:val="1F3756"/>
        </w:rPr>
        <w:t xml:space="preserve">Middle East: </w:t>
      </w:r>
      <w:r>
        <w:t>The 2026 shock has weakened near-term activity, but the outlook can change quickly if energy-market disruption fades.</w:t>
      </w:r>
    </w:p>
    <w:p w14:paraId="339FB1D3" w14:textId="77777777" w:rsidR="00540580" w:rsidRDefault="00540580" w:rsidP="00540580">
      <w:r>
        <w:rPr>
          <w:b/>
          <w:color w:val="1F3756"/>
        </w:rPr>
        <w:t xml:space="preserve">Latin America: </w:t>
      </w:r>
      <w:r>
        <w:t>Growth remains positive but moderate, with commodity conditions, domestic policy and financing costs playing an important role.</w:t>
      </w:r>
    </w:p>
    <w:p w14:paraId="1075B5D6" w14:textId="77777777" w:rsidR="00540580" w:rsidRDefault="00540580" w:rsidP="00540580">
      <w:r>
        <w:rPr>
          <w:b/>
          <w:color w:val="1F3756"/>
        </w:rPr>
        <w:t xml:space="preserve">Sub-Saharan Africa: </w:t>
      </w:r>
      <w:r>
        <w:t>Growth remains relatively firm, although financing conditions, food and energy costs and country-specific vulnerabilities remain important.</w:t>
      </w:r>
    </w:p>
    <w:p w14:paraId="0ECD7F7A" w14:textId="77777777" w:rsidR="00540580" w:rsidRDefault="00540580" w:rsidP="00540580">
      <w:r>
        <w:rPr>
          <w:b/>
          <w:color w:val="1F3756"/>
        </w:rPr>
        <w:t xml:space="preserve">United States: </w:t>
      </w:r>
      <w:r>
        <w:t>The U.S. remains central to global demand and financial conditions, but its outlook is increasingly linked to domestic investment, technology and the path of inflation and interest rates.</w:t>
      </w:r>
    </w:p>
    <w:p w14:paraId="7CA02FA7" w14:textId="77777777" w:rsidR="00540580" w:rsidRDefault="00540580" w:rsidP="00540580">
      <w:r>
        <w:br w:type="page"/>
      </w:r>
    </w:p>
    <w:p w14:paraId="28510CAF" w14:textId="77777777" w:rsidR="00540580" w:rsidRDefault="00540580" w:rsidP="00540580">
      <w:pPr>
        <w:pStyle w:val="Heading1"/>
      </w:pPr>
      <w:r>
        <w:lastRenderedPageBreak/>
        <w:t>Global Inflation: Progress Has Become Less Smooth</w:t>
      </w:r>
    </w:p>
    <w:p w14:paraId="48606885" w14:textId="77777777" w:rsidR="00540580" w:rsidRDefault="00540580" w:rsidP="00540580">
      <w:pPr>
        <w:jc w:val="center"/>
      </w:pPr>
      <w:r>
        <w:rPr>
          <w:noProof/>
        </w:rPr>
        <w:drawing>
          <wp:inline distT="0" distB="0" distL="0" distR="0" wp14:anchorId="56CE93D8" wp14:editId="4E0AA933">
            <wp:extent cx="5303520" cy="2610964"/>
            <wp:effectExtent l="0" t="0" r="0" b="0"/>
            <wp:docPr id="1086126345" name="Picture 108612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inflation.png"/>
                    <pic:cNvPicPr/>
                  </pic:nvPicPr>
                  <pic:blipFill>
                    <a:blip r:embed="rId23"/>
                    <a:stretch>
                      <a:fillRect/>
                    </a:stretch>
                  </pic:blipFill>
                  <pic:spPr>
                    <a:xfrm>
                      <a:off x="0" y="0"/>
                      <a:ext cx="5303520" cy="2610964"/>
                    </a:xfrm>
                    <a:prstGeom prst="rect">
                      <a:avLst/>
                    </a:prstGeom>
                  </pic:spPr>
                </pic:pic>
              </a:graphicData>
            </a:graphic>
          </wp:inline>
        </w:drawing>
      </w:r>
    </w:p>
    <w:p w14:paraId="35969314" w14:textId="77777777" w:rsidR="00540580" w:rsidRDefault="00540580" w:rsidP="00540580">
      <w:r>
        <w:rPr>
          <w:b/>
          <w:color w:val="1F3756"/>
        </w:rPr>
      </w:r>
      <w:r>
        <w:t>The earlier global disinflation trend has become less straightforward in 2026. Higher energy costs have pushed headline inflation higher again in many economies, even where underlying price pressure is more contained. If energy pressures fade, inflation should improve into 2027, but another commodity shock would make the path more difficult.</w:t>
      </w:r>
    </w:p>
    <w:p w14:paraId="6C953B28" w14:textId="77777777" w:rsidR="00540580" w:rsidRDefault="00540580" w:rsidP="00540580">
      <w:pPr>
        <w:pStyle w:val="Heading2"/>
      </w:pPr>
      <w:r>
        <w:t>What the Global Starting Point Means for the U.S.</w:t>
      </w:r>
    </w:p>
    <w:p w14:paraId="340B6604" w14:textId="77777777" w:rsidR="00540580" w:rsidRDefault="00540580" w:rsidP="00540580">
      <w:r>
        <w:rPr>
          <w:b/>
          <w:color w:val="1F3756"/>
        </w:rPr>
        <w:t xml:space="preserve">External Demand: </w:t>
      </w:r>
      <w:r>
        <w:t>Slower global growth can limit export demand, while stronger Asian growth creates more selective opportunities.</w:t>
      </w:r>
    </w:p>
    <w:p w14:paraId="3455844A" w14:textId="77777777" w:rsidR="00540580" w:rsidRDefault="00540580" w:rsidP="00540580">
      <w:r>
        <w:rPr>
          <w:b/>
          <w:color w:val="1F3756"/>
        </w:rPr>
        <w:t xml:space="preserve">Energy and Inflation: </w:t>
      </w:r>
      <w:r>
        <w:t>Global energy shocks can quickly feed into U.S. inflation, transport costs and household purchasing power.</w:t>
      </w:r>
    </w:p>
    <w:p w14:paraId="4FC0E6BF" w14:textId="77777777" w:rsidR="00540580" w:rsidRDefault="00540580" w:rsidP="00540580">
      <w:r>
        <w:rPr>
          <w:b/>
          <w:color w:val="1F3756"/>
        </w:rPr>
        <w:t xml:space="preserve">Interest Rates: </w:t>
      </w:r>
      <w:r>
        <w:t>Persistent global inflation can keep monetary policy and bond yields higher for longer across major economies.</w:t>
      </w:r>
    </w:p>
    <w:p w14:paraId="3660FB63" w14:textId="77777777" w:rsidR="00540580" w:rsidRDefault="00540580" w:rsidP="00540580">
      <w:r>
        <w:rPr>
          <w:b/>
          <w:color w:val="1F3756"/>
        </w:rPr>
        <w:t xml:space="preserve">Dollar and Capital Flows: </w:t>
      </w:r>
      <w:r>
        <w:t>Differences in growth and interest rates influence the dollar and international demand for U.S. financial assets.</w:t>
      </w:r>
    </w:p>
    <w:p w14:paraId="4198E22D" w14:textId="77777777" w:rsidR="00540580" w:rsidRDefault="00540580" w:rsidP="00540580">
      <w:r>
        <w:rPr>
          <w:b/>
          <w:color w:val="1F3756"/>
        </w:rPr>
        <w:t xml:space="preserve">Technology Cycle: </w:t>
      </w:r>
      <w:r>
        <w:t xml:space="preserve">The global AI investment boom is supporting semiconductor, </w:t>
      </w:r>
      <w:proofErr w:type="gramStart"/>
      <w:r>
        <w:t>data-center</w:t>
      </w:r>
      <w:proofErr w:type="gramEnd"/>
      <w:r>
        <w:t xml:space="preserve"> and infrastructure demand, creating an important counterweight to weaker traditional growth drivers.</w:t>
      </w:r>
    </w:p>
    <w:p w14:paraId="2129B0B1" w14:textId="77777777" w:rsidR="00540580" w:rsidRDefault="00540580" w:rsidP="00540580">
      <w:r>
        <w:rPr>
          <w:b/>
          <w:color w:val="1F3756"/>
        </w:rPr>
        <w:t xml:space="preserve">Geopolitical Risk: </w:t>
      </w:r>
      <w:r>
        <w:t>Trade routes, commodity markets and supply chains remain exposed to geopolitical developments, making resilience and diversification more important for businesses.</w:t>
      </w:r>
    </w:p>
    <w:p w14:paraId="576C2FB2" w14:textId="77777777" w:rsidR="00540580" w:rsidRDefault="00540580" w:rsidP="00540580">
      <w:pPr>
        <w:pStyle w:val="Heading2"/>
      </w:pPr>
      <w:r>
        <w:t>Overall Inference</w:t>
      </w:r>
    </w:p>
    <w:p w14:paraId="6C6E9EBF" w14:textId="77777777" w:rsidR="00540580" w:rsidRDefault="00540580" w:rsidP="00540580">
      <w:r>
        <w:t>The global economy is starting from a position of moderate but uneven growth. The main challenge is that inflation pressure has become more sensitive to energy and geopolitical events, while the main source of upside is the continued technology-investment cycle. For the U.S., the global backdrop is therefore neither clearly supportive nor clearly negative. It creates a mix of weaker external demand, inflation risk and strong technology-related investment opportunities.</w:t>
      </w:r>
    </w:p>
    <w:p w14:paraId="6ACCF27B" w14:textId="77777777" w:rsidR="00540580" w:rsidRDefault="00540580" w:rsidP="00540580">
      <w:pPr>
        <w:rPr>
          <w:i/>
        </w:rPr>
      </w:pPr>
      <w:r>
        <w:rPr>
          <w:b/>
        </w:rPr>
        <w:t xml:space="preserve">Sources: </w:t>
      </w:r>
      <w:r>
        <w:rPr>
          <w:i/>
        </w:rPr>
        <w:t>IMF World Economic Outlook Update, July 2026; World Bank Global Economic Prospects, June 2026; OECD Economic Outlook, June 2026. Forecasts are projections and differ because the institutions use different assumptions and methodologies.</w:t>
      </w:r>
    </w:p>
    <w:p w14:paraId="6B95D354" w14:textId="77777777" w:rsidR="00D37FAB" w:rsidRDefault="00D37FAB" w:rsidP="00540580">
      <w:pPr>
        <w:rPr>
          <w:i/>
        </w:rPr>
      </w:pPr>
    </w:p>
    <w:p w14:paraId="3D1CA753" w14:textId="77777777" w:rsidR="00D37FAB" w:rsidRDefault="00D37FAB" w:rsidP="00540580">
      <w:pPr>
        <w:rPr>
          <w:i/>
        </w:rPr>
      </w:pPr>
    </w:p>
    <w:p w14:paraId="700E056D" w14:textId="77777777" w:rsidR="00D37FAB" w:rsidRDefault="00D37FAB" w:rsidP="00540580">
      <w:pPr>
        <w:rPr>
          <w:i/>
        </w:rPr>
      </w:pPr>
    </w:p>
    <w:p w14:paraId="5C9AB572" w14:textId="77777777" w:rsidR="00D37FAB" w:rsidRDefault="00D37FAB" w:rsidP="00540580">
      <w:pPr>
        <w:rPr>
          <w:i/>
        </w:rPr>
      </w:pPr>
    </w:p>
    <w:p w14:paraId="611BC1AB" w14:textId="77777777" w:rsidR="00D37FAB" w:rsidRDefault="00D37FAB" w:rsidP="00540580"/>
    <w:p w14:paraId="0C21DE84" w14:textId="77777777" w:rsidR="000F56DE" w:rsidRDefault="00000000">
      <w:pPr>
        <w:pStyle w:val="Kicker"/>
      </w:pPr>
      <w:r>
        <w:lastRenderedPageBreak/>
        <w:t xml:space="preserve">CHAPTER </w:t>
      </w:r>
      <w:proofErr w:type="gramStart"/>
      <w:r>
        <w:t>05  /</w:t>
      </w:r>
      <w:proofErr w:type="gramEnd"/>
      <w:r>
        <w:t xml:space="preserve">  PAGE </w:t>
      </w:r>
      <w:proofErr w:type="gramStart"/>
      <w:r>
        <w:t>008  /</w:t>
      </w:r>
      <w:proofErr w:type="gramEnd"/>
      <w:r>
        <w:t xml:space="preserve">  GLOBAL ECONOMY &amp; U.S. POSITION</w:t>
      </w:r>
    </w:p>
    <w:p w14:paraId="6D0D3C60" w14:textId="77777777" w:rsidR="00A55308" w:rsidRDefault="00A55308" w:rsidP="00A55308">
      <w:pPr>
        <w:pStyle w:val="Heading1"/>
      </w:pPr>
      <w:r>
        <w:t>8. U.S. POSITION IN THE GLOBAL ECONOMY</w:t>
      </w:r>
    </w:p>
    <w:p w14:paraId="2FD22E67" w14:textId="77777777" w:rsidR="00A55308" w:rsidRDefault="00A55308" w:rsidP="00A55308">
      <w:r>
        <w:rPr>
          <w:i/>
          <w:color w:val="5A5A5A"/>
        </w:rPr>
        <w:t>GDP, Trade and Capital | Country Comparison</w:t>
      </w:r>
    </w:p>
    <w:p w14:paraId="2D4B0541" w14:textId="77777777" w:rsidR="00A55308" w:rsidRDefault="00A55308" w:rsidP="00A55308">
      <w:r>
        <w:t xml:space="preserve">The United States remains one of the strongest </w:t>
      </w:r>
      <w:proofErr w:type="gramStart"/>
      <w:r>
        <w:t>large advanced</w:t>
      </w:r>
      <w:proofErr w:type="gramEnd"/>
      <w:r>
        <w:t xml:space="preserve"> economies in the current global cycle. Its growth outlook is stronger than most major advanced peers, while the economy also benefits from deep capital markets, large inward and outward investment positions and the global role of the dollar. At the same time, the U.S. runs a persistent current-account deficit, which means foreign capital continues to play an important role in financing the economy.</w:t>
      </w:r>
    </w:p>
    <w:p w14:paraId="32154E4E" w14:textId="77777777" w:rsidR="00A55308" w:rsidRDefault="00A55308" w:rsidP="00A55308">
      <w:pPr>
        <w:jc w:val="center"/>
      </w:pPr>
      <w:r>
        <w:rPr>
          <w:noProof/>
        </w:rPr>
        <w:drawing>
          <wp:inline distT="0" distB="0" distL="0" distR="0" wp14:anchorId="17FB76A2" wp14:editId="2502E418">
            <wp:extent cx="6217920" cy="3224107"/>
            <wp:effectExtent l="0" t="0" r="0" b="0"/>
            <wp:docPr id="2003858727" name="Picture 200385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jor_economy_growth.png"/>
                    <pic:cNvPicPr/>
                  </pic:nvPicPr>
                  <pic:blipFill>
                    <a:blip r:embed="rId24"/>
                    <a:stretch>
                      <a:fillRect/>
                    </a:stretch>
                  </pic:blipFill>
                  <pic:spPr>
                    <a:xfrm>
                      <a:off x="0" y="0"/>
                      <a:ext cx="6217920" cy="3224107"/>
                    </a:xfrm>
                    <a:prstGeom prst="rect">
                      <a:avLst/>
                    </a:prstGeom>
                  </pic:spPr>
                </pic:pic>
              </a:graphicData>
            </a:graphic>
          </wp:inline>
        </w:drawing>
      </w:r>
    </w:p>
    <w:p w14:paraId="7669C8F2" w14:textId="77777777" w:rsidR="00A55308" w:rsidRDefault="00A55308" w:rsidP="00A55308">
      <w:r>
        <w:rPr>
          <w:b/>
          <w:color w:val="1F3756"/>
        </w:rPr>
      </w:r>
      <w:r>
        <w:t xml:space="preserve">The comparison shows a clear split between advanced and emerging economies. The U.S. is growing faster than most </w:t>
      </w:r>
      <w:proofErr w:type="gramStart"/>
      <w:r>
        <w:t>large advanced</w:t>
      </w:r>
      <w:proofErr w:type="gramEnd"/>
      <w:r>
        <w:t xml:space="preserve"> </w:t>
      </w:r>
      <w:proofErr w:type="gramStart"/>
      <w:r>
        <w:t>peers, but</w:t>
      </w:r>
      <w:proofErr w:type="gramEnd"/>
      <w:r>
        <w:t xml:space="preserve"> remains well below the pace expected in India and China. This places the U.S. in a relatively strong position among developed markets without making it the fastest-growing major economy.</w:t>
      </w:r>
    </w:p>
    <w:p w14:paraId="534ED81C" w14:textId="77777777" w:rsidR="00A55308" w:rsidRDefault="00A55308" w:rsidP="00A55308">
      <w:r>
        <w:rPr>
          <w:b/>
        </w:rPr>
        <w:t xml:space="preserve">Source: </w:t>
      </w:r>
      <w:r>
        <w:rPr>
          <w:i/>
        </w:rPr>
        <w:t>IMF, World Economic Outlook Update, July 2026.</w:t>
      </w:r>
    </w:p>
    <w:p w14:paraId="12C58F1A" w14:textId="77777777" w:rsidR="00A55308" w:rsidRDefault="00A55308" w:rsidP="00A55308">
      <w:pPr>
        <w:pStyle w:val="Heading2"/>
      </w:pPr>
      <w:r>
        <w:t>Trade and Capital Position</w:t>
      </w:r>
    </w:p>
    <w:tbl>
      <w:tblPr>
        <w:tblW w:w="0" w:type="auto"/>
        <w:jc w:val="center"/>
        <w:tblLook w:val="04A0" w:firstRow="1" w:lastRow="0" w:firstColumn="1" w:lastColumn="0" w:noHBand="0" w:noVBand="1"/>
      </w:tblPr>
      <w:tblGrid>
        <w:gridCol w:w="2592"/>
        <w:gridCol w:w="2592"/>
        <w:gridCol w:w="2592"/>
        <w:gridCol w:w="2592"/>
      </w:tblGrid>
      <w:tr w:rsidR="00A55308" w14:paraId="23520DF0" w14:textId="77777777" w:rsidTr="00406F1D">
        <w:trPr>
          <w:jc w:val="center"/>
        </w:trPr>
        <w:tc>
          <w:tcPr>
            <w:tcW w:w="2592" w:type="dxa"/>
            <w:shd w:val="clear" w:color="auto" w:fill="1F3756"/>
          </w:tcPr>
          <w:p w14:paraId="400FA59F" w14:textId="77777777" w:rsidR="00A55308" w:rsidRDefault="00A55308" w:rsidP="00406F1D">
            <w:r>
              <w:rPr>
                <w:b/>
                <w:color w:val="FFFFFF"/>
                <w:sz w:val="16"/>
              </w:rPr>
              <w:t>Indicator</w:t>
            </w:r>
          </w:p>
        </w:tc>
        <w:tc>
          <w:tcPr>
            <w:tcW w:w="2592" w:type="dxa"/>
            <w:shd w:val="clear" w:color="auto" w:fill="1F3756"/>
          </w:tcPr>
          <w:p w14:paraId="3351A20C" w14:textId="77777777" w:rsidR="00A55308" w:rsidRDefault="00A55308" w:rsidP="00406F1D">
            <w:r>
              <w:rPr>
                <w:b/>
                <w:color w:val="FFFFFF"/>
                <w:sz w:val="16"/>
              </w:rPr>
              <w:t>Latest Position</w:t>
            </w:r>
          </w:p>
        </w:tc>
        <w:tc>
          <w:tcPr>
            <w:tcW w:w="2592" w:type="dxa"/>
            <w:shd w:val="clear" w:color="auto" w:fill="1F3756"/>
          </w:tcPr>
          <w:p w14:paraId="5DC285AB" w14:textId="77777777" w:rsidR="00A55308" w:rsidRDefault="00A55308" w:rsidP="00406F1D">
            <w:r>
              <w:rPr>
                <w:b/>
                <w:color w:val="FFFFFF"/>
                <w:sz w:val="16"/>
              </w:rPr>
              <w:t>What It Shows</w:t>
            </w:r>
          </w:p>
        </w:tc>
        <w:tc>
          <w:tcPr>
            <w:tcW w:w="2592" w:type="dxa"/>
            <w:shd w:val="clear" w:color="auto" w:fill="1F3756"/>
          </w:tcPr>
          <w:p w14:paraId="0A8ECCC3" w14:textId="77777777" w:rsidR="00A55308" w:rsidRDefault="00A55308" w:rsidP="00406F1D">
            <w:r>
              <w:rPr>
                <w:b/>
                <w:color w:val="FFFFFF"/>
                <w:sz w:val="16"/>
              </w:rPr>
              <w:t>Implication</w:t>
            </w:r>
          </w:p>
        </w:tc>
      </w:tr>
      <w:tr w:rsidR="00A55308" w14:paraId="3C6CBDFA" w14:textId="77777777" w:rsidTr="00406F1D">
        <w:trPr>
          <w:jc w:val="center"/>
        </w:trPr>
        <w:tc>
          <w:tcPr>
            <w:tcW w:w="2592" w:type="dxa"/>
            <w:vAlign w:val="center"/>
          </w:tcPr>
          <w:p w14:paraId="1DED7367" w14:textId="77777777" w:rsidR="00A55308" w:rsidRDefault="00A55308" w:rsidP="00406F1D">
            <w:r>
              <w:rPr>
                <w:sz w:val="15"/>
              </w:rPr>
              <w:t>Current-account balance</w:t>
            </w:r>
          </w:p>
        </w:tc>
        <w:tc>
          <w:tcPr>
            <w:tcW w:w="2592" w:type="dxa"/>
            <w:vAlign w:val="center"/>
          </w:tcPr>
          <w:p w14:paraId="3970E746" w14:textId="77777777" w:rsidR="00A55308" w:rsidRDefault="00A55308" w:rsidP="00406F1D">
            <w:r>
              <w:rPr>
                <w:sz w:val="15"/>
              </w:rPr>
              <w:t>Deficit equal to 2.9% of GDP in Q1 2026</w:t>
            </w:r>
          </w:p>
        </w:tc>
        <w:tc>
          <w:tcPr>
            <w:tcW w:w="2592" w:type="dxa"/>
            <w:vAlign w:val="center"/>
          </w:tcPr>
          <w:p w14:paraId="3B652C64" w14:textId="77777777" w:rsidR="00A55308" w:rsidRDefault="00A55308" w:rsidP="00406F1D">
            <w:r>
              <w:rPr>
                <w:sz w:val="15"/>
              </w:rPr>
              <w:t>The U.S. imports more capital and resources from abroad than it supplies on net.</w:t>
            </w:r>
          </w:p>
        </w:tc>
        <w:tc>
          <w:tcPr>
            <w:tcW w:w="2592" w:type="dxa"/>
            <w:vAlign w:val="center"/>
          </w:tcPr>
          <w:p w14:paraId="3364C881" w14:textId="77777777" w:rsidR="00A55308" w:rsidRDefault="00A55308" w:rsidP="00406F1D">
            <w:r>
              <w:rPr>
                <w:sz w:val="15"/>
              </w:rPr>
              <w:t>Stable foreign demand for U.S. assets remains important.</w:t>
            </w:r>
          </w:p>
        </w:tc>
      </w:tr>
      <w:tr w:rsidR="00A55308" w14:paraId="0A50AA86" w14:textId="77777777" w:rsidTr="00406F1D">
        <w:trPr>
          <w:jc w:val="center"/>
        </w:trPr>
        <w:tc>
          <w:tcPr>
            <w:tcW w:w="2592" w:type="dxa"/>
            <w:vAlign w:val="center"/>
          </w:tcPr>
          <w:p w14:paraId="32C0F3BE" w14:textId="77777777" w:rsidR="00A55308" w:rsidRDefault="00A55308" w:rsidP="00406F1D">
            <w:r>
              <w:rPr>
                <w:sz w:val="15"/>
              </w:rPr>
              <w:t>Net international investment position</w:t>
            </w:r>
          </w:p>
        </w:tc>
        <w:tc>
          <w:tcPr>
            <w:tcW w:w="2592" w:type="dxa"/>
            <w:vAlign w:val="center"/>
          </w:tcPr>
          <w:p w14:paraId="2F538449" w14:textId="77777777" w:rsidR="00A55308" w:rsidRDefault="00A55308" w:rsidP="00406F1D">
            <w:r>
              <w:rPr>
                <w:sz w:val="15"/>
              </w:rPr>
              <w:t>-$21.27 trillion at end-Q1 2026</w:t>
            </w:r>
          </w:p>
        </w:tc>
        <w:tc>
          <w:tcPr>
            <w:tcW w:w="2592" w:type="dxa"/>
            <w:vAlign w:val="center"/>
          </w:tcPr>
          <w:p w14:paraId="3206AA34" w14:textId="77777777" w:rsidR="00A55308" w:rsidRDefault="00A55308" w:rsidP="00406F1D">
            <w:r>
              <w:rPr>
                <w:sz w:val="15"/>
              </w:rPr>
              <w:t>Foreign claims on U.S. assets exceed U.S. claims on foreign assets.</w:t>
            </w:r>
          </w:p>
        </w:tc>
        <w:tc>
          <w:tcPr>
            <w:tcW w:w="2592" w:type="dxa"/>
            <w:vAlign w:val="center"/>
          </w:tcPr>
          <w:p w14:paraId="44BC63E2" w14:textId="77777777" w:rsidR="00A55308" w:rsidRDefault="00A55308" w:rsidP="00406F1D">
            <w:r>
              <w:rPr>
                <w:sz w:val="15"/>
              </w:rPr>
              <w:t>The U.S. remains deeply integrated with global capital markets.</w:t>
            </w:r>
          </w:p>
        </w:tc>
      </w:tr>
      <w:tr w:rsidR="00A55308" w14:paraId="13C37AA4" w14:textId="77777777" w:rsidTr="00406F1D">
        <w:trPr>
          <w:jc w:val="center"/>
        </w:trPr>
        <w:tc>
          <w:tcPr>
            <w:tcW w:w="2592" w:type="dxa"/>
            <w:vAlign w:val="center"/>
          </w:tcPr>
          <w:p w14:paraId="53AA8CDA" w14:textId="77777777" w:rsidR="00A55308" w:rsidRDefault="00A55308" w:rsidP="00406F1D">
            <w:r>
              <w:rPr>
                <w:sz w:val="15"/>
              </w:rPr>
              <w:t>U.S. direct investment abroad</w:t>
            </w:r>
          </w:p>
        </w:tc>
        <w:tc>
          <w:tcPr>
            <w:tcW w:w="2592" w:type="dxa"/>
            <w:vAlign w:val="center"/>
          </w:tcPr>
          <w:p w14:paraId="50EA6D8C" w14:textId="77777777" w:rsidR="00A55308" w:rsidRDefault="00A55308" w:rsidP="00406F1D">
            <w:r>
              <w:rPr>
                <w:sz w:val="15"/>
              </w:rPr>
              <w:t>$7.14 trillion at end-2025</w:t>
            </w:r>
          </w:p>
        </w:tc>
        <w:tc>
          <w:tcPr>
            <w:tcW w:w="2592" w:type="dxa"/>
            <w:vAlign w:val="center"/>
          </w:tcPr>
          <w:p w14:paraId="4C797258" w14:textId="77777777" w:rsidR="00A55308" w:rsidRDefault="00A55308" w:rsidP="00406F1D">
            <w:r>
              <w:rPr>
                <w:sz w:val="15"/>
              </w:rPr>
              <w:t>U.S. companies have a large global production and investment footprint.</w:t>
            </w:r>
          </w:p>
        </w:tc>
        <w:tc>
          <w:tcPr>
            <w:tcW w:w="2592" w:type="dxa"/>
            <w:vAlign w:val="center"/>
          </w:tcPr>
          <w:p w14:paraId="6A2475AE" w14:textId="77777777" w:rsidR="00A55308" w:rsidRDefault="00A55308" w:rsidP="00406F1D">
            <w:r>
              <w:rPr>
                <w:sz w:val="15"/>
              </w:rPr>
              <w:t>Overseas earnings and global demand remain important for U.S. firms.</w:t>
            </w:r>
          </w:p>
        </w:tc>
      </w:tr>
      <w:tr w:rsidR="00A55308" w14:paraId="4B0C4B52" w14:textId="77777777" w:rsidTr="00406F1D">
        <w:trPr>
          <w:jc w:val="center"/>
        </w:trPr>
        <w:tc>
          <w:tcPr>
            <w:tcW w:w="2592" w:type="dxa"/>
            <w:vAlign w:val="center"/>
          </w:tcPr>
          <w:p w14:paraId="4D44A4AB" w14:textId="77777777" w:rsidR="00A55308" w:rsidRDefault="00A55308" w:rsidP="00406F1D">
            <w:r>
              <w:rPr>
                <w:sz w:val="15"/>
              </w:rPr>
              <w:t>Foreign direct investment in U.S.</w:t>
            </w:r>
          </w:p>
        </w:tc>
        <w:tc>
          <w:tcPr>
            <w:tcW w:w="2592" w:type="dxa"/>
            <w:vAlign w:val="center"/>
          </w:tcPr>
          <w:p w14:paraId="5D6E0BB6" w14:textId="77777777" w:rsidR="00A55308" w:rsidRDefault="00A55308" w:rsidP="00406F1D">
            <w:r>
              <w:rPr>
                <w:sz w:val="15"/>
              </w:rPr>
              <w:t>$5.86 trillion at end-2025</w:t>
            </w:r>
          </w:p>
        </w:tc>
        <w:tc>
          <w:tcPr>
            <w:tcW w:w="2592" w:type="dxa"/>
            <w:vAlign w:val="center"/>
          </w:tcPr>
          <w:p w14:paraId="61C42BEB" w14:textId="77777777" w:rsidR="00A55308" w:rsidRDefault="00A55308" w:rsidP="00406F1D">
            <w:r>
              <w:rPr>
                <w:sz w:val="15"/>
              </w:rPr>
              <w:t>The U.S. remains a major destination for long-term foreign capital.</w:t>
            </w:r>
          </w:p>
        </w:tc>
        <w:tc>
          <w:tcPr>
            <w:tcW w:w="2592" w:type="dxa"/>
            <w:vAlign w:val="center"/>
          </w:tcPr>
          <w:p w14:paraId="3DD5B84E" w14:textId="77777777" w:rsidR="00A55308" w:rsidRDefault="00A55308" w:rsidP="00406F1D">
            <w:r>
              <w:rPr>
                <w:sz w:val="15"/>
              </w:rPr>
              <w:t xml:space="preserve">Manufacturing and technology investment </w:t>
            </w:r>
            <w:proofErr w:type="gramStart"/>
            <w:r>
              <w:rPr>
                <w:sz w:val="15"/>
              </w:rPr>
              <w:t>support</w:t>
            </w:r>
            <w:proofErr w:type="gramEnd"/>
            <w:r>
              <w:rPr>
                <w:sz w:val="15"/>
              </w:rPr>
              <w:t xml:space="preserve"> domestic capacity.</w:t>
            </w:r>
          </w:p>
        </w:tc>
      </w:tr>
    </w:tbl>
    <w:p w14:paraId="31B27177" w14:textId="77777777" w:rsidR="00A55308" w:rsidRDefault="00A55308" w:rsidP="00A55308">
      <w:pPr>
        <w:jc w:val="center"/>
      </w:pPr>
      <w:r>
        <w:rPr>
          <w:noProof/>
        </w:rPr>
        <w:lastRenderedPageBreak/>
        <w:drawing>
          <wp:inline distT="0" distB="0" distL="0" distR="0" wp14:anchorId="7AF52BE1" wp14:editId="2AA15BAA">
            <wp:extent cx="4937760" cy="2759336"/>
            <wp:effectExtent l="0" t="0" r="0" b="0"/>
            <wp:docPr id="956756353" name="Picture 956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_fdi_position.png"/>
                    <pic:cNvPicPr/>
                  </pic:nvPicPr>
                  <pic:blipFill>
                    <a:blip r:embed="rId25"/>
                    <a:stretch>
                      <a:fillRect/>
                    </a:stretch>
                  </pic:blipFill>
                  <pic:spPr>
                    <a:xfrm>
                      <a:off x="0" y="0"/>
                      <a:ext cx="4937760" cy="2759336"/>
                    </a:xfrm>
                    <a:prstGeom prst="rect">
                      <a:avLst/>
                    </a:prstGeom>
                  </pic:spPr>
                </pic:pic>
              </a:graphicData>
            </a:graphic>
          </wp:inline>
        </w:drawing>
      </w:r>
    </w:p>
    <w:p w14:paraId="25B7B28E" w14:textId="77777777" w:rsidR="00A55308" w:rsidRDefault="00A55308" w:rsidP="00A55308">
      <w:r>
        <w:rPr>
          <w:b/>
          <w:color w:val="1F3756"/>
        </w:rPr>
      </w:r>
      <w:r>
        <w:t>The United States is both a major exporter and importer of long-term capital. U.S. companies hold a very large stock of investment abroad, while foreign companies continue to commit substantial capital to the U.S. economy. This two-way investment relationship is a major source of economic integration and business resilience.</w:t>
      </w:r>
    </w:p>
    <w:p w14:paraId="1349C0A3" w14:textId="77777777" w:rsidR="00A55308" w:rsidRDefault="00A55308" w:rsidP="00A55308">
      <w:r>
        <w:rPr>
          <w:b/>
        </w:rPr>
        <w:t xml:space="preserve">Source: </w:t>
      </w:r>
      <w:r>
        <w:rPr>
          <w:i/>
        </w:rPr>
        <w:t>U.S. Bureau of Economic Analysis, International Transactions and Direct Investment releases, 2026.</w:t>
      </w:r>
    </w:p>
    <w:p w14:paraId="0F6FF8E5" w14:textId="77777777" w:rsidR="00A55308" w:rsidRDefault="00A55308" w:rsidP="00A55308">
      <w:r>
        <w:br w:type="page"/>
      </w:r>
    </w:p>
    <w:p w14:paraId="55AC2E33" w14:textId="77777777" w:rsidR="00A55308" w:rsidRDefault="00A55308" w:rsidP="00A55308">
      <w:pPr>
        <w:pStyle w:val="Heading1"/>
      </w:pPr>
      <w:r>
        <w:lastRenderedPageBreak/>
        <w:t>9. GLOBAL INTEREST RATE ENVIRONMENT</w:t>
      </w:r>
    </w:p>
    <w:p w14:paraId="49753F88" w14:textId="77777777" w:rsidR="00A55308" w:rsidRDefault="00A55308" w:rsidP="00A55308">
      <w:r>
        <w:rPr>
          <w:i/>
          <w:color w:val="5A5A5A"/>
        </w:rPr>
        <w:t>Fed vs ECB, Bank of Japan, Bank of England and Reserve Bank of Australia</w:t>
      </w:r>
    </w:p>
    <w:p w14:paraId="3213188D" w14:textId="77777777" w:rsidR="00A55308" w:rsidRDefault="00A55308" w:rsidP="00A55308">
      <w:r>
        <w:t>Global monetary policy is no longer moving in one direction. Central banks are responding to different combinations of inflation, growth and energy risk. The Federal Reserve and Bank of England remain relatively restrictive, the Bank of Japan continues to normalize from a very low starting point, and the ECB has moved back toward tighter policy as energy-related inflation pressure returned.</w:t>
      </w:r>
    </w:p>
    <w:p w14:paraId="21A1B264" w14:textId="77777777" w:rsidR="00A55308" w:rsidRDefault="00A55308" w:rsidP="00A55308">
      <w:pPr>
        <w:jc w:val="center"/>
      </w:pPr>
      <w:r>
        <w:rPr>
          <w:noProof/>
        </w:rPr>
        <w:drawing>
          <wp:inline distT="0" distB="0" distL="0" distR="0" wp14:anchorId="0B46453A" wp14:editId="21DA8BF4">
            <wp:extent cx="5943600" cy="3169920"/>
            <wp:effectExtent l="0" t="0" r="0" b="0"/>
            <wp:docPr id="18864969" name="Picture 188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policy_rates.png"/>
                    <pic:cNvPicPr/>
                  </pic:nvPicPr>
                  <pic:blipFill>
                    <a:blip r:embed="rId26"/>
                    <a:stretch>
                      <a:fillRect/>
                    </a:stretch>
                  </pic:blipFill>
                  <pic:spPr>
                    <a:xfrm>
                      <a:off x="0" y="0"/>
                      <a:ext cx="5943600" cy="3169920"/>
                    </a:xfrm>
                    <a:prstGeom prst="rect">
                      <a:avLst/>
                    </a:prstGeom>
                  </pic:spPr>
                </pic:pic>
              </a:graphicData>
            </a:graphic>
          </wp:inline>
        </w:drawing>
      </w:r>
    </w:p>
    <w:p w14:paraId="53455FA6" w14:textId="77777777" w:rsidR="00A55308" w:rsidRDefault="00A55308" w:rsidP="00A55308">
      <w:r>
        <w:rPr>
          <w:b/>
          <w:color w:val="1F3756"/>
        </w:rPr>
      </w:r>
      <w:r>
        <w:t>Policy rates remain meaningfully different across major economies. The U.S. and U.K. are still operating with relatively high rates, while Japan remains much lower despite gradual normalization. The gap between policy settings affects exchange rates, global capital flows and the relative attractiveness of U.S. financial assets.</w:t>
      </w:r>
    </w:p>
    <w:p w14:paraId="27733B6C" w14:textId="77777777" w:rsidR="00A55308" w:rsidRDefault="00A55308" w:rsidP="00A55308">
      <w:r>
        <w:rPr>
          <w:b/>
        </w:rPr>
        <w:t xml:space="preserve">Source: </w:t>
      </w:r>
      <w:r>
        <w:rPr>
          <w:i/>
        </w:rPr>
        <w:t>Federal Reserve (July 29, 2026); ECB (effective rate as of September 11, 2026; 25 bp increase announced September 10 and effective September 16); Bank of Japan; Bank of England; Reserve Bank of Australia.</w:t>
      </w:r>
    </w:p>
    <w:p w14:paraId="0ABB6917" w14:textId="77777777" w:rsidR="00A55308" w:rsidRDefault="00A55308" w:rsidP="00A55308">
      <w:pPr>
        <w:pStyle w:val="Heading2"/>
      </w:pPr>
      <w:r>
        <w:t>Policy Comparison</w:t>
      </w:r>
    </w:p>
    <w:tbl>
      <w:tblPr>
        <w:tblW w:w="0" w:type="auto"/>
        <w:jc w:val="center"/>
        <w:tblLook w:val="04A0" w:firstRow="1" w:lastRow="0" w:firstColumn="1" w:lastColumn="0" w:noHBand="0" w:noVBand="1"/>
      </w:tblPr>
      <w:tblGrid>
        <w:gridCol w:w="2592"/>
        <w:gridCol w:w="2592"/>
        <w:gridCol w:w="2592"/>
        <w:gridCol w:w="2592"/>
      </w:tblGrid>
      <w:tr w:rsidR="00A55308" w14:paraId="591DCD4E" w14:textId="77777777" w:rsidTr="00406F1D">
        <w:trPr>
          <w:jc w:val="center"/>
        </w:trPr>
        <w:tc>
          <w:tcPr>
            <w:tcW w:w="2592" w:type="dxa"/>
            <w:shd w:val="clear" w:color="auto" w:fill="1F3756"/>
          </w:tcPr>
          <w:p w14:paraId="52BB5C70" w14:textId="77777777" w:rsidR="00A55308" w:rsidRDefault="00A55308" w:rsidP="00406F1D">
            <w:r>
              <w:rPr>
                <w:b/>
                <w:color w:val="FFFFFF"/>
                <w:sz w:val="16"/>
              </w:rPr>
              <w:t>Central Bank</w:t>
            </w:r>
          </w:p>
        </w:tc>
        <w:tc>
          <w:tcPr>
            <w:tcW w:w="2592" w:type="dxa"/>
            <w:shd w:val="clear" w:color="auto" w:fill="1F3756"/>
          </w:tcPr>
          <w:p w14:paraId="78D620A8" w14:textId="77777777" w:rsidR="00A55308" w:rsidRDefault="00A55308" w:rsidP="00406F1D">
            <w:r>
              <w:rPr>
                <w:b/>
                <w:color w:val="FFFFFF"/>
                <w:sz w:val="16"/>
              </w:rPr>
              <w:t>Policy Setting</w:t>
            </w:r>
          </w:p>
        </w:tc>
        <w:tc>
          <w:tcPr>
            <w:tcW w:w="2592" w:type="dxa"/>
            <w:shd w:val="clear" w:color="auto" w:fill="1F3756"/>
          </w:tcPr>
          <w:p w14:paraId="49AFC36B" w14:textId="77777777" w:rsidR="00A55308" w:rsidRDefault="00A55308" w:rsidP="00406F1D">
            <w:r>
              <w:rPr>
                <w:b/>
                <w:color w:val="FFFFFF"/>
                <w:sz w:val="16"/>
              </w:rPr>
              <w:t>Current Direction</w:t>
            </w:r>
          </w:p>
        </w:tc>
        <w:tc>
          <w:tcPr>
            <w:tcW w:w="2592" w:type="dxa"/>
            <w:shd w:val="clear" w:color="auto" w:fill="1F3756"/>
          </w:tcPr>
          <w:p w14:paraId="76E8B968" w14:textId="77777777" w:rsidR="00A55308" w:rsidRDefault="00A55308" w:rsidP="00406F1D">
            <w:r>
              <w:rPr>
                <w:b/>
                <w:color w:val="FFFFFF"/>
                <w:sz w:val="16"/>
              </w:rPr>
              <w:t>Macro Meaning</w:t>
            </w:r>
          </w:p>
        </w:tc>
      </w:tr>
      <w:tr w:rsidR="00A55308" w14:paraId="03EDB925" w14:textId="77777777" w:rsidTr="00406F1D">
        <w:trPr>
          <w:jc w:val="center"/>
        </w:trPr>
        <w:tc>
          <w:tcPr>
            <w:tcW w:w="2592" w:type="dxa"/>
          </w:tcPr>
          <w:p w14:paraId="675A135B" w14:textId="77777777" w:rsidR="00A55308" w:rsidRDefault="00A55308" w:rsidP="00406F1D">
            <w:r>
              <w:rPr>
                <w:sz w:val="15"/>
              </w:rPr>
              <w:t>Federal Reserve</w:t>
            </w:r>
          </w:p>
        </w:tc>
        <w:tc>
          <w:tcPr>
            <w:tcW w:w="2592" w:type="dxa"/>
          </w:tcPr>
          <w:p w14:paraId="05A58B17" w14:textId="77777777" w:rsidR="00A55308" w:rsidRDefault="00A55308" w:rsidP="00406F1D">
            <w:r>
              <w:rPr>
                <w:sz w:val="15"/>
              </w:rPr>
              <w:t>3.50–3.75% target range</w:t>
            </w:r>
          </w:p>
        </w:tc>
        <w:tc>
          <w:tcPr>
            <w:tcW w:w="2592" w:type="dxa"/>
          </w:tcPr>
          <w:p w14:paraId="3AD59C97" w14:textId="77777777" w:rsidR="00A55308" w:rsidRDefault="00A55308" w:rsidP="00406F1D">
            <w:r>
              <w:rPr>
                <w:sz w:val="15"/>
              </w:rPr>
              <w:t>Hold / data-dependent</w:t>
            </w:r>
          </w:p>
        </w:tc>
        <w:tc>
          <w:tcPr>
            <w:tcW w:w="2592" w:type="dxa"/>
          </w:tcPr>
          <w:p w14:paraId="2FE51F47" w14:textId="77777777" w:rsidR="00A55308" w:rsidRDefault="00A55308" w:rsidP="00406F1D">
            <w:r>
              <w:rPr>
                <w:sz w:val="15"/>
              </w:rPr>
              <w:t>Policy remains restrictive as inflation stays above target.</w:t>
            </w:r>
          </w:p>
        </w:tc>
      </w:tr>
      <w:tr w:rsidR="00A55308" w14:paraId="62182056" w14:textId="77777777" w:rsidTr="00406F1D">
        <w:trPr>
          <w:jc w:val="center"/>
        </w:trPr>
        <w:tc>
          <w:tcPr>
            <w:tcW w:w="2592" w:type="dxa"/>
          </w:tcPr>
          <w:p w14:paraId="51E46575" w14:textId="77777777" w:rsidR="00A55308" w:rsidRDefault="00A55308" w:rsidP="00406F1D">
            <w:r>
              <w:rPr>
                <w:sz w:val="15"/>
              </w:rPr>
              <w:t>ECB</w:t>
            </w:r>
          </w:p>
        </w:tc>
        <w:tc>
          <w:tcPr>
            <w:tcW w:w="2592" w:type="dxa"/>
          </w:tcPr>
          <w:p w14:paraId="42150901" w14:textId="77777777" w:rsidR="00A55308" w:rsidRDefault="00A55308" w:rsidP="00406F1D">
            <w:r>
              <w:rPr>
                <w:sz w:val="15"/>
              </w:rPr>
              <w:t>2.25% deposit rate as of Sep. 11; 2.50% announced for Sep. 16</w:t>
            </w:r>
          </w:p>
        </w:tc>
        <w:tc>
          <w:tcPr>
            <w:tcW w:w="2592" w:type="dxa"/>
          </w:tcPr>
          <w:p w14:paraId="3C073A7D" w14:textId="77777777" w:rsidR="00A55308" w:rsidRDefault="00A55308" w:rsidP="00406F1D">
            <w:r>
              <w:rPr>
                <w:sz w:val="15"/>
              </w:rPr>
              <w:t>Tightening</w:t>
            </w:r>
          </w:p>
        </w:tc>
        <w:tc>
          <w:tcPr>
            <w:tcW w:w="2592" w:type="dxa"/>
          </w:tcPr>
          <w:p w14:paraId="7C5BA00D" w14:textId="77777777" w:rsidR="00A55308" w:rsidRDefault="00A55308" w:rsidP="00406F1D">
            <w:r>
              <w:rPr>
                <w:sz w:val="15"/>
              </w:rPr>
              <w:t>Energy-related inflation pressure has pushed policy back toward restraint.</w:t>
            </w:r>
          </w:p>
        </w:tc>
      </w:tr>
      <w:tr w:rsidR="00A55308" w14:paraId="1266DD5B" w14:textId="77777777" w:rsidTr="00406F1D">
        <w:trPr>
          <w:jc w:val="center"/>
        </w:trPr>
        <w:tc>
          <w:tcPr>
            <w:tcW w:w="2592" w:type="dxa"/>
          </w:tcPr>
          <w:p w14:paraId="529D68C5" w14:textId="77777777" w:rsidR="00A55308" w:rsidRDefault="00A55308" w:rsidP="00406F1D">
            <w:r>
              <w:rPr>
                <w:sz w:val="15"/>
              </w:rPr>
              <w:t>Bank of Japan</w:t>
            </w:r>
          </w:p>
        </w:tc>
        <w:tc>
          <w:tcPr>
            <w:tcW w:w="2592" w:type="dxa"/>
          </w:tcPr>
          <w:p w14:paraId="7BC92C1F" w14:textId="77777777" w:rsidR="00A55308" w:rsidRDefault="00A55308" w:rsidP="00406F1D">
            <w:r>
              <w:rPr>
                <w:sz w:val="15"/>
              </w:rPr>
              <w:t>Around 1.0%</w:t>
            </w:r>
          </w:p>
        </w:tc>
        <w:tc>
          <w:tcPr>
            <w:tcW w:w="2592" w:type="dxa"/>
          </w:tcPr>
          <w:p w14:paraId="6FAEAA4E" w14:textId="77777777" w:rsidR="00A55308" w:rsidRDefault="00A55308" w:rsidP="00406F1D">
            <w:r>
              <w:rPr>
                <w:sz w:val="15"/>
              </w:rPr>
              <w:t>Gradual normalization</w:t>
            </w:r>
          </w:p>
        </w:tc>
        <w:tc>
          <w:tcPr>
            <w:tcW w:w="2592" w:type="dxa"/>
          </w:tcPr>
          <w:p w14:paraId="1AC854B8" w14:textId="77777777" w:rsidR="00A55308" w:rsidRDefault="00A55308" w:rsidP="00406F1D">
            <w:r>
              <w:rPr>
                <w:sz w:val="15"/>
              </w:rPr>
              <w:t>Japan is moving away from ultra-low rates but remains below peers.</w:t>
            </w:r>
          </w:p>
        </w:tc>
      </w:tr>
      <w:tr w:rsidR="00A55308" w14:paraId="0E4BDD28" w14:textId="77777777" w:rsidTr="00406F1D">
        <w:trPr>
          <w:jc w:val="center"/>
        </w:trPr>
        <w:tc>
          <w:tcPr>
            <w:tcW w:w="2592" w:type="dxa"/>
          </w:tcPr>
          <w:p w14:paraId="0F469C9E" w14:textId="77777777" w:rsidR="00A55308" w:rsidRDefault="00A55308" w:rsidP="00406F1D">
            <w:r>
              <w:rPr>
                <w:sz w:val="15"/>
              </w:rPr>
              <w:t>Bank of England</w:t>
            </w:r>
          </w:p>
        </w:tc>
        <w:tc>
          <w:tcPr>
            <w:tcW w:w="2592" w:type="dxa"/>
          </w:tcPr>
          <w:p w14:paraId="22F3017D" w14:textId="77777777" w:rsidR="00A55308" w:rsidRDefault="00A55308" w:rsidP="00406F1D">
            <w:r>
              <w:rPr>
                <w:sz w:val="15"/>
              </w:rPr>
              <w:t>3.75%</w:t>
            </w:r>
          </w:p>
        </w:tc>
        <w:tc>
          <w:tcPr>
            <w:tcW w:w="2592" w:type="dxa"/>
          </w:tcPr>
          <w:p w14:paraId="5F8CD2B4" w14:textId="77777777" w:rsidR="00A55308" w:rsidRDefault="00A55308" w:rsidP="00406F1D">
            <w:r>
              <w:rPr>
                <w:sz w:val="15"/>
              </w:rPr>
              <w:t>Hold with upside inflation risk</w:t>
            </w:r>
          </w:p>
        </w:tc>
        <w:tc>
          <w:tcPr>
            <w:tcW w:w="2592" w:type="dxa"/>
          </w:tcPr>
          <w:p w14:paraId="387C295E" w14:textId="77777777" w:rsidR="00A55308" w:rsidRDefault="00A55308" w:rsidP="00406F1D">
            <w:r>
              <w:rPr>
                <w:sz w:val="15"/>
              </w:rPr>
              <w:t>Policy remains restrictive as energy risks complicate disinflation.</w:t>
            </w:r>
          </w:p>
        </w:tc>
      </w:tr>
      <w:tr w:rsidR="00A55308" w14:paraId="1E7A6C08" w14:textId="77777777" w:rsidTr="00406F1D">
        <w:trPr>
          <w:jc w:val="center"/>
        </w:trPr>
        <w:tc>
          <w:tcPr>
            <w:tcW w:w="2592" w:type="dxa"/>
          </w:tcPr>
          <w:p w14:paraId="0F70117D" w14:textId="77777777" w:rsidR="00A55308" w:rsidRDefault="00A55308" w:rsidP="00406F1D">
            <w:r>
              <w:rPr>
                <w:sz w:val="15"/>
              </w:rPr>
              <w:t>Reserve Bank of Australia</w:t>
            </w:r>
          </w:p>
        </w:tc>
        <w:tc>
          <w:tcPr>
            <w:tcW w:w="2592" w:type="dxa"/>
          </w:tcPr>
          <w:p w14:paraId="595BA699" w14:textId="77777777" w:rsidR="00A55308" w:rsidRDefault="00A55308" w:rsidP="00406F1D">
            <w:r>
              <w:rPr>
                <w:sz w:val="15"/>
              </w:rPr>
              <w:t>4.35%</w:t>
            </w:r>
          </w:p>
        </w:tc>
        <w:tc>
          <w:tcPr>
            <w:tcW w:w="2592" w:type="dxa"/>
          </w:tcPr>
          <w:p w14:paraId="2C1332A5" w14:textId="77777777" w:rsidR="00A55308" w:rsidRDefault="00A55308" w:rsidP="00406F1D">
            <w:r>
              <w:rPr>
                <w:sz w:val="15"/>
              </w:rPr>
              <w:t>Hold</w:t>
            </w:r>
          </w:p>
        </w:tc>
        <w:tc>
          <w:tcPr>
            <w:tcW w:w="2592" w:type="dxa"/>
          </w:tcPr>
          <w:p w14:paraId="778AAF77" w14:textId="77777777" w:rsidR="00A55308" w:rsidRDefault="00A55308" w:rsidP="00406F1D">
            <w:r>
              <w:rPr>
                <w:sz w:val="15"/>
              </w:rPr>
              <w:t>Inflation remains high enough to keep policy restrictive.</w:t>
            </w:r>
          </w:p>
        </w:tc>
      </w:tr>
    </w:tbl>
    <w:p w14:paraId="598F35DD" w14:textId="77777777" w:rsidR="00A55308" w:rsidRDefault="00A55308" w:rsidP="00A55308">
      <w:pPr>
        <w:pStyle w:val="Heading2"/>
      </w:pPr>
      <w:r>
        <w:t>What It Means for the U.S.</w:t>
      </w:r>
    </w:p>
    <w:p w14:paraId="661239A6" w14:textId="77777777" w:rsidR="00A55308" w:rsidRDefault="00A55308" w:rsidP="00A55308">
      <w:r>
        <w:rPr>
          <w:b/>
          <w:color w:val="1F3756"/>
        </w:rPr>
        <w:t xml:space="preserve">Dollar: </w:t>
      </w:r>
      <w:r>
        <w:t>Higher U.S. rates relative to some peers can support the dollar, although growth and risk sentiment also matter.</w:t>
      </w:r>
    </w:p>
    <w:p w14:paraId="643A7164" w14:textId="77777777" w:rsidR="00A55308" w:rsidRDefault="00A55308" w:rsidP="00A55308">
      <w:r>
        <w:rPr>
          <w:b/>
          <w:color w:val="1F3756"/>
        </w:rPr>
        <w:lastRenderedPageBreak/>
        <w:t xml:space="preserve">Capital Flows: </w:t>
      </w:r>
      <w:r>
        <w:t>Rate differentials influence demand for Treasuries, corporate bonds and other U.S. assets.</w:t>
      </w:r>
    </w:p>
    <w:p w14:paraId="311CEC3C" w14:textId="77777777" w:rsidR="00A55308" w:rsidRDefault="00A55308" w:rsidP="00A55308">
      <w:r>
        <w:rPr>
          <w:b/>
          <w:color w:val="1F3756"/>
        </w:rPr>
        <w:t xml:space="preserve">Trade: </w:t>
      </w:r>
      <w:r>
        <w:t>A stronger dollar can reduce import costs but makes U.S. exports less competitive.</w:t>
      </w:r>
    </w:p>
    <w:p w14:paraId="3D9F8AA5" w14:textId="77777777" w:rsidR="00A55308" w:rsidRDefault="00A55308" w:rsidP="00A55308">
      <w:r>
        <w:rPr>
          <w:b/>
          <w:color w:val="1F3756"/>
        </w:rPr>
        <w:t xml:space="preserve">Financial Conditions: </w:t>
      </w:r>
      <w:r>
        <w:t>Global tightening can reinforce U.S. financial restraint even without a change in the Fed's own policy rate.</w:t>
      </w:r>
    </w:p>
    <w:p w14:paraId="2C96B568" w14:textId="77777777" w:rsidR="00A55308" w:rsidRDefault="00A55308" w:rsidP="00A55308">
      <w:r>
        <w:br w:type="page"/>
      </w:r>
    </w:p>
    <w:p w14:paraId="2CBA2BFA" w14:textId="77777777" w:rsidR="00A55308" w:rsidRDefault="00A55308" w:rsidP="00A55308">
      <w:pPr>
        <w:pStyle w:val="Heading1"/>
      </w:pPr>
      <w:r>
        <w:lastRenderedPageBreak/>
        <w:t>10. GEOPOLITICAL RISKS TO THE U.S. ECONOMY</w:t>
      </w:r>
    </w:p>
    <w:p w14:paraId="7D35DD73" w14:textId="77777777" w:rsidR="00A55308" w:rsidRDefault="00A55308" w:rsidP="00A55308">
      <w:r>
        <w:rPr>
          <w:i/>
          <w:color w:val="5A5A5A"/>
        </w:rPr>
        <w:t>Trade, Conflict and Supply Chains | Risk Map</w:t>
      </w:r>
    </w:p>
    <w:p w14:paraId="167D777F" w14:textId="77777777" w:rsidR="00A55308" w:rsidRDefault="00A55308" w:rsidP="00A55308">
      <w:r>
        <w:t>Geopolitical risk affects the U.S. economy mainly through energy prices, trade rules, technology restrictions, shipping routes and financial-market confidence. The most important current risks are concentrated in the Middle East, the U.S.–China relationship and the wider European security environment. These risks do not affect every sector equally: energy, manufacturing, technology, transport and globally exposed companies are usually the most sensitive.</w:t>
      </w:r>
    </w:p>
    <w:p w14:paraId="665DFA35" w14:textId="77777777" w:rsidR="00A55308" w:rsidRDefault="00A55308" w:rsidP="00A55308">
      <w:pPr>
        <w:jc w:val="center"/>
      </w:pPr>
      <w:r>
        <w:rPr>
          <w:noProof/>
        </w:rPr>
        <w:drawing>
          <wp:inline distT="0" distB="0" distL="0" distR="0" wp14:anchorId="5837C6DD" wp14:editId="6ED4E11A">
            <wp:extent cx="6400800" cy="3371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political_risk_map.png"/>
                    <pic:cNvPicPr/>
                  </pic:nvPicPr>
                  <pic:blipFill>
                    <a:blip r:embed="rId27"/>
                    <a:stretch>
                      <a:fillRect/>
                    </a:stretch>
                  </pic:blipFill>
                  <pic:spPr>
                    <a:xfrm>
                      <a:off x="0" y="0"/>
                      <a:ext cx="6400800" cy="3371304"/>
                    </a:xfrm>
                    <a:prstGeom prst="rect">
                      <a:avLst/>
                    </a:prstGeom>
                  </pic:spPr>
                </pic:pic>
              </a:graphicData>
            </a:graphic>
          </wp:inline>
        </w:drawing>
      </w:r>
    </w:p>
    <w:p w14:paraId="3E54B080" w14:textId="77777777" w:rsidR="00A55308" w:rsidRDefault="00A55308" w:rsidP="00A55308">
      <w:r>
        <w:rPr>
          <w:b/>
          <w:color w:val="1F3756"/>
        </w:rPr>
      </w:r>
      <w:r>
        <w:t xml:space="preserve">The highest near-term risks are concentrated around the Middle East energy and shipping channel and the U.S.–China trade and technology relationship. European security risks remain important because they influence </w:t>
      </w:r>
      <w:proofErr w:type="spellStart"/>
      <w:r>
        <w:t>defence</w:t>
      </w:r>
      <w:proofErr w:type="spellEnd"/>
      <w:r>
        <w:t xml:space="preserve"> spending, energy markets and confidence. The common feature across all regions is that geopolitical shocks reach the U.S. through prices, supply chains, trade and financial conditions rather than through one single channel.</w:t>
      </w:r>
    </w:p>
    <w:p w14:paraId="5203F1E5" w14:textId="77777777" w:rsidR="00A55308" w:rsidRDefault="00A55308" w:rsidP="00A55308">
      <w:pPr>
        <w:pStyle w:val="Heading2"/>
      </w:pPr>
      <w:r>
        <w:t>Geopolitical Risk Matrix</w:t>
      </w:r>
    </w:p>
    <w:tbl>
      <w:tblPr>
        <w:tblW w:w="0" w:type="auto"/>
        <w:jc w:val="center"/>
        <w:tblLook w:val="04A0" w:firstRow="1" w:lastRow="0" w:firstColumn="1" w:lastColumn="0" w:noHBand="0" w:noVBand="1"/>
      </w:tblPr>
      <w:tblGrid>
        <w:gridCol w:w="2073"/>
        <w:gridCol w:w="2073"/>
        <w:gridCol w:w="2074"/>
        <w:gridCol w:w="2074"/>
        <w:gridCol w:w="2074"/>
      </w:tblGrid>
      <w:tr w:rsidR="00A55308" w14:paraId="6B83BBA9" w14:textId="77777777" w:rsidTr="00406F1D">
        <w:trPr>
          <w:jc w:val="center"/>
        </w:trPr>
        <w:tc>
          <w:tcPr>
            <w:tcW w:w="2074" w:type="dxa"/>
            <w:shd w:val="clear" w:color="auto" w:fill="1F3756"/>
          </w:tcPr>
          <w:p w14:paraId="7C63BE65" w14:textId="77777777" w:rsidR="00A55308" w:rsidRDefault="00A55308" w:rsidP="00406F1D">
            <w:r>
              <w:rPr>
                <w:b/>
                <w:color w:val="FFFFFF"/>
                <w:sz w:val="15"/>
              </w:rPr>
              <w:t>Risk Area</w:t>
            </w:r>
          </w:p>
        </w:tc>
        <w:tc>
          <w:tcPr>
            <w:tcW w:w="2074" w:type="dxa"/>
            <w:shd w:val="clear" w:color="auto" w:fill="1F3756"/>
          </w:tcPr>
          <w:p w14:paraId="198C3197" w14:textId="77777777" w:rsidR="00A55308" w:rsidRDefault="00A55308" w:rsidP="00406F1D">
            <w:r>
              <w:rPr>
                <w:b/>
                <w:color w:val="FFFFFF"/>
                <w:sz w:val="15"/>
              </w:rPr>
              <w:t>Current Risk</w:t>
            </w:r>
          </w:p>
        </w:tc>
        <w:tc>
          <w:tcPr>
            <w:tcW w:w="2074" w:type="dxa"/>
            <w:shd w:val="clear" w:color="auto" w:fill="1F3756"/>
          </w:tcPr>
          <w:p w14:paraId="32571BF0" w14:textId="77777777" w:rsidR="00A55308" w:rsidRDefault="00A55308" w:rsidP="00406F1D">
            <w:r>
              <w:rPr>
                <w:b/>
                <w:color w:val="FFFFFF"/>
                <w:sz w:val="15"/>
              </w:rPr>
              <w:t>U.S. Transmission</w:t>
            </w:r>
          </w:p>
        </w:tc>
        <w:tc>
          <w:tcPr>
            <w:tcW w:w="2074" w:type="dxa"/>
            <w:shd w:val="clear" w:color="auto" w:fill="1F3756"/>
          </w:tcPr>
          <w:p w14:paraId="52D794DD" w14:textId="77777777" w:rsidR="00A55308" w:rsidRDefault="00A55308" w:rsidP="00406F1D">
            <w:r>
              <w:rPr>
                <w:b/>
                <w:color w:val="FFFFFF"/>
                <w:sz w:val="15"/>
              </w:rPr>
              <w:t>Most Exposed</w:t>
            </w:r>
          </w:p>
        </w:tc>
        <w:tc>
          <w:tcPr>
            <w:tcW w:w="2074" w:type="dxa"/>
            <w:shd w:val="clear" w:color="auto" w:fill="1F3756"/>
          </w:tcPr>
          <w:p w14:paraId="3376B17C" w14:textId="77777777" w:rsidR="00A55308" w:rsidRDefault="00A55308" w:rsidP="00406F1D">
            <w:r>
              <w:rPr>
                <w:b/>
                <w:color w:val="FFFFFF"/>
                <w:sz w:val="15"/>
              </w:rPr>
              <w:t>What to Watch</w:t>
            </w:r>
          </w:p>
        </w:tc>
      </w:tr>
      <w:tr w:rsidR="00A55308" w14:paraId="4AAA6852" w14:textId="77777777" w:rsidTr="00406F1D">
        <w:trPr>
          <w:jc w:val="center"/>
        </w:trPr>
        <w:tc>
          <w:tcPr>
            <w:tcW w:w="2074" w:type="dxa"/>
          </w:tcPr>
          <w:p w14:paraId="37C32587" w14:textId="77777777" w:rsidR="00A55308" w:rsidRDefault="00A55308" w:rsidP="00406F1D">
            <w:r>
              <w:rPr>
                <w:sz w:val="14"/>
              </w:rPr>
              <w:t>Middle East / Strait of Hormuz</w:t>
            </w:r>
          </w:p>
        </w:tc>
        <w:tc>
          <w:tcPr>
            <w:tcW w:w="2074" w:type="dxa"/>
          </w:tcPr>
          <w:p w14:paraId="54836B82" w14:textId="77777777" w:rsidR="00A55308" w:rsidRDefault="00A55308" w:rsidP="00406F1D">
            <w:r>
              <w:rPr>
                <w:sz w:val="14"/>
              </w:rPr>
              <w:t>High</w:t>
            </w:r>
          </w:p>
        </w:tc>
        <w:tc>
          <w:tcPr>
            <w:tcW w:w="2074" w:type="dxa"/>
          </w:tcPr>
          <w:p w14:paraId="50C02E4C" w14:textId="77777777" w:rsidR="00A55308" w:rsidRDefault="00A55308" w:rsidP="00406F1D">
            <w:r>
              <w:rPr>
                <w:sz w:val="14"/>
              </w:rPr>
              <w:t>Oil, gas, freight, insurance and inflation</w:t>
            </w:r>
          </w:p>
        </w:tc>
        <w:tc>
          <w:tcPr>
            <w:tcW w:w="2074" w:type="dxa"/>
          </w:tcPr>
          <w:p w14:paraId="77BCEBCD" w14:textId="77777777" w:rsidR="00A55308" w:rsidRDefault="00A55308" w:rsidP="00406F1D">
            <w:r>
              <w:rPr>
                <w:sz w:val="14"/>
              </w:rPr>
              <w:t>Energy, airlines, transport, chemicals, consumers</w:t>
            </w:r>
          </w:p>
        </w:tc>
        <w:tc>
          <w:tcPr>
            <w:tcW w:w="2074" w:type="dxa"/>
          </w:tcPr>
          <w:p w14:paraId="25AF21A4" w14:textId="77777777" w:rsidR="00A55308" w:rsidRDefault="00A55308" w:rsidP="00406F1D">
            <w:r>
              <w:rPr>
                <w:sz w:val="14"/>
              </w:rPr>
              <w:t>Shipping normalization, oil supply and energy prices</w:t>
            </w:r>
          </w:p>
        </w:tc>
      </w:tr>
      <w:tr w:rsidR="00A55308" w14:paraId="04405886" w14:textId="77777777" w:rsidTr="00406F1D">
        <w:trPr>
          <w:jc w:val="center"/>
        </w:trPr>
        <w:tc>
          <w:tcPr>
            <w:tcW w:w="2074" w:type="dxa"/>
          </w:tcPr>
          <w:p w14:paraId="0670E02B" w14:textId="77777777" w:rsidR="00A55308" w:rsidRDefault="00A55308" w:rsidP="00406F1D">
            <w:r>
              <w:rPr>
                <w:sz w:val="14"/>
              </w:rPr>
              <w:t>U.S.–China trade &amp; technology</w:t>
            </w:r>
          </w:p>
        </w:tc>
        <w:tc>
          <w:tcPr>
            <w:tcW w:w="2074" w:type="dxa"/>
          </w:tcPr>
          <w:p w14:paraId="335484F3" w14:textId="77777777" w:rsidR="00A55308" w:rsidRDefault="00A55308" w:rsidP="00406F1D">
            <w:r>
              <w:rPr>
                <w:sz w:val="14"/>
              </w:rPr>
              <w:t>High</w:t>
            </w:r>
          </w:p>
        </w:tc>
        <w:tc>
          <w:tcPr>
            <w:tcW w:w="2074" w:type="dxa"/>
          </w:tcPr>
          <w:p w14:paraId="4C7D2203" w14:textId="77777777" w:rsidR="00A55308" w:rsidRDefault="00A55308" w:rsidP="00406F1D">
            <w:r>
              <w:rPr>
                <w:sz w:val="14"/>
              </w:rPr>
              <w:t>Tariffs, semiconductors, critical inputs and business confidence</w:t>
            </w:r>
          </w:p>
        </w:tc>
        <w:tc>
          <w:tcPr>
            <w:tcW w:w="2074" w:type="dxa"/>
          </w:tcPr>
          <w:p w14:paraId="778EAEB8" w14:textId="77777777" w:rsidR="00A55308" w:rsidRDefault="00A55308" w:rsidP="00406F1D">
            <w:r>
              <w:rPr>
                <w:sz w:val="14"/>
              </w:rPr>
              <w:t>Technology, manufacturing, agriculture, retail</w:t>
            </w:r>
          </w:p>
        </w:tc>
        <w:tc>
          <w:tcPr>
            <w:tcW w:w="2074" w:type="dxa"/>
          </w:tcPr>
          <w:p w14:paraId="37D1BCAF" w14:textId="77777777" w:rsidR="00A55308" w:rsidRDefault="00A55308" w:rsidP="00406F1D">
            <w:r>
              <w:rPr>
                <w:sz w:val="14"/>
              </w:rPr>
              <w:t>Tariff framework, export controls and bilateral trade mechanism</w:t>
            </w:r>
          </w:p>
        </w:tc>
      </w:tr>
      <w:tr w:rsidR="00A55308" w14:paraId="323F6B63" w14:textId="77777777" w:rsidTr="00406F1D">
        <w:trPr>
          <w:jc w:val="center"/>
        </w:trPr>
        <w:tc>
          <w:tcPr>
            <w:tcW w:w="2074" w:type="dxa"/>
          </w:tcPr>
          <w:p w14:paraId="3390C314" w14:textId="77777777" w:rsidR="00A55308" w:rsidRDefault="00A55308" w:rsidP="00406F1D">
            <w:r>
              <w:rPr>
                <w:sz w:val="14"/>
              </w:rPr>
              <w:t>Russia–Ukraine / Europe</w:t>
            </w:r>
          </w:p>
        </w:tc>
        <w:tc>
          <w:tcPr>
            <w:tcW w:w="2074" w:type="dxa"/>
          </w:tcPr>
          <w:p w14:paraId="5398AB29" w14:textId="77777777" w:rsidR="00A55308" w:rsidRDefault="00A55308" w:rsidP="00406F1D">
            <w:r>
              <w:rPr>
                <w:sz w:val="14"/>
              </w:rPr>
              <w:t>Medium-High</w:t>
            </w:r>
          </w:p>
        </w:tc>
        <w:tc>
          <w:tcPr>
            <w:tcW w:w="2074" w:type="dxa"/>
          </w:tcPr>
          <w:p w14:paraId="22EB1605" w14:textId="77777777" w:rsidR="00A55308" w:rsidRDefault="00A55308" w:rsidP="00406F1D">
            <w:r>
              <w:rPr>
                <w:sz w:val="14"/>
              </w:rPr>
              <w:t xml:space="preserve">Energy, </w:t>
            </w:r>
            <w:proofErr w:type="spellStart"/>
            <w:r>
              <w:rPr>
                <w:sz w:val="14"/>
              </w:rPr>
              <w:t>defence</w:t>
            </w:r>
            <w:proofErr w:type="spellEnd"/>
            <w:r>
              <w:rPr>
                <w:sz w:val="14"/>
              </w:rPr>
              <w:t xml:space="preserve"> spending, commodities and European demand</w:t>
            </w:r>
          </w:p>
        </w:tc>
        <w:tc>
          <w:tcPr>
            <w:tcW w:w="2074" w:type="dxa"/>
          </w:tcPr>
          <w:p w14:paraId="2FB8744A" w14:textId="77777777" w:rsidR="00A55308" w:rsidRDefault="00A55308" w:rsidP="00406F1D">
            <w:r>
              <w:rPr>
                <w:sz w:val="14"/>
              </w:rPr>
              <w:t xml:space="preserve">Industrials, </w:t>
            </w:r>
            <w:proofErr w:type="spellStart"/>
            <w:r>
              <w:rPr>
                <w:sz w:val="14"/>
              </w:rPr>
              <w:t>defence</w:t>
            </w:r>
            <w:proofErr w:type="spellEnd"/>
            <w:r>
              <w:rPr>
                <w:sz w:val="14"/>
              </w:rPr>
              <w:t>, energy, global exporters</w:t>
            </w:r>
          </w:p>
        </w:tc>
        <w:tc>
          <w:tcPr>
            <w:tcW w:w="2074" w:type="dxa"/>
          </w:tcPr>
          <w:p w14:paraId="525216BE" w14:textId="77777777" w:rsidR="00A55308" w:rsidRDefault="00A55308" w:rsidP="00406F1D">
            <w:r>
              <w:rPr>
                <w:sz w:val="14"/>
              </w:rPr>
              <w:t>Conflict path, sanctions and European growth</w:t>
            </w:r>
          </w:p>
        </w:tc>
      </w:tr>
      <w:tr w:rsidR="00A55308" w14:paraId="57383481" w14:textId="77777777" w:rsidTr="00406F1D">
        <w:trPr>
          <w:jc w:val="center"/>
        </w:trPr>
        <w:tc>
          <w:tcPr>
            <w:tcW w:w="2074" w:type="dxa"/>
          </w:tcPr>
          <w:p w14:paraId="4607922D" w14:textId="77777777" w:rsidR="00A55308" w:rsidRDefault="00A55308" w:rsidP="00406F1D">
            <w:r>
              <w:rPr>
                <w:sz w:val="14"/>
              </w:rPr>
              <w:t>Global maritime routes</w:t>
            </w:r>
          </w:p>
        </w:tc>
        <w:tc>
          <w:tcPr>
            <w:tcW w:w="2074" w:type="dxa"/>
          </w:tcPr>
          <w:p w14:paraId="2B7FA0B1" w14:textId="77777777" w:rsidR="00A55308" w:rsidRDefault="00A55308" w:rsidP="00406F1D">
            <w:r>
              <w:rPr>
                <w:sz w:val="14"/>
              </w:rPr>
              <w:t>Medium-High</w:t>
            </w:r>
          </w:p>
        </w:tc>
        <w:tc>
          <w:tcPr>
            <w:tcW w:w="2074" w:type="dxa"/>
          </w:tcPr>
          <w:p w14:paraId="5A445FB2" w14:textId="77777777" w:rsidR="00A55308" w:rsidRDefault="00A55308" w:rsidP="00406F1D">
            <w:r>
              <w:rPr>
                <w:sz w:val="14"/>
              </w:rPr>
              <w:t>Freight costs, delivery times and inventory requirements</w:t>
            </w:r>
          </w:p>
        </w:tc>
        <w:tc>
          <w:tcPr>
            <w:tcW w:w="2074" w:type="dxa"/>
          </w:tcPr>
          <w:p w14:paraId="0C180EC0" w14:textId="77777777" w:rsidR="00A55308" w:rsidRDefault="00A55308" w:rsidP="00406F1D">
            <w:r>
              <w:rPr>
                <w:sz w:val="14"/>
              </w:rPr>
              <w:t>Retail, manufacturing, logistics</w:t>
            </w:r>
          </w:p>
        </w:tc>
        <w:tc>
          <w:tcPr>
            <w:tcW w:w="2074" w:type="dxa"/>
          </w:tcPr>
          <w:p w14:paraId="11FAA27C" w14:textId="77777777" w:rsidR="00A55308" w:rsidRDefault="00A55308" w:rsidP="00406F1D">
            <w:r>
              <w:rPr>
                <w:sz w:val="14"/>
              </w:rPr>
              <w:t>Hormuz access, rerouting and insurance costs</w:t>
            </w:r>
          </w:p>
        </w:tc>
      </w:tr>
      <w:tr w:rsidR="00A55308" w14:paraId="676D6C66" w14:textId="77777777" w:rsidTr="00406F1D">
        <w:trPr>
          <w:jc w:val="center"/>
        </w:trPr>
        <w:tc>
          <w:tcPr>
            <w:tcW w:w="2074" w:type="dxa"/>
          </w:tcPr>
          <w:p w14:paraId="22432151" w14:textId="77777777" w:rsidR="00A55308" w:rsidRDefault="00A55308" w:rsidP="00406F1D">
            <w:r>
              <w:rPr>
                <w:sz w:val="14"/>
              </w:rPr>
              <w:t>Technology / semiconductor concentration</w:t>
            </w:r>
          </w:p>
        </w:tc>
        <w:tc>
          <w:tcPr>
            <w:tcW w:w="2074" w:type="dxa"/>
          </w:tcPr>
          <w:p w14:paraId="0461DBD9" w14:textId="77777777" w:rsidR="00A55308" w:rsidRDefault="00A55308" w:rsidP="00406F1D">
            <w:r>
              <w:rPr>
                <w:sz w:val="14"/>
              </w:rPr>
              <w:t>Medium</w:t>
            </w:r>
          </w:p>
        </w:tc>
        <w:tc>
          <w:tcPr>
            <w:tcW w:w="2074" w:type="dxa"/>
          </w:tcPr>
          <w:p w14:paraId="393BC8E2" w14:textId="77777777" w:rsidR="00A55308" w:rsidRDefault="00A55308" w:rsidP="00406F1D">
            <w:r>
              <w:rPr>
                <w:sz w:val="14"/>
              </w:rPr>
              <w:t>Supply disruption and strategic dependence</w:t>
            </w:r>
          </w:p>
        </w:tc>
        <w:tc>
          <w:tcPr>
            <w:tcW w:w="2074" w:type="dxa"/>
          </w:tcPr>
          <w:p w14:paraId="459650A8" w14:textId="77777777" w:rsidR="00A55308" w:rsidRDefault="00A55308" w:rsidP="00406F1D">
            <w:r>
              <w:rPr>
                <w:sz w:val="14"/>
              </w:rPr>
              <w:t>AI, cloud, autos, electronics</w:t>
            </w:r>
          </w:p>
        </w:tc>
        <w:tc>
          <w:tcPr>
            <w:tcW w:w="2074" w:type="dxa"/>
          </w:tcPr>
          <w:p w14:paraId="32A10C9B" w14:textId="77777777" w:rsidR="00A55308" w:rsidRDefault="00A55308" w:rsidP="00406F1D">
            <w:proofErr w:type="gramStart"/>
            <w:r>
              <w:rPr>
                <w:sz w:val="14"/>
              </w:rPr>
              <w:t>Advanced-chip</w:t>
            </w:r>
            <w:proofErr w:type="gramEnd"/>
            <w:r>
              <w:rPr>
                <w:sz w:val="14"/>
              </w:rPr>
              <w:t xml:space="preserve"> capacity and export restrictions</w:t>
            </w:r>
          </w:p>
        </w:tc>
      </w:tr>
    </w:tbl>
    <w:p w14:paraId="6BE479F1" w14:textId="77777777" w:rsidR="00A55308" w:rsidRDefault="00A55308" w:rsidP="00A55308">
      <w:pPr>
        <w:pStyle w:val="Heading2"/>
      </w:pPr>
      <w:r>
        <w:t>Overall Inference</w:t>
      </w:r>
    </w:p>
    <w:p w14:paraId="3726FA2D" w14:textId="77777777" w:rsidR="00A55308" w:rsidRDefault="00A55308" w:rsidP="00A55308">
      <w:r>
        <w:t xml:space="preserve">The U.S. is relatively well placed to absorb many external shocks because of its large domestic market, energy production, deep capital markets and strong technology base. However, this resilience does not remove the risk. A prolonged energy shock, a sharper </w:t>
      </w:r>
      <w:r>
        <w:lastRenderedPageBreak/>
        <w:t>U.S.–China trade split or a major disruption to global shipping could still raise inflation, tighten financial conditions and weaken business confidence at the same time.</w:t>
      </w:r>
    </w:p>
    <w:p w14:paraId="6D587247" w14:textId="77777777" w:rsidR="00A55308" w:rsidRDefault="00A55308" w:rsidP="00A55308">
      <w:pPr>
        <w:pStyle w:val="Heading2"/>
      </w:pPr>
      <w:r>
        <w:t>Source Notes</w:t>
      </w:r>
    </w:p>
    <w:p w14:paraId="7524F724" w14:textId="77777777" w:rsidR="00A55308" w:rsidRDefault="00A55308" w:rsidP="00A55308">
      <w:pPr>
        <w:pStyle w:val="ListBullet"/>
        <w:spacing w:after="80"/>
      </w:pPr>
      <w:r>
        <w:t>IMF, World Economic Outlook Update, July 2026.</w:t>
      </w:r>
    </w:p>
    <w:p w14:paraId="262A08E8" w14:textId="77777777" w:rsidR="00A55308" w:rsidRDefault="00A55308" w:rsidP="00A55308">
      <w:pPr>
        <w:pStyle w:val="ListBullet"/>
        <w:spacing w:after="80"/>
      </w:pPr>
      <w:r>
        <w:t>IMF / IEA / World Bank / WTO joint statement on the economic impact of the Middle East war, July 2026.</w:t>
      </w:r>
    </w:p>
    <w:p w14:paraId="35A46441" w14:textId="77777777" w:rsidR="00A55308" w:rsidRDefault="00A55308" w:rsidP="00A55308">
      <w:pPr>
        <w:pStyle w:val="ListBullet"/>
        <w:spacing w:after="80"/>
      </w:pPr>
      <w:r>
        <w:t>U.S. Trade Representative, U.S.–China Board of Trade consultation, June 2026.</w:t>
      </w:r>
    </w:p>
    <w:p w14:paraId="7EA6DF63" w14:textId="77777777" w:rsidR="00A55308" w:rsidRDefault="00A55308" w:rsidP="00A55308">
      <w:pPr>
        <w:pStyle w:val="ListBullet"/>
        <w:spacing w:after="80"/>
      </w:pPr>
      <w:r>
        <w:t>Federal Reserve, ECB, Bank of Japan, Bank of England and Reserve Bank of Australia monetary-policy releases.</w:t>
      </w:r>
    </w:p>
    <w:p w14:paraId="62D4C7A2" w14:textId="77777777" w:rsidR="00A55308" w:rsidRDefault="00A55308" w:rsidP="00A55308">
      <w:pPr>
        <w:pStyle w:val="ListBullet"/>
        <w:spacing w:after="80"/>
      </w:pPr>
      <w:r>
        <w:t>U.S. Bureau of Economic Analysis, International Transactions, International Investment Position and Direct Investment releases.</w:t>
      </w:r>
    </w:p>
    <w:p w14:paraId="2DD0206E" w14:textId="77777777" w:rsidR="00A55308" w:rsidRDefault="00A55308" w:rsidP="00A55308">
      <w:pPr>
        <w:pStyle w:val="ListBullet"/>
        <w:numPr>
          <w:ilvl w:val="0"/>
          <w:numId w:val="0"/>
        </w:numPr>
        <w:spacing w:after="80"/>
        <w:ind w:left="360" w:hanging="360"/>
      </w:pPr>
    </w:p>
    <w:p w14:paraId="4CC2EA71" w14:textId="77777777" w:rsidR="00A55308" w:rsidRDefault="00A55308" w:rsidP="00A55308">
      <w:pPr>
        <w:pStyle w:val="ListBullet"/>
        <w:numPr>
          <w:ilvl w:val="0"/>
          <w:numId w:val="0"/>
        </w:numPr>
        <w:spacing w:after="80"/>
        <w:ind w:left="360" w:hanging="360"/>
      </w:pPr>
    </w:p>
    <w:p w14:paraId="260EDEEA" w14:textId="77777777" w:rsidR="00A55308" w:rsidRDefault="00A55308" w:rsidP="00A55308">
      <w:pPr>
        <w:pStyle w:val="Heading1"/>
      </w:pPr>
      <w:r>
        <w:t>11. U.S. GROWTH CYCLE</w:t>
      </w:r>
    </w:p>
    <w:p w14:paraId="238A902D" w14:textId="77777777" w:rsidR="00A55308" w:rsidRDefault="00A55308" w:rsidP="00A55308">
      <w:r>
        <w:rPr>
          <w:i/>
          <w:color w:val="5A5A5A"/>
        </w:rPr>
        <w:t>Real GDP History | 2015–2025</w:t>
      </w:r>
    </w:p>
    <w:p w14:paraId="15C9C7AC" w14:textId="77777777" w:rsidR="00A55308" w:rsidRDefault="00A55308" w:rsidP="00A55308">
      <w:r>
        <w:t>The U.S. growth cycle over the last decade can be divided into three clear phases: steady pre-pandemic expansion, the sharp 2020 disruption, and a strong recovery followed by normalization. By 2025, real output had moved well above its pre-pandemic level, but the pace of expansion had become more moderate than during the rebound.</w:t>
      </w:r>
    </w:p>
    <w:p w14:paraId="78FDC33C" w14:textId="77777777" w:rsidR="00A55308" w:rsidRDefault="00A55308" w:rsidP="00A55308">
      <w:pPr>
        <w:jc w:val="center"/>
      </w:pPr>
      <w:r>
        <w:rPr>
          <w:noProof/>
        </w:rPr>
        <w:drawing>
          <wp:inline distT="0" distB="0" distL="0" distR="0" wp14:anchorId="57834F6A" wp14:editId="638A7EEE">
            <wp:extent cx="5760720" cy="2880360"/>
            <wp:effectExtent l="0" t="0" r="0" b="0"/>
            <wp:docPr id="433588374" name="Picture 43358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dp_history.png"/>
                    <pic:cNvPicPr/>
                  </pic:nvPicPr>
                  <pic:blipFill>
                    <a:blip r:embed="rId28"/>
                    <a:stretch>
                      <a:fillRect/>
                    </a:stretch>
                  </pic:blipFill>
                  <pic:spPr>
                    <a:xfrm>
                      <a:off x="0" y="0"/>
                      <a:ext cx="5760720" cy="2880360"/>
                    </a:xfrm>
                    <a:prstGeom prst="rect">
                      <a:avLst/>
                    </a:prstGeom>
                  </pic:spPr>
                </pic:pic>
              </a:graphicData>
            </a:graphic>
          </wp:inline>
        </w:drawing>
      </w:r>
    </w:p>
    <w:p w14:paraId="3A37C604" w14:textId="77777777" w:rsidR="00A55308" w:rsidRDefault="00A55308" w:rsidP="00A55308">
      <w:r>
        <w:rPr>
          <w:b/>
          <w:color w:val="1F3756"/>
        </w:rPr>
      </w:r>
      <w:r>
        <w:t>The long-run line remains upward despite the 2020 break. The important change is not a loss of output, but a shift from recovery-driven growth toward a more mature expansion. This makes productivity, investment and underlying domestic demand more important for the next stage of the cycle.</w:t>
      </w:r>
    </w:p>
    <w:p w14:paraId="08B44C9E" w14:textId="77777777" w:rsidR="00A55308" w:rsidRDefault="00A55308" w:rsidP="00A55308">
      <w:r>
        <w:rPr>
          <w:b/>
        </w:rPr>
        <w:t xml:space="preserve">Source: </w:t>
      </w:r>
      <w:r>
        <w:rPr>
          <w:i/>
        </w:rPr>
        <w:t>BEA real GDP annual series (GDPCA), via FRED. 2025 real GDP: $23.850 trillion in chained 2017 dollars.</w:t>
      </w:r>
    </w:p>
    <w:p w14:paraId="07EBEF9E" w14:textId="77777777" w:rsidR="00A55308" w:rsidRDefault="00A55308" w:rsidP="00A55308">
      <w:r>
        <w:br w:type="page"/>
      </w:r>
    </w:p>
    <w:p w14:paraId="015425F1" w14:textId="77777777" w:rsidR="00A55308" w:rsidRDefault="00A55308" w:rsidP="00A55308">
      <w:pPr>
        <w:pStyle w:val="Heading1"/>
      </w:pPr>
      <w:r>
        <w:lastRenderedPageBreak/>
        <w:t>12. QUARTERLY GROWTH MOMENTUM</w:t>
      </w:r>
    </w:p>
    <w:p w14:paraId="1440421B" w14:textId="77777777" w:rsidR="00A55308" w:rsidRDefault="00A55308" w:rsidP="00A55308">
      <w:r>
        <w:rPr>
          <w:i/>
          <w:color w:val="5A5A5A"/>
        </w:rPr>
        <w:t>Q/Q Annualized Real GDP</w:t>
      </w:r>
    </w:p>
    <w:p w14:paraId="0034B817" w14:textId="77777777" w:rsidR="00A55308" w:rsidRDefault="00A55308" w:rsidP="00A55308">
      <w:r>
        <w:t>Quarterly momentum strengthened through the middle of 2025, slowed sharply late in the year, improved in early 2026 and then moderated again in the second quarter. BEA's current second estimate puts Q1 2026 growth at 2.1% annualized and Q2 at 1.5%.</w:t>
      </w:r>
    </w:p>
    <w:p w14:paraId="018704C4" w14:textId="77777777" w:rsidR="00A55308" w:rsidRDefault="00A55308" w:rsidP="00A55308">
      <w:pPr>
        <w:jc w:val="center"/>
      </w:pPr>
      <w:r>
        <w:rPr>
          <w:noProof/>
        </w:rPr>
        <w:drawing>
          <wp:inline distT="0" distB="0" distL="0" distR="0" wp14:anchorId="5334601A" wp14:editId="1B57B803">
            <wp:extent cx="5760720" cy="2802512"/>
            <wp:effectExtent l="0" t="0" r="0" b="0"/>
            <wp:docPr id="694488701" name="Picture 69448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ly_growth.png"/>
                    <pic:cNvPicPr/>
                  </pic:nvPicPr>
                  <pic:blipFill>
                    <a:blip r:embed="rId29"/>
                    <a:stretch>
                      <a:fillRect/>
                    </a:stretch>
                  </pic:blipFill>
                  <pic:spPr>
                    <a:xfrm>
                      <a:off x="0" y="0"/>
                      <a:ext cx="5760720" cy="2802512"/>
                    </a:xfrm>
                    <a:prstGeom prst="rect">
                      <a:avLst/>
                    </a:prstGeom>
                  </pic:spPr>
                </pic:pic>
              </a:graphicData>
            </a:graphic>
          </wp:inline>
        </w:drawing>
      </w:r>
    </w:p>
    <w:p w14:paraId="33CE8A17" w14:textId="77777777" w:rsidR="00A55308" w:rsidRDefault="00A55308" w:rsidP="00A55308">
      <w:r>
        <w:rPr>
          <w:b/>
          <w:color w:val="1F3756"/>
        </w:rPr>
      </w:r>
      <w:r>
        <w:t>The quarterly pattern is uneven rather than recessionary. Growth has remained positive in early 2026, but the loss of momentum in the second quarter shows that the expansion is no longer moving at the stronger pace seen during parts of 2025. The underlying private-demand picture was firmer than headline GDP, with real final sales to private domestic purchasers rising strongly in Q2.</w:t>
      </w:r>
    </w:p>
    <w:p w14:paraId="15946B60" w14:textId="77777777" w:rsidR="00A55308" w:rsidRDefault="00A55308" w:rsidP="00A55308">
      <w:r>
        <w:rPr>
          <w:b/>
        </w:rPr>
        <w:t xml:space="preserve">Source: </w:t>
      </w:r>
      <w:r>
        <w:rPr>
          <w:i/>
        </w:rPr>
        <w:t>BEA GDP Second Estimate, Q2 2026; quarterly real GDP levels from BEA/FRED GDPC1. Q/Q annualized rates are calculated from successive quarterly real-GDP levels.</w:t>
      </w:r>
    </w:p>
    <w:p w14:paraId="79E7FC34" w14:textId="77777777" w:rsidR="00A55308" w:rsidRDefault="00A55308" w:rsidP="00A55308">
      <w:r>
        <w:br w:type="page"/>
      </w:r>
    </w:p>
    <w:p w14:paraId="53C35388" w14:textId="77777777" w:rsidR="00A55308" w:rsidRDefault="00A55308" w:rsidP="00A55308">
      <w:pPr>
        <w:pStyle w:val="Heading1"/>
      </w:pPr>
      <w:r>
        <w:lastRenderedPageBreak/>
        <w:t>13. GDP BY EXPENDITURE</w:t>
      </w:r>
    </w:p>
    <w:p w14:paraId="07687B93" w14:textId="77777777" w:rsidR="00A55308" w:rsidRDefault="00A55308" w:rsidP="00A55308">
      <w:r>
        <w:rPr>
          <w:i/>
          <w:color w:val="5A5A5A"/>
        </w:rPr>
        <w:t>Consumption, Investment, Government and Trade | Q2 2026</w:t>
      </w:r>
    </w:p>
    <w:p w14:paraId="4E5970D9" w14:textId="77777777" w:rsidR="00A55308" w:rsidRDefault="00A55308" w:rsidP="00A55308">
      <w:r>
        <w:t>The Q2 2026 expansion was supported by consumer spending, exports and investment. Government spending moved lower, while imports increased and therefore reduced measured GDP. The mix matters because it shows that private demand remained active even as the headline growth rate slowed.</w:t>
      </w:r>
    </w:p>
    <w:p w14:paraId="584B0262" w14:textId="77777777" w:rsidR="00A55308" w:rsidRDefault="00A55308" w:rsidP="00A55308">
      <w:pPr>
        <w:jc w:val="center"/>
      </w:pPr>
      <w:r>
        <w:rPr>
          <w:noProof/>
        </w:rPr>
        <w:drawing>
          <wp:inline distT="0" distB="0" distL="0" distR="0" wp14:anchorId="0F3B1A84" wp14:editId="6975021B">
            <wp:extent cx="5760720" cy="2800350"/>
            <wp:effectExtent l="0" t="0" r="0" b="0"/>
            <wp:docPr id="1814021763" name="Picture 181402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diture_direction.png"/>
                    <pic:cNvPicPr/>
                  </pic:nvPicPr>
                  <pic:blipFill>
                    <a:blip r:embed="rId30"/>
                    <a:stretch>
                      <a:fillRect/>
                    </a:stretch>
                  </pic:blipFill>
                  <pic:spPr>
                    <a:xfrm>
                      <a:off x="0" y="0"/>
                      <a:ext cx="5760720" cy="2800350"/>
                    </a:xfrm>
                    <a:prstGeom prst="rect">
                      <a:avLst/>
                    </a:prstGeom>
                  </pic:spPr>
                </pic:pic>
              </a:graphicData>
            </a:graphic>
          </wp:inline>
        </w:drawing>
      </w:r>
    </w:p>
    <w:p w14:paraId="50A7435D" w14:textId="77777777" w:rsidR="00A55308" w:rsidRDefault="00A55308" w:rsidP="00A55308">
      <w:r>
        <w:rPr>
          <w:b/>
          <w:color w:val="1F3756"/>
        </w:rPr>
      </w:r>
      <w:r>
        <w:t>The contribution pattern is more constructive than the headline GDP number alone suggests. Consumer spending and investment continued to add to activity, while part of the weakness came from government spending and the accounting drag from stronger imports. This points to slower aggregate growth without a broad collapse in private demand.</w:t>
      </w:r>
    </w:p>
    <w:p w14:paraId="3BD037DA" w14:textId="77777777" w:rsidR="00A55308" w:rsidRDefault="00A55308" w:rsidP="00A55308">
      <w:r>
        <w:rPr>
          <w:b/>
        </w:rPr>
        <w:t xml:space="preserve">Source: </w:t>
      </w:r>
      <w:r>
        <w:rPr>
          <w:i/>
        </w:rPr>
        <w:t xml:space="preserve">BEA GDP Second Estimate, Q2 2026. The chart shows contribution </w:t>
      </w:r>
      <w:proofErr w:type="gramStart"/>
      <w:r>
        <w:rPr>
          <w:i/>
        </w:rPr>
        <w:t>direction</w:t>
      </w:r>
      <w:proofErr w:type="gramEnd"/>
      <w:r>
        <w:rPr>
          <w:i/>
        </w:rPr>
        <w:t xml:space="preserve"> only; it does not invent percentage-point contributions.</w:t>
      </w:r>
    </w:p>
    <w:p w14:paraId="3DFB83B5" w14:textId="77777777" w:rsidR="00A55308" w:rsidRDefault="00A55308" w:rsidP="00A55308">
      <w:r>
        <w:br w:type="page"/>
      </w:r>
    </w:p>
    <w:p w14:paraId="74F8849A" w14:textId="77777777" w:rsidR="00A55308" w:rsidRDefault="00A55308" w:rsidP="00A55308">
      <w:pPr>
        <w:pStyle w:val="Heading1"/>
      </w:pPr>
      <w:r>
        <w:lastRenderedPageBreak/>
        <w:t>14. PERSONAL CONSUMPTION CONTRIBUTION</w:t>
      </w:r>
    </w:p>
    <w:p w14:paraId="7D03FD94" w14:textId="77777777" w:rsidR="00A55308" w:rsidRDefault="00A55308" w:rsidP="00A55308">
      <w:r>
        <w:rPr>
          <w:i/>
          <w:color w:val="5A5A5A"/>
        </w:rPr>
        <w:t>Consumer Contribution to Growth | Q2 2026</w:t>
      </w:r>
    </w:p>
    <w:p w14:paraId="1D241DDD" w14:textId="77777777" w:rsidR="00A55308" w:rsidRDefault="00A55308" w:rsidP="00A55308">
      <w:r>
        <w:t>Consumer spending remained a positive contributor to Q2 growth, with increases in both goods and services. BEA's revision also raised the estimate for services spending, led by health care, while some goods categories were revised lower.</w:t>
      </w:r>
    </w:p>
    <w:p w14:paraId="0D9A6DF2" w14:textId="77777777" w:rsidR="00A55308" w:rsidRDefault="00A55308" w:rsidP="00A55308">
      <w:pPr>
        <w:jc w:val="center"/>
      </w:pPr>
      <w:r>
        <w:rPr>
          <w:noProof/>
        </w:rPr>
        <w:drawing>
          <wp:inline distT="0" distB="0" distL="0" distR="0" wp14:anchorId="48DEC2F0" wp14:editId="24E95811">
            <wp:extent cx="5212080" cy="2646133"/>
            <wp:effectExtent l="0" t="0" r="0" b="0"/>
            <wp:docPr id="1471867395" name="Picture 147186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er_contribution.png"/>
                    <pic:cNvPicPr/>
                  </pic:nvPicPr>
                  <pic:blipFill>
                    <a:blip r:embed="rId31"/>
                    <a:stretch>
                      <a:fillRect/>
                    </a:stretch>
                  </pic:blipFill>
                  <pic:spPr>
                    <a:xfrm>
                      <a:off x="0" y="0"/>
                      <a:ext cx="5212080" cy="2646133"/>
                    </a:xfrm>
                    <a:prstGeom prst="rect">
                      <a:avLst/>
                    </a:prstGeom>
                  </pic:spPr>
                </pic:pic>
              </a:graphicData>
            </a:graphic>
          </wp:inline>
        </w:drawing>
      </w:r>
    </w:p>
    <w:p w14:paraId="78789B67" w14:textId="77777777" w:rsidR="00A55308" w:rsidRDefault="00A55308" w:rsidP="00A55308">
      <w:r>
        <w:rPr>
          <w:b/>
          <w:color w:val="1F3756"/>
        </w:rPr>
      </w:r>
      <w:r>
        <w:t xml:space="preserve">The consumer contribution remains broad enough to support </w:t>
      </w:r>
      <w:proofErr w:type="gramStart"/>
      <w:r>
        <w:t>the expansion</w:t>
      </w:r>
      <w:proofErr w:type="gramEnd"/>
      <w:r>
        <w:t>, rather than depending on a single category. Services continue to provide stability, while goods spending is more sensitive to prices, financing conditions and household confidence. This supports the view that consumption is slowing selectively rather than breaking down.</w:t>
      </w:r>
    </w:p>
    <w:p w14:paraId="45EEAAFD" w14:textId="77777777" w:rsidR="00A55308" w:rsidRDefault="00A55308" w:rsidP="00A55308">
      <w:r>
        <w:rPr>
          <w:b/>
        </w:rPr>
        <w:t xml:space="preserve">Source: </w:t>
      </w:r>
      <w:r>
        <w:rPr>
          <w:i/>
        </w:rPr>
        <w:t>BEA GDP Second Estimate and technical notes, Q2 2026.</w:t>
      </w:r>
    </w:p>
    <w:p w14:paraId="70228D64" w14:textId="77777777" w:rsidR="00A55308" w:rsidRDefault="00A55308" w:rsidP="00A55308">
      <w:r>
        <w:br w:type="page"/>
      </w:r>
    </w:p>
    <w:p w14:paraId="78971B3A" w14:textId="77777777" w:rsidR="00A55308" w:rsidRDefault="00A55308" w:rsidP="00A55308">
      <w:pPr>
        <w:pStyle w:val="Heading1"/>
      </w:pPr>
      <w:r>
        <w:lastRenderedPageBreak/>
        <w:t>15. BUSINESS INVESTMENT CONTRIBUTION</w:t>
      </w:r>
    </w:p>
    <w:p w14:paraId="57FC8178" w14:textId="77777777" w:rsidR="00A55308" w:rsidRDefault="00A55308" w:rsidP="00A55308">
      <w:r>
        <w:rPr>
          <w:i/>
          <w:color w:val="5A5A5A"/>
        </w:rPr>
        <w:t>Non-Residential Investment | Q2 2026</w:t>
      </w:r>
    </w:p>
    <w:p w14:paraId="0CFFCD1C" w14:textId="77777777" w:rsidR="00A55308" w:rsidRDefault="00A55308" w:rsidP="00A55308">
      <w:r>
        <w:t xml:space="preserve">Investment continued to contribute to growth, but the composition was uneven. Equipment and intellectual-property products increased, while private inventories and </w:t>
      </w:r>
      <w:proofErr w:type="gramStart"/>
      <w:r>
        <w:t>nonresidential</w:t>
      </w:r>
      <w:proofErr w:type="gramEnd"/>
      <w:r>
        <w:t xml:space="preserve"> structures moved lower. Within equipment, BEA identified broad gains led by industrial, transportation and information-processing equipment.</w:t>
      </w:r>
    </w:p>
    <w:p w14:paraId="4C6C6FF5" w14:textId="77777777" w:rsidR="00A55308" w:rsidRDefault="00A55308" w:rsidP="00A55308">
      <w:pPr>
        <w:jc w:val="center"/>
      </w:pPr>
      <w:r>
        <w:rPr>
          <w:noProof/>
        </w:rPr>
        <w:drawing>
          <wp:inline distT="0" distB="0" distL="0" distR="0" wp14:anchorId="26E446B7" wp14:editId="1E799959">
            <wp:extent cx="5760720" cy="2798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contribution.png"/>
                    <pic:cNvPicPr/>
                  </pic:nvPicPr>
                  <pic:blipFill>
                    <a:blip r:embed="rId32"/>
                    <a:stretch>
                      <a:fillRect/>
                    </a:stretch>
                  </pic:blipFill>
                  <pic:spPr>
                    <a:xfrm>
                      <a:off x="0" y="0"/>
                      <a:ext cx="5760720" cy="2798064"/>
                    </a:xfrm>
                    <a:prstGeom prst="rect">
                      <a:avLst/>
                    </a:prstGeom>
                  </pic:spPr>
                </pic:pic>
              </a:graphicData>
            </a:graphic>
          </wp:inline>
        </w:drawing>
      </w:r>
    </w:p>
    <w:p w14:paraId="770FDA19" w14:textId="77777777" w:rsidR="00A55308" w:rsidRDefault="00A55308" w:rsidP="00A55308">
      <w:r>
        <w:rPr>
          <w:b/>
          <w:color w:val="1F3756"/>
        </w:rPr>
      </w:r>
      <w:r>
        <w:t>Business investment is becoming more selective. Spending on equipment, software and research remains supportive, which fits the broader technology and productivity investment story. At the same time, weaker structures and inventories show that firms are not expanding capacity uniformly across the economy.</w:t>
      </w:r>
    </w:p>
    <w:p w14:paraId="362EF7F4" w14:textId="77777777" w:rsidR="00A55308" w:rsidRDefault="00A55308" w:rsidP="00A55308">
      <w:r>
        <w:rPr>
          <w:b/>
        </w:rPr>
        <w:t xml:space="preserve">Source: </w:t>
      </w:r>
      <w:r>
        <w:rPr>
          <w:i/>
        </w:rPr>
        <w:t>BEA GDP Q2 2026 technical notes. Directional chart reflects BEA-reported increases/decreases, not fabricated contribution percentages.</w:t>
      </w:r>
    </w:p>
    <w:p w14:paraId="42EB23AE" w14:textId="77777777" w:rsidR="00A55308" w:rsidRDefault="00A55308" w:rsidP="00A55308">
      <w:r>
        <w:br w:type="page"/>
      </w:r>
    </w:p>
    <w:p w14:paraId="51C4B475" w14:textId="77777777" w:rsidR="00A55308" w:rsidRDefault="00A55308" w:rsidP="00A55308">
      <w:pPr>
        <w:pStyle w:val="Heading1"/>
      </w:pPr>
      <w:r>
        <w:lastRenderedPageBreak/>
        <w:t>16. POTENTIAL VS ACTUAL GROWTH</w:t>
      </w:r>
    </w:p>
    <w:p w14:paraId="024BDC14" w14:textId="77777777" w:rsidR="00A55308" w:rsidRDefault="00A55308" w:rsidP="00A55308">
      <w:r>
        <w:rPr>
          <w:i/>
          <w:color w:val="5A5A5A"/>
        </w:rPr>
        <w:t>Actual Real GDP, CBO Potential GDP and the Output Gap</w:t>
      </w:r>
    </w:p>
    <w:p w14:paraId="33468A23" w14:textId="77777777" w:rsidR="00A55308" w:rsidRDefault="00A55308" w:rsidP="00A55308">
      <w:r>
        <w:t>Potential GDP represents the level of output the economy can sustain when labor and capital are used at normal rates. Comparing actual GDP with CBO's potential estimate helps show whether demand is running below or above the economy's estimated capacity.</w:t>
      </w:r>
    </w:p>
    <w:p w14:paraId="342E3443" w14:textId="77777777" w:rsidR="00A55308" w:rsidRDefault="00A55308" w:rsidP="00A55308">
      <w:pPr>
        <w:jc w:val="center"/>
      </w:pPr>
      <w:r>
        <w:rPr>
          <w:noProof/>
        </w:rPr>
        <w:drawing>
          <wp:inline distT="0" distB="0" distL="0" distR="0" wp14:anchorId="39FCAE05" wp14:editId="2DACC29F">
            <wp:extent cx="576072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potential.png"/>
                    <pic:cNvPicPr/>
                  </pic:nvPicPr>
                  <pic:blipFill>
                    <a:blip r:embed="rId33"/>
                    <a:stretch>
                      <a:fillRect/>
                    </a:stretch>
                  </pic:blipFill>
                  <pic:spPr>
                    <a:xfrm>
                      <a:off x="0" y="0"/>
                      <a:ext cx="5760720" cy="2880360"/>
                    </a:xfrm>
                    <a:prstGeom prst="rect">
                      <a:avLst/>
                    </a:prstGeom>
                  </pic:spPr>
                </pic:pic>
              </a:graphicData>
            </a:graphic>
          </wp:inline>
        </w:drawing>
      </w:r>
    </w:p>
    <w:p w14:paraId="6B97CD1F" w14:textId="77777777" w:rsidR="00A55308" w:rsidRDefault="00A55308" w:rsidP="00A55308">
      <w:pPr>
        <w:jc w:val="center"/>
      </w:pPr>
      <w:r>
        <w:rPr>
          <w:noProof/>
        </w:rPr>
        <w:drawing>
          <wp:inline distT="0" distB="0" distL="0" distR="0" wp14:anchorId="57B30834" wp14:editId="0A4EA6CF">
            <wp:extent cx="5760720" cy="26468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gap.png"/>
                    <pic:cNvPicPr/>
                  </pic:nvPicPr>
                  <pic:blipFill>
                    <a:blip r:embed="rId34"/>
                    <a:stretch>
                      <a:fillRect/>
                    </a:stretch>
                  </pic:blipFill>
                  <pic:spPr>
                    <a:xfrm>
                      <a:off x="0" y="0"/>
                      <a:ext cx="5760720" cy="2646817"/>
                    </a:xfrm>
                    <a:prstGeom prst="rect">
                      <a:avLst/>
                    </a:prstGeom>
                  </pic:spPr>
                </pic:pic>
              </a:graphicData>
            </a:graphic>
          </wp:inline>
        </w:drawing>
      </w:r>
    </w:p>
    <w:p w14:paraId="39A515D9" w14:textId="77777777" w:rsidR="00A55308" w:rsidRDefault="00A55308" w:rsidP="00A55308">
      <w:r>
        <w:rPr>
          <w:b/>
          <w:color w:val="1F3756"/>
        </w:rPr>
      </w:r>
      <w:r>
        <w:t>Actual output moved from slightly above potential in early 2025 to a wider positive gap later in the year, before the gap narrowed again in the first half of 2026. Q2 2026 actual real GDP remained above the CBO potential estimate, but by less than in late 2025. This suggests demand is still relatively firm, while the degree of excess pressure has eased.</w:t>
      </w:r>
    </w:p>
    <w:p w14:paraId="0D43FBC7" w14:textId="77777777" w:rsidR="00A55308" w:rsidRDefault="00A55308" w:rsidP="00A55308">
      <w:r>
        <w:rPr>
          <w:b/>
        </w:rPr>
        <w:t xml:space="preserve">Source: </w:t>
      </w:r>
      <w:r>
        <w:rPr>
          <w:i/>
        </w:rPr>
        <w:t>Actual GDP: BEA/FRED GDPC1. Potential GDP: Congressional Budget Office/FRED GDPPOT, February 2026 vintage. Output gap calculated as (Actual real GDP − Potential real GDP) / Potential real GDP × 100.</w:t>
      </w:r>
    </w:p>
    <w:p w14:paraId="041EC1E3" w14:textId="77777777" w:rsidR="00A55308" w:rsidRDefault="00A55308" w:rsidP="00A55308">
      <w:pPr>
        <w:pStyle w:val="Heading2"/>
      </w:pPr>
      <w:r>
        <w:t>Calculation Note</w:t>
      </w:r>
    </w:p>
    <w:p w14:paraId="2B00C49C" w14:textId="77777777" w:rsidR="00A55308" w:rsidRDefault="00A55308" w:rsidP="00A55308">
      <w:r>
        <w:t>Using the current series, the estimated output gap is approximately 0.98% in Q1 2026 and 0.83% in Q2 2026. Because potential GDP is an estimate rather than an observed statistic, the output gap can change when CBO revises its underlying assumptions.</w:t>
      </w:r>
    </w:p>
    <w:p w14:paraId="22655F89" w14:textId="77777777" w:rsidR="00A55308" w:rsidRDefault="00A55308" w:rsidP="00A55308">
      <w:pPr>
        <w:pStyle w:val="ListBullet"/>
        <w:numPr>
          <w:ilvl w:val="0"/>
          <w:numId w:val="0"/>
        </w:numPr>
        <w:spacing w:after="80"/>
        <w:ind w:left="360" w:hanging="360"/>
      </w:pPr>
    </w:p>
    <w:p w14:paraId="651B8D6B" w14:textId="77777777" w:rsidR="00A55308" w:rsidRDefault="00A55308">
      <w:pPr>
        <w:pStyle w:val="Kicker"/>
      </w:pPr>
    </w:p>
    <w:p w14:paraId="54A05070" w14:textId="77777777" w:rsidR="00A97E6F" w:rsidRDefault="00A97E6F" w:rsidP="00A97E6F">
      <w:r>
        <w:rPr>
          <w:b/>
          <w:color w:val="555555"/>
          <w:sz w:val="16"/>
        </w:rPr>
        <w:lastRenderedPageBreak/>
        <w:t xml:space="preserve">CHAPTER </w:t>
      </w:r>
      <w:proofErr w:type="gramStart"/>
      <w:r>
        <w:rPr>
          <w:b/>
          <w:color w:val="555555"/>
          <w:sz w:val="16"/>
        </w:rPr>
        <w:t>07  /</w:t>
      </w:r>
      <w:proofErr w:type="gramEnd"/>
      <w:r>
        <w:rPr>
          <w:b/>
          <w:color w:val="555555"/>
          <w:sz w:val="16"/>
        </w:rPr>
        <w:t xml:space="preserve">  CONSUMER ECONOMY</w:t>
      </w:r>
    </w:p>
    <w:p w14:paraId="253AB7A0" w14:textId="77777777" w:rsidR="00A97E6F" w:rsidRDefault="00A97E6F" w:rsidP="00A97E6F">
      <w:pPr>
        <w:pStyle w:val="Heading1"/>
      </w:pPr>
      <w:r>
        <w:t>17. The American Consumer</w:t>
      </w:r>
    </w:p>
    <w:p w14:paraId="58A32DEB" w14:textId="77777777" w:rsidR="00A97E6F" w:rsidRDefault="00A97E6F" w:rsidP="00A97E6F">
      <w:r>
        <w:rPr>
          <w:i/>
          <w:color w:val="555555"/>
        </w:rPr>
        <w:t>Consumption Engine | Income, Spending, Savings and Credit</w:t>
      </w:r>
    </w:p>
    <w:p w14:paraId="07258470" w14:textId="77777777" w:rsidR="00A97E6F" w:rsidRDefault="00A97E6F" w:rsidP="00A97E6F">
      <w:r>
        <w:t xml:space="preserve">The American consumer is still carrying a large share of the expansion, but the support is becoming less comfortable than it was earlier in the cycle. Income is still rising and employment continues to underpin spending, yet households are saving relatively little and are relying on a larger stock of credit. That combination does not </w:t>
      </w:r>
      <w:proofErr w:type="gramStart"/>
      <w:r>
        <w:t>point</w:t>
      </w:r>
      <w:proofErr w:type="gramEnd"/>
      <w:r>
        <w:t xml:space="preserve"> to a consumer collapse; it points to a consumer that is becoming more selective.</w:t>
      </w:r>
    </w:p>
    <w:p w14:paraId="45567E06" w14:textId="77777777" w:rsidR="00A97E6F" w:rsidRDefault="00A97E6F" w:rsidP="00A97E6F">
      <w:pPr>
        <w:jc w:val="center"/>
      </w:pPr>
      <w:r>
        <w:rPr>
          <w:noProof/>
        </w:rPr>
        <w:drawing>
          <wp:inline distT="0" distB="0" distL="0" distR="0" wp14:anchorId="71EC84AA" wp14:editId="19AA5DEE">
            <wp:extent cx="5715000" cy="1725543"/>
            <wp:effectExtent l="0" t="0" r="0" b="0"/>
            <wp:docPr id="990343508" name="Picture 99034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er_snapshot.png"/>
                    <pic:cNvPicPr/>
                  </pic:nvPicPr>
                  <pic:blipFill>
                    <a:blip r:embed="rId35"/>
                    <a:stretch>
                      <a:fillRect/>
                    </a:stretch>
                  </pic:blipFill>
                  <pic:spPr>
                    <a:xfrm>
                      <a:off x="0" y="0"/>
                      <a:ext cx="5715000" cy="1725543"/>
                    </a:xfrm>
                    <a:prstGeom prst="rect">
                      <a:avLst/>
                    </a:prstGeom>
                  </pic:spPr>
                </pic:pic>
              </a:graphicData>
            </a:graphic>
          </wp:inline>
        </w:drawing>
      </w:r>
    </w:p>
    <w:tbl>
      <w:tblPr>
        <w:tblW w:w="0" w:type="auto"/>
        <w:jc w:val="center"/>
        <w:tblLook w:val="04A0" w:firstRow="1" w:lastRow="0" w:firstColumn="1" w:lastColumn="0" w:noHBand="0" w:noVBand="1"/>
      </w:tblPr>
      <w:tblGrid>
        <w:gridCol w:w="2598"/>
        <w:gridCol w:w="2590"/>
        <w:gridCol w:w="2588"/>
        <w:gridCol w:w="2592"/>
      </w:tblGrid>
      <w:tr w:rsidR="00A97E6F" w14:paraId="4132FD94" w14:textId="77777777" w:rsidTr="00406F1D">
        <w:trPr>
          <w:jc w:val="center"/>
        </w:trPr>
        <w:tc>
          <w:tcPr>
            <w:tcW w:w="2642" w:type="dxa"/>
            <w:shd w:val="clear" w:color="auto" w:fill="1F3756"/>
          </w:tcPr>
          <w:p w14:paraId="222D9502" w14:textId="77777777" w:rsidR="00A97E6F" w:rsidRDefault="00A97E6F" w:rsidP="00406F1D">
            <w:r>
              <w:rPr>
                <w:b/>
                <w:color w:val="FFFFFF"/>
                <w:sz w:val="14"/>
              </w:rPr>
              <w:t>Indicator</w:t>
            </w:r>
          </w:p>
        </w:tc>
        <w:tc>
          <w:tcPr>
            <w:tcW w:w="2642" w:type="dxa"/>
            <w:shd w:val="clear" w:color="auto" w:fill="1F3756"/>
          </w:tcPr>
          <w:p w14:paraId="49BA259F" w14:textId="77777777" w:rsidR="00A97E6F" w:rsidRDefault="00A97E6F" w:rsidP="00406F1D">
            <w:r>
              <w:rPr>
                <w:b/>
                <w:color w:val="FFFFFF"/>
                <w:sz w:val="14"/>
              </w:rPr>
              <w:t>Latest reading</w:t>
            </w:r>
          </w:p>
        </w:tc>
        <w:tc>
          <w:tcPr>
            <w:tcW w:w="2642" w:type="dxa"/>
            <w:shd w:val="clear" w:color="auto" w:fill="1F3756"/>
          </w:tcPr>
          <w:p w14:paraId="054231F0" w14:textId="77777777" w:rsidR="00A97E6F" w:rsidRDefault="00A97E6F" w:rsidP="00406F1D">
            <w:r>
              <w:rPr>
                <w:b/>
                <w:color w:val="FFFFFF"/>
                <w:sz w:val="14"/>
              </w:rPr>
              <w:t>Period</w:t>
            </w:r>
          </w:p>
        </w:tc>
        <w:tc>
          <w:tcPr>
            <w:tcW w:w="2642" w:type="dxa"/>
            <w:shd w:val="clear" w:color="auto" w:fill="1F3756"/>
          </w:tcPr>
          <w:p w14:paraId="57826A40" w14:textId="77777777" w:rsidR="00A97E6F" w:rsidRDefault="00A97E6F" w:rsidP="00406F1D">
            <w:r>
              <w:rPr>
                <w:b/>
                <w:color w:val="FFFFFF"/>
                <w:sz w:val="14"/>
              </w:rPr>
              <w:t>What it says</w:t>
            </w:r>
          </w:p>
        </w:tc>
      </w:tr>
      <w:tr w:rsidR="00A97E6F" w14:paraId="4C9A7C33" w14:textId="77777777" w:rsidTr="00406F1D">
        <w:trPr>
          <w:jc w:val="center"/>
        </w:trPr>
        <w:tc>
          <w:tcPr>
            <w:tcW w:w="2642" w:type="dxa"/>
            <w:vAlign w:val="center"/>
          </w:tcPr>
          <w:p w14:paraId="5C36F8EC" w14:textId="77777777" w:rsidR="00A97E6F" w:rsidRDefault="00A97E6F" w:rsidP="00406F1D">
            <w:pPr>
              <w:spacing w:after="0"/>
            </w:pPr>
            <w:r>
              <w:rPr>
                <w:sz w:val="13"/>
              </w:rPr>
              <w:t>Personal consumption expenditures</w:t>
            </w:r>
          </w:p>
        </w:tc>
        <w:tc>
          <w:tcPr>
            <w:tcW w:w="2642" w:type="dxa"/>
            <w:vAlign w:val="center"/>
          </w:tcPr>
          <w:p w14:paraId="43F84DA0" w14:textId="77777777" w:rsidR="00A97E6F" w:rsidRDefault="00A97E6F" w:rsidP="00406F1D">
            <w:pPr>
              <w:spacing w:after="0"/>
            </w:pPr>
            <w:r>
              <w:rPr>
                <w:sz w:val="13"/>
              </w:rPr>
              <w:t>+0.2% m/m</w:t>
            </w:r>
          </w:p>
        </w:tc>
        <w:tc>
          <w:tcPr>
            <w:tcW w:w="2642" w:type="dxa"/>
            <w:vAlign w:val="center"/>
          </w:tcPr>
          <w:p w14:paraId="27C6CF70" w14:textId="77777777" w:rsidR="00A97E6F" w:rsidRDefault="00A97E6F" w:rsidP="00406F1D">
            <w:pPr>
              <w:spacing w:after="0"/>
            </w:pPr>
            <w:r>
              <w:rPr>
                <w:sz w:val="13"/>
              </w:rPr>
              <w:t>Jul 2026</w:t>
            </w:r>
          </w:p>
        </w:tc>
        <w:tc>
          <w:tcPr>
            <w:tcW w:w="2642" w:type="dxa"/>
            <w:vAlign w:val="center"/>
          </w:tcPr>
          <w:p w14:paraId="1110CD23" w14:textId="77777777" w:rsidR="00A97E6F" w:rsidRDefault="00A97E6F" w:rsidP="00406F1D">
            <w:pPr>
              <w:spacing w:after="0"/>
            </w:pPr>
            <w:r>
              <w:rPr>
                <w:sz w:val="13"/>
              </w:rPr>
              <w:t>Spending still increased</w:t>
            </w:r>
          </w:p>
        </w:tc>
      </w:tr>
      <w:tr w:rsidR="00A97E6F" w14:paraId="2E048122" w14:textId="77777777" w:rsidTr="00406F1D">
        <w:trPr>
          <w:jc w:val="center"/>
        </w:trPr>
        <w:tc>
          <w:tcPr>
            <w:tcW w:w="2642" w:type="dxa"/>
            <w:vAlign w:val="center"/>
          </w:tcPr>
          <w:p w14:paraId="5D9B8B1D" w14:textId="77777777" w:rsidR="00A97E6F" w:rsidRDefault="00A97E6F" w:rsidP="00406F1D">
            <w:pPr>
              <w:spacing w:after="0"/>
            </w:pPr>
            <w:r>
              <w:rPr>
                <w:sz w:val="13"/>
              </w:rPr>
              <w:t>Real PCE</w:t>
            </w:r>
          </w:p>
        </w:tc>
        <w:tc>
          <w:tcPr>
            <w:tcW w:w="2642" w:type="dxa"/>
            <w:vAlign w:val="center"/>
          </w:tcPr>
          <w:p w14:paraId="3334C887" w14:textId="77777777" w:rsidR="00A97E6F" w:rsidRDefault="00A97E6F" w:rsidP="00406F1D">
            <w:pPr>
              <w:spacing w:after="0"/>
            </w:pPr>
            <w:r>
              <w:rPr>
                <w:sz w:val="13"/>
              </w:rPr>
              <w:t>Less than +0.1% m/m</w:t>
            </w:r>
          </w:p>
        </w:tc>
        <w:tc>
          <w:tcPr>
            <w:tcW w:w="2642" w:type="dxa"/>
            <w:vAlign w:val="center"/>
          </w:tcPr>
          <w:p w14:paraId="0AFDB997" w14:textId="77777777" w:rsidR="00A97E6F" w:rsidRDefault="00A97E6F" w:rsidP="00406F1D">
            <w:pPr>
              <w:spacing w:after="0"/>
            </w:pPr>
            <w:r>
              <w:rPr>
                <w:sz w:val="13"/>
              </w:rPr>
              <w:t>Jul 2026</w:t>
            </w:r>
          </w:p>
        </w:tc>
        <w:tc>
          <w:tcPr>
            <w:tcW w:w="2642" w:type="dxa"/>
            <w:vAlign w:val="center"/>
          </w:tcPr>
          <w:p w14:paraId="42C58177" w14:textId="77777777" w:rsidR="00A97E6F" w:rsidRDefault="00A97E6F" w:rsidP="00406F1D">
            <w:pPr>
              <w:spacing w:after="0"/>
            </w:pPr>
            <w:r>
              <w:rPr>
                <w:sz w:val="13"/>
              </w:rPr>
              <w:t>Volume growth was almost flat</w:t>
            </w:r>
          </w:p>
        </w:tc>
      </w:tr>
      <w:tr w:rsidR="00A97E6F" w14:paraId="389F1B38" w14:textId="77777777" w:rsidTr="00406F1D">
        <w:trPr>
          <w:jc w:val="center"/>
        </w:trPr>
        <w:tc>
          <w:tcPr>
            <w:tcW w:w="2642" w:type="dxa"/>
            <w:vAlign w:val="center"/>
          </w:tcPr>
          <w:p w14:paraId="7DDAB317" w14:textId="77777777" w:rsidR="00A97E6F" w:rsidRDefault="00A97E6F" w:rsidP="00406F1D">
            <w:pPr>
              <w:spacing w:after="0"/>
            </w:pPr>
            <w:r>
              <w:rPr>
                <w:sz w:val="13"/>
              </w:rPr>
              <w:t>Personal income</w:t>
            </w:r>
          </w:p>
        </w:tc>
        <w:tc>
          <w:tcPr>
            <w:tcW w:w="2642" w:type="dxa"/>
            <w:vAlign w:val="center"/>
          </w:tcPr>
          <w:p w14:paraId="4A156CF8" w14:textId="77777777" w:rsidR="00A97E6F" w:rsidRDefault="00A97E6F" w:rsidP="00406F1D">
            <w:pPr>
              <w:spacing w:after="0"/>
            </w:pPr>
            <w:r>
              <w:rPr>
                <w:sz w:val="13"/>
              </w:rPr>
              <w:t>+0.4% m/m</w:t>
            </w:r>
          </w:p>
        </w:tc>
        <w:tc>
          <w:tcPr>
            <w:tcW w:w="2642" w:type="dxa"/>
            <w:vAlign w:val="center"/>
          </w:tcPr>
          <w:p w14:paraId="33024A6D" w14:textId="77777777" w:rsidR="00A97E6F" w:rsidRDefault="00A97E6F" w:rsidP="00406F1D">
            <w:pPr>
              <w:spacing w:after="0"/>
            </w:pPr>
            <w:r>
              <w:rPr>
                <w:sz w:val="13"/>
              </w:rPr>
              <w:t>Jul 2026</w:t>
            </w:r>
          </w:p>
        </w:tc>
        <w:tc>
          <w:tcPr>
            <w:tcW w:w="2642" w:type="dxa"/>
            <w:vAlign w:val="center"/>
          </w:tcPr>
          <w:p w14:paraId="79EDF363" w14:textId="77777777" w:rsidR="00A97E6F" w:rsidRDefault="00A97E6F" w:rsidP="00406F1D">
            <w:pPr>
              <w:spacing w:after="0"/>
            </w:pPr>
            <w:r>
              <w:rPr>
                <w:sz w:val="13"/>
              </w:rPr>
              <w:t>Income continued to support demand</w:t>
            </w:r>
          </w:p>
        </w:tc>
      </w:tr>
      <w:tr w:rsidR="00A97E6F" w14:paraId="0C8D959E" w14:textId="77777777" w:rsidTr="00406F1D">
        <w:trPr>
          <w:jc w:val="center"/>
        </w:trPr>
        <w:tc>
          <w:tcPr>
            <w:tcW w:w="2642" w:type="dxa"/>
            <w:vAlign w:val="center"/>
          </w:tcPr>
          <w:p w14:paraId="4AE40FBB" w14:textId="77777777" w:rsidR="00A97E6F" w:rsidRDefault="00A97E6F" w:rsidP="00406F1D">
            <w:pPr>
              <w:spacing w:after="0"/>
            </w:pPr>
            <w:r>
              <w:rPr>
                <w:sz w:val="13"/>
              </w:rPr>
              <w:t>Personal saving rate</w:t>
            </w:r>
          </w:p>
        </w:tc>
        <w:tc>
          <w:tcPr>
            <w:tcW w:w="2642" w:type="dxa"/>
            <w:vAlign w:val="center"/>
          </w:tcPr>
          <w:p w14:paraId="2A3C515A" w14:textId="77777777" w:rsidR="00A97E6F" w:rsidRDefault="00A97E6F" w:rsidP="00406F1D">
            <w:pPr>
              <w:spacing w:after="0"/>
            </w:pPr>
            <w:r>
              <w:rPr>
                <w:sz w:val="13"/>
              </w:rPr>
              <w:t>3.0% of DPI</w:t>
            </w:r>
          </w:p>
        </w:tc>
        <w:tc>
          <w:tcPr>
            <w:tcW w:w="2642" w:type="dxa"/>
            <w:vAlign w:val="center"/>
          </w:tcPr>
          <w:p w14:paraId="6709AA0F" w14:textId="77777777" w:rsidR="00A97E6F" w:rsidRDefault="00A97E6F" w:rsidP="00406F1D">
            <w:pPr>
              <w:spacing w:after="0"/>
            </w:pPr>
            <w:r>
              <w:rPr>
                <w:sz w:val="13"/>
              </w:rPr>
              <w:t>Jul 2026</w:t>
            </w:r>
          </w:p>
        </w:tc>
        <w:tc>
          <w:tcPr>
            <w:tcW w:w="2642" w:type="dxa"/>
            <w:vAlign w:val="center"/>
          </w:tcPr>
          <w:p w14:paraId="78CDDC69" w14:textId="77777777" w:rsidR="00A97E6F" w:rsidRDefault="00A97E6F" w:rsidP="00406F1D">
            <w:pPr>
              <w:spacing w:after="0"/>
            </w:pPr>
            <w:r>
              <w:rPr>
                <w:sz w:val="13"/>
              </w:rPr>
              <w:t>Financial cushion remains thin</w:t>
            </w:r>
          </w:p>
        </w:tc>
      </w:tr>
      <w:tr w:rsidR="00A97E6F" w14:paraId="5C668C07" w14:textId="77777777" w:rsidTr="00406F1D">
        <w:trPr>
          <w:jc w:val="center"/>
        </w:trPr>
        <w:tc>
          <w:tcPr>
            <w:tcW w:w="2642" w:type="dxa"/>
            <w:vAlign w:val="center"/>
          </w:tcPr>
          <w:p w14:paraId="2EB19069" w14:textId="77777777" w:rsidR="00A97E6F" w:rsidRDefault="00A97E6F" w:rsidP="00406F1D">
            <w:pPr>
              <w:spacing w:after="0"/>
            </w:pPr>
            <w:r>
              <w:rPr>
                <w:sz w:val="13"/>
              </w:rPr>
              <w:t>Total household debt</w:t>
            </w:r>
          </w:p>
        </w:tc>
        <w:tc>
          <w:tcPr>
            <w:tcW w:w="2642" w:type="dxa"/>
            <w:vAlign w:val="center"/>
          </w:tcPr>
          <w:p w14:paraId="6CFDE6F5" w14:textId="77777777" w:rsidR="00A97E6F" w:rsidRDefault="00A97E6F" w:rsidP="00406F1D">
            <w:pPr>
              <w:spacing w:after="0"/>
            </w:pPr>
            <w:r>
              <w:rPr>
                <w:sz w:val="13"/>
              </w:rPr>
              <w:t>$18.77 trillion</w:t>
            </w:r>
          </w:p>
        </w:tc>
        <w:tc>
          <w:tcPr>
            <w:tcW w:w="2642" w:type="dxa"/>
            <w:vAlign w:val="center"/>
          </w:tcPr>
          <w:p w14:paraId="63922489" w14:textId="77777777" w:rsidR="00A97E6F" w:rsidRDefault="00A97E6F" w:rsidP="00406F1D">
            <w:pPr>
              <w:spacing w:after="0"/>
            </w:pPr>
            <w:r>
              <w:rPr>
                <w:sz w:val="13"/>
              </w:rPr>
              <w:t>Q2 2026</w:t>
            </w:r>
          </w:p>
        </w:tc>
        <w:tc>
          <w:tcPr>
            <w:tcW w:w="2642" w:type="dxa"/>
            <w:vAlign w:val="center"/>
          </w:tcPr>
          <w:p w14:paraId="78908C62" w14:textId="77777777" w:rsidR="00A97E6F" w:rsidRDefault="00A97E6F" w:rsidP="00406F1D">
            <w:pPr>
              <w:spacing w:after="0"/>
            </w:pPr>
            <w:r>
              <w:rPr>
                <w:sz w:val="13"/>
              </w:rPr>
              <w:t>Debt stock remains high</w:t>
            </w:r>
          </w:p>
        </w:tc>
      </w:tr>
    </w:tbl>
    <w:p w14:paraId="6516CF45" w14:textId="77777777" w:rsidR="00A97E6F" w:rsidRDefault="00A97E6F" w:rsidP="00A97E6F">
      <w:pPr>
        <w:jc w:val="center"/>
      </w:pPr>
      <w:r>
        <w:rPr>
          <w:noProof/>
        </w:rPr>
        <w:drawing>
          <wp:inline distT="0" distB="0" distL="0" distR="0" wp14:anchorId="37E223CA" wp14:editId="7983DC4A">
            <wp:extent cx="5166360" cy="2502456"/>
            <wp:effectExtent l="0" t="0" r="0" b="0"/>
            <wp:docPr id="1579136395" name="Picture 157913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e_goods_services.png"/>
                    <pic:cNvPicPr/>
                  </pic:nvPicPr>
                  <pic:blipFill>
                    <a:blip r:embed="rId36"/>
                    <a:stretch>
                      <a:fillRect/>
                    </a:stretch>
                  </pic:blipFill>
                  <pic:spPr>
                    <a:xfrm>
                      <a:off x="0" y="0"/>
                      <a:ext cx="5166360" cy="2502456"/>
                    </a:xfrm>
                    <a:prstGeom prst="rect">
                      <a:avLst/>
                    </a:prstGeom>
                  </pic:spPr>
                </pic:pic>
              </a:graphicData>
            </a:graphic>
          </wp:inline>
        </w:drawing>
      </w:r>
    </w:p>
    <w:p w14:paraId="371A6508" w14:textId="77777777" w:rsidR="00A97E6F" w:rsidRDefault="00A97E6F" w:rsidP="00A97E6F">
      <w:r>
        <w:rPr>
          <w:b/>
          <w:color w:val="1F3756"/>
        </w:rPr>
      </w:r>
      <w:r>
        <w:t xml:space="preserve">July spending was supported by services, while goods spending moved the other way. That split is important because it shows that the consumer is still active, but the strength is not broad across every category. Services </w:t>
      </w:r>
      <w:proofErr w:type="gramStart"/>
      <w:r>
        <w:t>are providing</w:t>
      </w:r>
      <w:proofErr w:type="gramEnd"/>
      <w:r>
        <w:t xml:space="preserve"> more stability than discretionary goods.</w:t>
      </w:r>
    </w:p>
    <w:p w14:paraId="0AA2AB04" w14:textId="77777777" w:rsidR="00A97E6F" w:rsidRDefault="00A97E6F" w:rsidP="00A97E6F">
      <w:r>
        <w:rPr>
          <w:b/>
        </w:rPr>
        <w:t xml:space="preserve">Source: </w:t>
      </w:r>
      <w:r>
        <w:rPr>
          <w:i/>
          <w:sz w:val="14"/>
        </w:rPr>
        <w:t>BEA, Personal Income and Outlays, July 2026; Federal Reserve Bank of New York, Household Debt and Credit, Q2 2026.</w:t>
      </w:r>
    </w:p>
    <w:p w14:paraId="1D877A64" w14:textId="77777777" w:rsidR="00A97E6F" w:rsidRDefault="00A97E6F" w:rsidP="00A97E6F">
      <w:pPr>
        <w:jc w:val="right"/>
      </w:pPr>
      <w:proofErr w:type="spellStart"/>
      <w:r>
        <w:rPr>
          <w:color w:val="555555"/>
          <w:sz w:val="14"/>
        </w:rPr>
        <w:t>BrandEssence</w:t>
      </w:r>
      <w:proofErr w:type="spellEnd"/>
      <w:r>
        <w:rPr>
          <w:color w:val="555555"/>
          <w:sz w:val="14"/>
        </w:rPr>
        <w:t xml:space="preserve"> Economic Intelligence   |   Chapter 7: Consumer Economy   |   Page 17</w:t>
      </w:r>
    </w:p>
    <w:p w14:paraId="716F222C" w14:textId="77777777" w:rsidR="00A97E6F" w:rsidRDefault="00A97E6F" w:rsidP="00A97E6F">
      <w:r>
        <w:br w:type="page"/>
      </w:r>
    </w:p>
    <w:p w14:paraId="4F7ED5A3" w14:textId="77777777" w:rsidR="00A97E6F" w:rsidRDefault="00A97E6F" w:rsidP="00A97E6F">
      <w:r>
        <w:rPr>
          <w:b/>
          <w:color w:val="555555"/>
          <w:sz w:val="16"/>
        </w:rPr>
        <w:lastRenderedPageBreak/>
        <w:t xml:space="preserve">CHAPTER </w:t>
      </w:r>
      <w:proofErr w:type="gramStart"/>
      <w:r>
        <w:rPr>
          <w:b/>
          <w:color w:val="555555"/>
          <w:sz w:val="16"/>
        </w:rPr>
        <w:t>07  /</w:t>
      </w:r>
      <w:proofErr w:type="gramEnd"/>
      <w:r>
        <w:rPr>
          <w:b/>
          <w:color w:val="555555"/>
          <w:sz w:val="16"/>
        </w:rPr>
        <w:t xml:space="preserve">  CONSUMER ECONOMY</w:t>
      </w:r>
    </w:p>
    <w:p w14:paraId="4FD6BE88" w14:textId="77777777" w:rsidR="00A97E6F" w:rsidRDefault="00A97E6F" w:rsidP="00A97E6F">
      <w:pPr>
        <w:pStyle w:val="Heading1"/>
      </w:pPr>
      <w:r>
        <w:t>18. Consumer Spending</w:t>
      </w:r>
    </w:p>
    <w:p w14:paraId="7C584BF5" w14:textId="77777777" w:rsidR="00A97E6F" w:rsidRDefault="00A97E6F" w:rsidP="00A97E6F">
      <w:r>
        <w:rPr>
          <w:i/>
          <w:color w:val="555555"/>
        </w:rPr>
        <w:t>PCE Trends | Nominal and Real Spending</w:t>
      </w:r>
    </w:p>
    <w:p w14:paraId="6266ED10" w14:textId="77777777" w:rsidR="00A97E6F" w:rsidRDefault="00A97E6F" w:rsidP="00A97E6F">
      <w:r>
        <w:t xml:space="preserve">Consumer spending is still growing, but the latest monthly pattern is softer than the headline dollar increase suggests. Nominal PCE rose in July, while real PCE was nearly unchanged after adjusting for prices. This means households spent more </w:t>
      </w:r>
      <w:proofErr w:type="gramStart"/>
      <w:r>
        <w:t>dollars, but</w:t>
      </w:r>
      <w:proofErr w:type="gramEnd"/>
      <w:r>
        <w:t xml:space="preserve"> bought only slightly more in volume terms.</w:t>
      </w:r>
    </w:p>
    <w:tbl>
      <w:tblPr>
        <w:tblW w:w="0" w:type="auto"/>
        <w:jc w:val="center"/>
        <w:tblLook w:val="04A0" w:firstRow="1" w:lastRow="0" w:firstColumn="1" w:lastColumn="0" w:noHBand="0" w:noVBand="1"/>
      </w:tblPr>
      <w:tblGrid>
        <w:gridCol w:w="5184"/>
        <w:gridCol w:w="5184"/>
      </w:tblGrid>
      <w:tr w:rsidR="00A97E6F" w14:paraId="7820A3C9" w14:textId="77777777" w:rsidTr="00406F1D">
        <w:trPr>
          <w:jc w:val="center"/>
        </w:trPr>
        <w:tc>
          <w:tcPr>
            <w:tcW w:w="5285" w:type="dxa"/>
          </w:tcPr>
          <w:p w14:paraId="21A170C8" w14:textId="77777777" w:rsidR="00A97E6F" w:rsidRDefault="00A97E6F" w:rsidP="00406F1D">
            <w:pPr>
              <w:jc w:val="center"/>
            </w:pPr>
            <w:r>
              <w:rPr>
                <w:noProof/>
              </w:rPr>
              <w:drawing>
                <wp:inline distT="0" distB="0" distL="0" distR="0" wp14:anchorId="52A6EFE7" wp14:editId="694E55D8">
                  <wp:extent cx="2926080" cy="1371600"/>
                  <wp:effectExtent l="0" t="0" r="0" b="0"/>
                  <wp:docPr id="295858850" name="Picture 29585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e_monthly.png"/>
                          <pic:cNvPicPr/>
                        </pic:nvPicPr>
                        <pic:blipFill>
                          <a:blip r:embed="rId37"/>
                          <a:stretch>
                            <a:fillRect/>
                          </a:stretch>
                        </pic:blipFill>
                        <pic:spPr>
                          <a:xfrm>
                            <a:off x="0" y="0"/>
                            <a:ext cx="2926080" cy="1371600"/>
                          </a:xfrm>
                          <a:prstGeom prst="rect">
                            <a:avLst/>
                          </a:prstGeom>
                        </pic:spPr>
                      </pic:pic>
                    </a:graphicData>
                  </a:graphic>
                </wp:inline>
              </w:drawing>
            </w:r>
          </w:p>
        </w:tc>
        <w:tc>
          <w:tcPr>
            <w:tcW w:w="5285" w:type="dxa"/>
          </w:tcPr>
          <w:p w14:paraId="497066B2" w14:textId="77777777" w:rsidR="00A97E6F" w:rsidRDefault="00A97E6F" w:rsidP="00406F1D">
            <w:pPr>
              <w:jc w:val="center"/>
            </w:pPr>
            <w:r>
              <w:rPr>
                <w:noProof/>
              </w:rPr>
              <w:drawing>
                <wp:inline distT="0" distB="0" distL="0" distR="0" wp14:anchorId="7D403301" wp14:editId="22F1B104">
                  <wp:extent cx="2926080" cy="1371600"/>
                  <wp:effectExtent l="0" t="0" r="0" b="0"/>
                  <wp:docPr id="1965520399" name="Picture 196552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pce.png"/>
                          <pic:cNvPicPr/>
                        </pic:nvPicPr>
                        <pic:blipFill>
                          <a:blip r:embed="rId38"/>
                          <a:stretch>
                            <a:fillRect/>
                          </a:stretch>
                        </pic:blipFill>
                        <pic:spPr>
                          <a:xfrm>
                            <a:off x="0" y="0"/>
                            <a:ext cx="2926080" cy="1371600"/>
                          </a:xfrm>
                          <a:prstGeom prst="rect">
                            <a:avLst/>
                          </a:prstGeom>
                        </pic:spPr>
                      </pic:pic>
                    </a:graphicData>
                  </a:graphic>
                </wp:inline>
              </w:drawing>
            </w:r>
          </w:p>
        </w:tc>
      </w:tr>
    </w:tbl>
    <w:p w14:paraId="17385028" w14:textId="77777777" w:rsidR="00A97E6F" w:rsidRDefault="00A97E6F" w:rsidP="00A97E6F">
      <w:r>
        <w:rPr>
          <w:b/>
          <w:color w:val="1F3756"/>
        </w:rPr>
      </w:r>
      <w:r>
        <w:t>Nominal spending has continued to rise, but real spending lost momentum in July. The gap between the two measures shows why inflation still matters for the consumer: part of the increase in household outlays reflects higher prices rather than stronger consumption volumes.</w:t>
      </w:r>
    </w:p>
    <w:tbl>
      <w:tblPr>
        <w:tblW w:w="0" w:type="auto"/>
        <w:jc w:val="center"/>
        <w:tblLook w:val="04A0" w:firstRow="1" w:lastRow="0" w:firstColumn="1" w:lastColumn="0" w:noHBand="0" w:noVBand="1"/>
      </w:tblPr>
      <w:tblGrid>
        <w:gridCol w:w="2594"/>
        <w:gridCol w:w="2590"/>
        <w:gridCol w:w="2590"/>
        <w:gridCol w:w="2594"/>
      </w:tblGrid>
      <w:tr w:rsidR="00A97E6F" w14:paraId="747A2716" w14:textId="77777777" w:rsidTr="00406F1D">
        <w:trPr>
          <w:jc w:val="center"/>
        </w:trPr>
        <w:tc>
          <w:tcPr>
            <w:tcW w:w="2642" w:type="dxa"/>
            <w:shd w:val="clear" w:color="auto" w:fill="1F3756"/>
          </w:tcPr>
          <w:p w14:paraId="6667C501" w14:textId="77777777" w:rsidR="00A97E6F" w:rsidRDefault="00A97E6F" w:rsidP="00406F1D">
            <w:r>
              <w:rPr>
                <w:b/>
                <w:color w:val="FFFFFF"/>
                <w:sz w:val="14"/>
              </w:rPr>
              <w:t>Measure</w:t>
            </w:r>
          </w:p>
        </w:tc>
        <w:tc>
          <w:tcPr>
            <w:tcW w:w="2642" w:type="dxa"/>
            <w:shd w:val="clear" w:color="auto" w:fill="1F3756"/>
          </w:tcPr>
          <w:p w14:paraId="35FD933A" w14:textId="77777777" w:rsidR="00A97E6F" w:rsidRDefault="00A97E6F" w:rsidP="00406F1D">
            <w:r>
              <w:rPr>
                <w:b/>
                <w:color w:val="FFFFFF"/>
                <w:sz w:val="14"/>
              </w:rPr>
              <w:t>May 2026</w:t>
            </w:r>
          </w:p>
        </w:tc>
        <w:tc>
          <w:tcPr>
            <w:tcW w:w="2642" w:type="dxa"/>
            <w:shd w:val="clear" w:color="auto" w:fill="1F3756"/>
          </w:tcPr>
          <w:p w14:paraId="5C05E612" w14:textId="77777777" w:rsidR="00A97E6F" w:rsidRDefault="00A97E6F" w:rsidP="00406F1D">
            <w:r>
              <w:rPr>
                <w:b/>
                <w:color w:val="FFFFFF"/>
                <w:sz w:val="14"/>
              </w:rPr>
              <w:t>June 2026</w:t>
            </w:r>
          </w:p>
        </w:tc>
        <w:tc>
          <w:tcPr>
            <w:tcW w:w="2642" w:type="dxa"/>
            <w:shd w:val="clear" w:color="auto" w:fill="1F3756"/>
          </w:tcPr>
          <w:p w14:paraId="69581DBF" w14:textId="77777777" w:rsidR="00A97E6F" w:rsidRDefault="00A97E6F" w:rsidP="00406F1D">
            <w:r>
              <w:rPr>
                <w:b/>
                <w:color w:val="FFFFFF"/>
                <w:sz w:val="14"/>
              </w:rPr>
              <w:t>July 2026</w:t>
            </w:r>
          </w:p>
        </w:tc>
      </w:tr>
      <w:tr w:rsidR="00A97E6F" w14:paraId="347FD313" w14:textId="77777777" w:rsidTr="00406F1D">
        <w:trPr>
          <w:jc w:val="center"/>
        </w:trPr>
        <w:tc>
          <w:tcPr>
            <w:tcW w:w="2642" w:type="dxa"/>
            <w:vAlign w:val="center"/>
          </w:tcPr>
          <w:p w14:paraId="0D3A7D1E" w14:textId="77777777" w:rsidR="00A97E6F" w:rsidRDefault="00A97E6F" w:rsidP="00406F1D">
            <w:pPr>
              <w:spacing w:after="0"/>
            </w:pPr>
            <w:r>
              <w:rPr>
                <w:sz w:val="13"/>
              </w:rPr>
              <w:t>Current-dollar PCE, m/m</w:t>
            </w:r>
          </w:p>
        </w:tc>
        <w:tc>
          <w:tcPr>
            <w:tcW w:w="2642" w:type="dxa"/>
            <w:vAlign w:val="center"/>
          </w:tcPr>
          <w:p w14:paraId="17DEA0C6" w14:textId="77777777" w:rsidR="00A97E6F" w:rsidRDefault="00A97E6F" w:rsidP="00406F1D">
            <w:pPr>
              <w:spacing w:after="0"/>
            </w:pPr>
            <w:r>
              <w:rPr>
                <w:sz w:val="13"/>
              </w:rPr>
              <w:t>+0.4%</w:t>
            </w:r>
          </w:p>
        </w:tc>
        <w:tc>
          <w:tcPr>
            <w:tcW w:w="2642" w:type="dxa"/>
            <w:vAlign w:val="center"/>
          </w:tcPr>
          <w:p w14:paraId="52CA7A3C" w14:textId="77777777" w:rsidR="00A97E6F" w:rsidRDefault="00A97E6F" w:rsidP="00406F1D">
            <w:pPr>
              <w:spacing w:after="0"/>
            </w:pPr>
            <w:r>
              <w:rPr>
                <w:sz w:val="13"/>
              </w:rPr>
              <w:t>+0.3%</w:t>
            </w:r>
          </w:p>
        </w:tc>
        <w:tc>
          <w:tcPr>
            <w:tcW w:w="2642" w:type="dxa"/>
            <w:vAlign w:val="center"/>
          </w:tcPr>
          <w:p w14:paraId="3CC03361" w14:textId="77777777" w:rsidR="00A97E6F" w:rsidRDefault="00A97E6F" w:rsidP="00406F1D">
            <w:pPr>
              <w:spacing w:after="0"/>
            </w:pPr>
            <w:r>
              <w:rPr>
                <w:sz w:val="13"/>
              </w:rPr>
              <w:t>+0.2%</w:t>
            </w:r>
          </w:p>
        </w:tc>
      </w:tr>
      <w:tr w:rsidR="00A97E6F" w14:paraId="42A41D3E" w14:textId="77777777" w:rsidTr="00406F1D">
        <w:trPr>
          <w:jc w:val="center"/>
        </w:trPr>
        <w:tc>
          <w:tcPr>
            <w:tcW w:w="2642" w:type="dxa"/>
            <w:vAlign w:val="center"/>
          </w:tcPr>
          <w:p w14:paraId="26D15AA4" w14:textId="77777777" w:rsidR="00A97E6F" w:rsidRDefault="00A97E6F" w:rsidP="00406F1D">
            <w:pPr>
              <w:spacing w:after="0"/>
            </w:pPr>
            <w:r>
              <w:rPr>
                <w:sz w:val="13"/>
              </w:rPr>
              <w:t>Real PCE, m/m</w:t>
            </w:r>
          </w:p>
        </w:tc>
        <w:tc>
          <w:tcPr>
            <w:tcW w:w="2642" w:type="dxa"/>
            <w:vAlign w:val="center"/>
          </w:tcPr>
          <w:p w14:paraId="488F1E25" w14:textId="77777777" w:rsidR="00A97E6F" w:rsidRDefault="00A97E6F" w:rsidP="00406F1D">
            <w:pPr>
              <w:spacing w:after="0"/>
            </w:pPr>
            <w:r>
              <w:rPr>
                <w:sz w:val="13"/>
              </w:rPr>
              <w:t>+0.2%</w:t>
            </w:r>
          </w:p>
        </w:tc>
        <w:tc>
          <w:tcPr>
            <w:tcW w:w="2642" w:type="dxa"/>
            <w:vAlign w:val="center"/>
          </w:tcPr>
          <w:p w14:paraId="35843FBE" w14:textId="77777777" w:rsidR="00A97E6F" w:rsidRDefault="00A97E6F" w:rsidP="00406F1D">
            <w:pPr>
              <w:spacing w:after="0"/>
            </w:pPr>
            <w:r>
              <w:rPr>
                <w:sz w:val="13"/>
              </w:rPr>
              <w:t>+0.4%</w:t>
            </w:r>
          </w:p>
        </w:tc>
        <w:tc>
          <w:tcPr>
            <w:tcW w:w="2642" w:type="dxa"/>
            <w:vAlign w:val="center"/>
          </w:tcPr>
          <w:p w14:paraId="2D8E2EBF" w14:textId="77777777" w:rsidR="00A97E6F" w:rsidRDefault="00A97E6F" w:rsidP="00406F1D">
            <w:pPr>
              <w:spacing w:after="0"/>
            </w:pPr>
            <w:r>
              <w:rPr>
                <w:sz w:val="13"/>
              </w:rPr>
              <w:t>&lt;+0.1%</w:t>
            </w:r>
          </w:p>
        </w:tc>
      </w:tr>
      <w:tr w:rsidR="00A97E6F" w14:paraId="15978C3B" w14:textId="77777777" w:rsidTr="00406F1D">
        <w:trPr>
          <w:jc w:val="center"/>
        </w:trPr>
        <w:tc>
          <w:tcPr>
            <w:tcW w:w="2642" w:type="dxa"/>
            <w:vAlign w:val="center"/>
          </w:tcPr>
          <w:p w14:paraId="2D02B4C8" w14:textId="77777777" w:rsidR="00A97E6F" w:rsidRDefault="00A97E6F" w:rsidP="00406F1D">
            <w:pPr>
              <w:spacing w:after="0"/>
            </w:pPr>
            <w:r>
              <w:rPr>
                <w:sz w:val="13"/>
              </w:rPr>
              <w:t>July spending mix</w:t>
            </w:r>
          </w:p>
        </w:tc>
        <w:tc>
          <w:tcPr>
            <w:tcW w:w="2642" w:type="dxa"/>
            <w:vAlign w:val="center"/>
          </w:tcPr>
          <w:p w14:paraId="5BDE2DA7" w14:textId="77777777" w:rsidR="00A97E6F" w:rsidRDefault="00A97E6F" w:rsidP="00406F1D">
            <w:pPr>
              <w:spacing w:after="0"/>
            </w:pPr>
            <w:r>
              <w:rPr>
                <w:sz w:val="13"/>
              </w:rPr>
              <w:t>—</w:t>
            </w:r>
          </w:p>
        </w:tc>
        <w:tc>
          <w:tcPr>
            <w:tcW w:w="2642" w:type="dxa"/>
            <w:vAlign w:val="center"/>
          </w:tcPr>
          <w:p w14:paraId="758A4711" w14:textId="77777777" w:rsidR="00A97E6F" w:rsidRDefault="00A97E6F" w:rsidP="00406F1D">
            <w:pPr>
              <w:spacing w:after="0"/>
            </w:pPr>
            <w:r>
              <w:rPr>
                <w:sz w:val="13"/>
              </w:rPr>
              <w:t>—</w:t>
            </w:r>
          </w:p>
        </w:tc>
        <w:tc>
          <w:tcPr>
            <w:tcW w:w="2642" w:type="dxa"/>
            <w:vAlign w:val="center"/>
          </w:tcPr>
          <w:p w14:paraId="54D54A7D" w14:textId="77777777" w:rsidR="00A97E6F" w:rsidRDefault="00A97E6F" w:rsidP="00406F1D">
            <w:pPr>
              <w:spacing w:after="0"/>
            </w:pPr>
            <w:r>
              <w:rPr>
                <w:sz w:val="13"/>
              </w:rPr>
              <w:t>Services +$86.2B; Goods -$49.9B</w:t>
            </w:r>
          </w:p>
        </w:tc>
      </w:tr>
    </w:tbl>
    <w:p w14:paraId="71EB7FB5" w14:textId="77777777" w:rsidR="00A97E6F" w:rsidRDefault="00A97E6F" w:rsidP="00A97E6F">
      <w:r>
        <w:t>The current pattern is consistent with a consumer who has not stopped spending but is becoming more deliberate. Services remain a steadier source of demand, while goods are more exposed to financing costs, replacement cycles and price sensitivity.</w:t>
      </w:r>
    </w:p>
    <w:p w14:paraId="728F3F82" w14:textId="77777777" w:rsidR="00A97E6F" w:rsidRDefault="00A97E6F" w:rsidP="00A97E6F">
      <w:r>
        <w:rPr>
          <w:b/>
        </w:rPr>
        <w:t xml:space="preserve">Source: </w:t>
      </w:r>
      <w:r>
        <w:rPr>
          <w:i/>
          <w:sz w:val="14"/>
        </w:rPr>
        <w:t>BEA, Personal Income and Outlays, July 2026. July current-dollar PCE increased $36.3 billion.</w:t>
      </w:r>
    </w:p>
    <w:p w14:paraId="7C8448B2" w14:textId="77777777" w:rsidR="00A97E6F" w:rsidRDefault="00A97E6F" w:rsidP="00A97E6F">
      <w:pPr>
        <w:jc w:val="right"/>
      </w:pPr>
      <w:proofErr w:type="spellStart"/>
      <w:r>
        <w:rPr>
          <w:color w:val="555555"/>
          <w:sz w:val="14"/>
        </w:rPr>
        <w:t>BrandEssence</w:t>
      </w:r>
      <w:proofErr w:type="spellEnd"/>
      <w:r>
        <w:rPr>
          <w:color w:val="555555"/>
          <w:sz w:val="14"/>
        </w:rPr>
        <w:t xml:space="preserve"> Economic Intelligence   |   Chapter 7: Consumer Economy   |   Page 18</w:t>
      </w:r>
    </w:p>
    <w:p w14:paraId="5DE9FF82" w14:textId="77777777" w:rsidR="00B03DB7" w:rsidRDefault="00B03DB7" w:rsidP="00B03DB7">
      <w:r>
        <w:rPr>
          <w:b/>
          <w:color w:val="555555"/>
          <w:sz w:val="15"/>
        </w:rPr>
        <w:t xml:space="preserve">CHAPTER </w:t>
      </w:r>
      <w:proofErr w:type="gramStart"/>
      <w:r>
        <w:rPr>
          <w:b/>
          <w:color w:val="555555"/>
          <w:sz w:val="15"/>
        </w:rPr>
        <w:t>08  /</w:t>
      </w:r>
      <w:proofErr w:type="gramEnd"/>
      <w:r>
        <w:rPr>
          <w:b/>
          <w:color w:val="555555"/>
          <w:sz w:val="15"/>
        </w:rPr>
        <w:t xml:space="preserve">  BUSINESS INVESTMENT &amp; CORPORATE SECTOR</w:t>
      </w:r>
    </w:p>
    <w:p w14:paraId="74FC0ED7" w14:textId="77777777" w:rsidR="00B03DB7" w:rsidRDefault="00B03DB7" w:rsidP="00B03DB7">
      <w:pPr>
        <w:pStyle w:val="Heading1"/>
      </w:pPr>
      <w:r>
        <w:t>22. U.S. Investment Cycle</w:t>
      </w:r>
    </w:p>
    <w:p w14:paraId="04D24E89" w14:textId="77777777" w:rsidR="00B03DB7" w:rsidRDefault="00B03DB7" w:rsidP="00B03DB7">
      <w:r>
        <w:rPr>
          <w:i/>
          <w:color w:val="555555"/>
        </w:rPr>
        <w:t>Business Investment | The Shift Toward Equipment and Intellectual Property</w:t>
      </w:r>
    </w:p>
    <w:p w14:paraId="131B9E23" w14:textId="77777777" w:rsidR="00B03DB7" w:rsidRDefault="00B03DB7" w:rsidP="00B03DB7">
      <w:r>
        <w:t xml:space="preserve">Business investment remains an important source of resilience in the U.S. economy, but the cycle is becoming more selective. Spending is strongest in equipment and intellectual property, while structures have been much flatter. That mix points to companies </w:t>
      </w:r>
      <w:proofErr w:type="spellStart"/>
      <w:r>
        <w:t>prioritising</w:t>
      </w:r>
      <w:proofErr w:type="spellEnd"/>
      <w:r>
        <w:t xml:space="preserve"> technology, automation and productive capacity rather than expanding every type of physical footprint.</w:t>
      </w:r>
    </w:p>
    <w:p w14:paraId="258E5951" w14:textId="77777777" w:rsidR="00B03DB7" w:rsidRDefault="00B03DB7" w:rsidP="00B03DB7">
      <w:pPr>
        <w:jc w:val="center"/>
      </w:pPr>
      <w:r>
        <w:rPr>
          <w:noProof/>
        </w:rPr>
        <w:drawing>
          <wp:inline distT="0" distB="0" distL="0" distR="0" wp14:anchorId="0E5783F9" wp14:editId="4E6EA9FE">
            <wp:extent cx="5669280" cy="1564886"/>
            <wp:effectExtent l="0" t="0" r="0" b="0"/>
            <wp:docPr id="2031398062" name="Picture 203139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snapshot.png"/>
                    <pic:cNvPicPr/>
                  </pic:nvPicPr>
                  <pic:blipFill>
                    <a:blip r:embed="rId39"/>
                    <a:stretch>
                      <a:fillRect/>
                    </a:stretch>
                  </pic:blipFill>
                  <pic:spPr>
                    <a:xfrm>
                      <a:off x="0" y="0"/>
                      <a:ext cx="5669280" cy="1564886"/>
                    </a:xfrm>
                    <a:prstGeom prst="rect">
                      <a:avLst/>
                    </a:prstGeom>
                  </pic:spPr>
                </pic:pic>
              </a:graphicData>
            </a:graphic>
          </wp:inline>
        </w:drawing>
      </w:r>
    </w:p>
    <w:tbl>
      <w:tblPr>
        <w:tblW w:w="0" w:type="auto"/>
        <w:jc w:val="center"/>
        <w:tblLook w:val="04A0" w:firstRow="1" w:lastRow="0" w:firstColumn="1" w:lastColumn="0" w:noHBand="0" w:noVBand="1"/>
      </w:tblPr>
      <w:tblGrid>
        <w:gridCol w:w="5184"/>
        <w:gridCol w:w="5184"/>
      </w:tblGrid>
      <w:tr w:rsidR="00B03DB7" w14:paraId="74B6EF99" w14:textId="77777777" w:rsidTr="00406F1D">
        <w:trPr>
          <w:jc w:val="center"/>
        </w:trPr>
        <w:tc>
          <w:tcPr>
            <w:tcW w:w="5285" w:type="dxa"/>
          </w:tcPr>
          <w:p w14:paraId="61053F88" w14:textId="77777777" w:rsidR="00B03DB7" w:rsidRDefault="00B03DB7" w:rsidP="00406F1D">
            <w:pPr>
              <w:jc w:val="center"/>
            </w:pPr>
            <w:r>
              <w:rPr>
                <w:noProof/>
              </w:rPr>
              <w:lastRenderedPageBreak/>
              <w:drawing>
                <wp:inline distT="0" distB="0" distL="0" distR="0" wp14:anchorId="067C5A81" wp14:editId="6BA8C98C">
                  <wp:extent cx="2834640" cy="1351905"/>
                  <wp:effectExtent l="0" t="0" r="0" b="0"/>
                  <wp:docPr id="110533470" name="Picture 11053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ix.png"/>
                          <pic:cNvPicPr/>
                        </pic:nvPicPr>
                        <pic:blipFill>
                          <a:blip r:embed="rId40"/>
                          <a:stretch>
                            <a:fillRect/>
                          </a:stretch>
                        </pic:blipFill>
                        <pic:spPr>
                          <a:xfrm>
                            <a:off x="0" y="0"/>
                            <a:ext cx="2834640" cy="1351905"/>
                          </a:xfrm>
                          <a:prstGeom prst="rect">
                            <a:avLst/>
                          </a:prstGeom>
                        </pic:spPr>
                      </pic:pic>
                    </a:graphicData>
                  </a:graphic>
                </wp:inline>
              </w:drawing>
            </w:r>
          </w:p>
        </w:tc>
        <w:tc>
          <w:tcPr>
            <w:tcW w:w="5285" w:type="dxa"/>
          </w:tcPr>
          <w:p w14:paraId="21632CB5" w14:textId="77777777" w:rsidR="00B03DB7" w:rsidRDefault="00B03DB7" w:rsidP="00406F1D">
            <w:pPr>
              <w:jc w:val="center"/>
            </w:pPr>
            <w:r>
              <w:rPr>
                <w:noProof/>
              </w:rPr>
              <w:drawing>
                <wp:inline distT="0" distB="0" distL="0" distR="0" wp14:anchorId="4548F306" wp14:editId="1AA00E11">
                  <wp:extent cx="2834640" cy="1349829"/>
                  <wp:effectExtent l="0" t="0" r="0" b="0"/>
                  <wp:docPr id="1967619747" name="Picture 196761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s_total.png"/>
                          <pic:cNvPicPr/>
                        </pic:nvPicPr>
                        <pic:blipFill>
                          <a:blip r:embed="rId41"/>
                          <a:stretch>
                            <a:fillRect/>
                          </a:stretch>
                        </pic:blipFill>
                        <pic:spPr>
                          <a:xfrm>
                            <a:off x="0" y="0"/>
                            <a:ext cx="2834640" cy="1349829"/>
                          </a:xfrm>
                          <a:prstGeom prst="rect">
                            <a:avLst/>
                          </a:prstGeom>
                        </pic:spPr>
                      </pic:pic>
                    </a:graphicData>
                  </a:graphic>
                </wp:inline>
              </w:drawing>
            </w:r>
          </w:p>
        </w:tc>
      </w:tr>
    </w:tbl>
    <w:p w14:paraId="2912A43D" w14:textId="77777777" w:rsidR="00B03DB7" w:rsidRDefault="00B03DB7" w:rsidP="00B03DB7">
      <w:r>
        <w:rPr>
          <w:b/>
          <w:color w:val="1F3756"/>
        </w:rPr>
      </w:r>
      <w:r>
        <w:t>The investment cycle is still moving forward, but the composition has changed. Equipment and intellectual-property spending are doing most of the work, while structures have not kept pace. This is consistent with a corporate sector putting more capital into technology and efficiency than into broad-based physical expansion.</w:t>
      </w:r>
    </w:p>
    <w:tbl>
      <w:tblPr>
        <w:tblW w:w="0" w:type="auto"/>
        <w:jc w:val="center"/>
        <w:tblLook w:val="04A0" w:firstRow="1" w:lastRow="0" w:firstColumn="1" w:lastColumn="0" w:noHBand="0" w:noVBand="1"/>
      </w:tblPr>
      <w:tblGrid>
        <w:gridCol w:w="2598"/>
        <w:gridCol w:w="2591"/>
        <w:gridCol w:w="2591"/>
        <w:gridCol w:w="2588"/>
      </w:tblGrid>
      <w:tr w:rsidR="00B03DB7" w14:paraId="07FA2679" w14:textId="77777777" w:rsidTr="00406F1D">
        <w:trPr>
          <w:jc w:val="center"/>
        </w:trPr>
        <w:tc>
          <w:tcPr>
            <w:tcW w:w="2642" w:type="dxa"/>
            <w:shd w:val="clear" w:color="auto" w:fill="1F3756"/>
          </w:tcPr>
          <w:p w14:paraId="4B33821D" w14:textId="77777777" w:rsidR="00B03DB7" w:rsidRDefault="00B03DB7" w:rsidP="00406F1D">
            <w:r>
              <w:rPr>
                <w:b/>
                <w:color w:val="FFFFFF"/>
                <w:sz w:val="13"/>
              </w:rPr>
              <w:t>Investment measure</w:t>
            </w:r>
          </w:p>
        </w:tc>
        <w:tc>
          <w:tcPr>
            <w:tcW w:w="2642" w:type="dxa"/>
            <w:shd w:val="clear" w:color="auto" w:fill="1F3756"/>
          </w:tcPr>
          <w:p w14:paraId="12137718" w14:textId="77777777" w:rsidR="00B03DB7" w:rsidRDefault="00B03DB7" w:rsidP="00406F1D">
            <w:r>
              <w:rPr>
                <w:b/>
                <w:color w:val="FFFFFF"/>
                <w:sz w:val="13"/>
              </w:rPr>
              <w:t>Q2 2025</w:t>
            </w:r>
          </w:p>
        </w:tc>
        <w:tc>
          <w:tcPr>
            <w:tcW w:w="2642" w:type="dxa"/>
            <w:shd w:val="clear" w:color="auto" w:fill="1F3756"/>
          </w:tcPr>
          <w:p w14:paraId="0FCC7E0E" w14:textId="77777777" w:rsidR="00B03DB7" w:rsidRDefault="00B03DB7" w:rsidP="00406F1D">
            <w:r>
              <w:rPr>
                <w:b/>
                <w:color w:val="FFFFFF"/>
                <w:sz w:val="13"/>
              </w:rPr>
              <w:t>Q2 2026</w:t>
            </w:r>
          </w:p>
        </w:tc>
        <w:tc>
          <w:tcPr>
            <w:tcW w:w="2642" w:type="dxa"/>
            <w:shd w:val="clear" w:color="auto" w:fill="1F3756"/>
          </w:tcPr>
          <w:p w14:paraId="330CAA9D" w14:textId="77777777" w:rsidR="00B03DB7" w:rsidRDefault="00B03DB7" w:rsidP="00406F1D">
            <w:r>
              <w:rPr>
                <w:b/>
                <w:color w:val="FFFFFF"/>
                <w:sz w:val="13"/>
              </w:rPr>
              <w:t>Change</w:t>
            </w:r>
          </w:p>
        </w:tc>
      </w:tr>
      <w:tr w:rsidR="00B03DB7" w14:paraId="18F749E4" w14:textId="77777777" w:rsidTr="00406F1D">
        <w:trPr>
          <w:jc w:val="center"/>
        </w:trPr>
        <w:tc>
          <w:tcPr>
            <w:tcW w:w="2642" w:type="dxa"/>
            <w:vAlign w:val="center"/>
          </w:tcPr>
          <w:p w14:paraId="22A2B6D7" w14:textId="77777777" w:rsidR="00B03DB7" w:rsidRDefault="00B03DB7" w:rsidP="00406F1D">
            <w:pPr>
              <w:spacing w:after="0"/>
            </w:pPr>
            <w:r>
              <w:rPr>
                <w:sz w:val="13"/>
              </w:rPr>
              <w:t>Nonresidential fixed investment</w:t>
            </w:r>
          </w:p>
        </w:tc>
        <w:tc>
          <w:tcPr>
            <w:tcW w:w="2642" w:type="dxa"/>
            <w:vAlign w:val="center"/>
          </w:tcPr>
          <w:p w14:paraId="574D2980" w14:textId="77777777" w:rsidR="00B03DB7" w:rsidRDefault="00B03DB7" w:rsidP="00406F1D">
            <w:pPr>
              <w:spacing w:after="0"/>
            </w:pPr>
            <w:r>
              <w:rPr>
                <w:sz w:val="13"/>
              </w:rPr>
              <w:t>$4,207.5B</w:t>
            </w:r>
          </w:p>
        </w:tc>
        <w:tc>
          <w:tcPr>
            <w:tcW w:w="2642" w:type="dxa"/>
            <w:vAlign w:val="center"/>
          </w:tcPr>
          <w:p w14:paraId="463DF3B5" w14:textId="77777777" w:rsidR="00B03DB7" w:rsidRDefault="00B03DB7" w:rsidP="00406F1D">
            <w:pPr>
              <w:spacing w:after="0"/>
            </w:pPr>
            <w:r>
              <w:rPr>
                <w:sz w:val="13"/>
              </w:rPr>
              <w:t>$4,623.4B</w:t>
            </w:r>
          </w:p>
        </w:tc>
        <w:tc>
          <w:tcPr>
            <w:tcW w:w="2642" w:type="dxa"/>
            <w:vAlign w:val="center"/>
          </w:tcPr>
          <w:p w14:paraId="51BB4949" w14:textId="77777777" w:rsidR="00B03DB7" w:rsidRDefault="00B03DB7" w:rsidP="00406F1D">
            <w:pPr>
              <w:spacing w:after="0"/>
            </w:pPr>
            <w:r>
              <w:rPr>
                <w:sz w:val="13"/>
              </w:rPr>
              <w:t>+9.9%</w:t>
            </w:r>
          </w:p>
        </w:tc>
      </w:tr>
      <w:tr w:rsidR="00B03DB7" w14:paraId="3FF6E902" w14:textId="77777777" w:rsidTr="00406F1D">
        <w:trPr>
          <w:jc w:val="center"/>
        </w:trPr>
        <w:tc>
          <w:tcPr>
            <w:tcW w:w="2642" w:type="dxa"/>
            <w:vAlign w:val="center"/>
          </w:tcPr>
          <w:p w14:paraId="61DA7788" w14:textId="77777777" w:rsidR="00B03DB7" w:rsidRDefault="00B03DB7" w:rsidP="00406F1D">
            <w:pPr>
              <w:spacing w:after="0"/>
            </w:pPr>
            <w:r>
              <w:rPr>
                <w:sz w:val="13"/>
              </w:rPr>
              <w:t>Structures</w:t>
            </w:r>
          </w:p>
        </w:tc>
        <w:tc>
          <w:tcPr>
            <w:tcW w:w="2642" w:type="dxa"/>
            <w:vAlign w:val="center"/>
          </w:tcPr>
          <w:p w14:paraId="15289618" w14:textId="77777777" w:rsidR="00B03DB7" w:rsidRDefault="00B03DB7" w:rsidP="00406F1D">
            <w:pPr>
              <w:spacing w:after="0"/>
            </w:pPr>
            <w:r>
              <w:rPr>
                <w:sz w:val="13"/>
              </w:rPr>
              <w:t>$891.3B</w:t>
            </w:r>
          </w:p>
        </w:tc>
        <w:tc>
          <w:tcPr>
            <w:tcW w:w="2642" w:type="dxa"/>
            <w:vAlign w:val="center"/>
          </w:tcPr>
          <w:p w14:paraId="5112C998" w14:textId="77777777" w:rsidR="00B03DB7" w:rsidRDefault="00B03DB7" w:rsidP="00406F1D">
            <w:pPr>
              <w:spacing w:after="0"/>
            </w:pPr>
            <w:r>
              <w:rPr>
                <w:sz w:val="13"/>
              </w:rPr>
              <w:t>$885.8B</w:t>
            </w:r>
          </w:p>
        </w:tc>
        <w:tc>
          <w:tcPr>
            <w:tcW w:w="2642" w:type="dxa"/>
            <w:vAlign w:val="center"/>
          </w:tcPr>
          <w:p w14:paraId="58CCB2DF" w14:textId="77777777" w:rsidR="00B03DB7" w:rsidRDefault="00B03DB7" w:rsidP="00406F1D">
            <w:pPr>
              <w:spacing w:after="0"/>
            </w:pPr>
            <w:r>
              <w:rPr>
                <w:sz w:val="13"/>
              </w:rPr>
              <w:t>-0.6%</w:t>
            </w:r>
          </w:p>
        </w:tc>
      </w:tr>
      <w:tr w:rsidR="00B03DB7" w14:paraId="7DA93403" w14:textId="77777777" w:rsidTr="00406F1D">
        <w:trPr>
          <w:jc w:val="center"/>
        </w:trPr>
        <w:tc>
          <w:tcPr>
            <w:tcW w:w="2642" w:type="dxa"/>
            <w:vAlign w:val="center"/>
          </w:tcPr>
          <w:p w14:paraId="7E55BCF3" w14:textId="77777777" w:rsidR="00B03DB7" w:rsidRDefault="00B03DB7" w:rsidP="00406F1D">
            <w:pPr>
              <w:spacing w:after="0"/>
            </w:pPr>
            <w:r>
              <w:rPr>
                <w:sz w:val="13"/>
              </w:rPr>
              <w:t>Equipment</w:t>
            </w:r>
          </w:p>
        </w:tc>
        <w:tc>
          <w:tcPr>
            <w:tcW w:w="2642" w:type="dxa"/>
            <w:vAlign w:val="center"/>
          </w:tcPr>
          <w:p w14:paraId="3A3EC491" w14:textId="77777777" w:rsidR="00B03DB7" w:rsidRDefault="00B03DB7" w:rsidP="00406F1D">
            <w:pPr>
              <w:spacing w:after="0"/>
            </w:pPr>
            <w:r>
              <w:rPr>
                <w:sz w:val="13"/>
              </w:rPr>
              <w:t>$1,625.0B</w:t>
            </w:r>
          </w:p>
        </w:tc>
        <w:tc>
          <w:tcPr>
            <w:tcW w:w="2642" w:type="dxa"/>
            <w:vAlign w:val="center"/>
          </w:tcPr>
          <w:p w14:paraId="1507C61F" w14:textId="77777777" w:rsidR="00B03DB7" w:rsidRDefault="00B03DB7" w:rsidP="00406F1D">
            <w:pPr>
              <w:spacing w:after="0"/>
            </w:pPr>
            <w:r>
              <w:rPr>
                <w:sz w:val="13"/>
              </w:rPr>
              <w:t>$1,864.8B</w:t>
            </w:r>
          </w:p>
        </w:tc>
        <w:tc>
          <w:tcPr>
            <w:tcW w:w="2642" w:type="dxa"/>
            <w:vAlign w:val="center"/>
          </w:tcPr>
          <w:p w14:paraId="664845C3" w14:textId="77777777" w:rsidR="00B03DB7" w:rsidRDefault="00B03DB7" w:rsidP="00406F1D">
            <w:pPr>
              <w:spacing w:after="0"/>
            </w:pPr>
            <w:r>
              <w:rPr>
                <w:sz w:val="13"/>
              </w:rPr>
              <w:t>+14.8%</w:t>
            </w:r>
          </w:p>
        </w:tc>
      </w:tr>
      <w:tr w:rsidR="00B03DB7" w14:paraId="7E7EBEB1" w14:textId="77777777" w:rsidTr="00406F1D">
        <w:trPr>
          <w:jc w:val="center"/>
        </w:trPr>
        <w:tc>
          <w:tcPr>
            <w:tcW w:w="2642" w:type="dxa"/>
            <w:vAlign w:val="center"/>
          </w:tcPr>
          <w:p w14:paraId="5F3D3FB0" w14:textId="77777777" w:rsidR="00B03DB7" w:rsidRDefault="00B03DB7" w:rsidP="00406F1D">
            <w:pPr>
              <w:spacing w:after="0"/>
            </w:pPr>
            <w:r>
              <w:rPr>
                <w:sz w:val="13"/>
              </w:rPr>
              <w:t>Intellectual property products</w:t>
            </w:r>
          </w:p>
        </w:tc>
        <w:tc>
          <w:tcPr>
            <w:tcW w:w="2642" w:type="dxa"/>
            <w:vAlign w:val="center"/>
          </w:tcPr>
          <w:p w14:paraId="4BC132A8" w14:textId="77777777" w:rsidR="00B03DB7" w:rsidRDefault="00B03DB7" w:rsidP="00406F1D">
            <w:pPr>
              <w:spacing w:after="0"/>
            </w:pPr>
            <w:r>
              <w:rPr>
                <w:sz w:val="13"/>
              </w:rPr>
              <w:t>$1,691.2B</w:t>
            </w:r>
          </w:p>
        </w:tc>
        <w:tc>
          <w:tcPr>
            <w:tcW w:w="2642" w:type="dxa"/>
            <w:vAlign w:val="center"/>
          </w:tcPr>
          <w:p w14:paraId="4DC12A33" w14:textId="77777777" w:rsidR="00B03DB7" w:rsidRDefault="00B03DB7" w:rsidP="00406F1D">
            <w:pPr>
              <w:spacing w:after="0"/>
            </w:pPr>
            <w:r>
              <w:rPr>
                <w:sz w:val="13"/>
              </w:rPr>
              <w:t>$1,872.8B</w:t>
            </w:r>
          </w:p>
        </w:tc>
        <w:tc>
          <w:tcPr>
            <w:tcW w:w="2642" w:type="dxa"/>
            <w:vAlign w:val="center"/>
          </w:tcPr>
          <w:p w14:paraId="067CD833" w14:textId="77777777" w:rsidR="00B03DB7" w:rsidRDefault="00B03DB7" w:rsidP="00406F1D">
            <w:pPr>
              <w:spacing w:after="0"/>
            </w:pPr>
            <w:r>
              <w:rPr>
                <w:sz w:val="13"/>
              </w:rPr>
              <w:t>+10.7%</w:t>
            </w:r>
          </w:p>
        </w:tc>
      </w:tr>
    </w:tbl>
    <w:p w14:paraId="5F6685E8" w14:textId="77777777" w:rsidR="00B03DB7" w:rsidRDefault="00B03DB7" w:rsidP="00B03DB7">
      <w:r>
        <w:rPr>
          <w:b/>
        </w:rPr>
        <w:t xml:space="preserve">Source: </w:t>
      </w:r>
      <w:r>
        <w:rPr>
          <w:i/>
          <w:sz w:val="14"/>
        </w:rPr>
        <w:t>BEA NIPA Table 5.3.5 / FRED, Q2 2026. Values are seasonally adjusted annual rates.</w:t>
      </w:r>
    </w:p>
    <w:p w14:paraId="7B2C0DFD"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8   |   Page 22</w:t>
      </w:r>
    </w:p>
    <w:p w14:paraId="642194A6" w14:textId="77777777" w:rsidR="00B03DB7" w:rsidRDefault="00B03DB7" w:rsidP="00B03DB7">
      <w:r>
        <w:br w:type="page"/>
      </w:r>
    </w:p>
    <w:p w14:paraId="77509A50" w14:textId="77777777" w:rsidR="00B03DB7" w:rsidRDefault="00B03DB7" w:rsidP="00B03DB7">
      <w:r>
        <w:rPr>
          <w:b/>
          <w:color w:val="555555"/>
          <w:sz w:val="15"/>
        </w:rPr>
        <w:lastRenderedPageBreak/>
        <w:t xml:space="preserve">CHAPTER </w:t>
      </w:r>
      <w:proofErr w:type="gramStart"/>
      <w:r>
        <w:rPr>
          <w:b/>
          <w:color w:val="555555"/>
          <w:sz w:val="15"/>
        </w:rPr>
        <w:t>08  /</w:t>
      </w:r>
      <w:proofErr w:type="gramEnd"/>
      <w:r>
        <w:rPr>
          <w:b/>
          <w:color w:val="555555"/>
          <w:sz w:val="15"/>
        </w:rPr>
        <w:t xml:space="preserve">  BUSINESS INVESTMENT &amp; CORPORATE SECTOR</w:t>
      </w:r>
    </w:p>
    <w:p w14:paraId="6A3CF27C" w14:textId="77777777" w:rsidR="00B03DB7" w:rsidRDefault="00B03DB7" w:rsidP="00B03DB7">
      <w:pPr>
        <w:pStyle w:val="Heading1"/>
      </w:pPr>
      <w:r>
        <w:t>23. Corporate Capex</w:t>
      </w:r>
    </w:p>
    <w:p w14:paraId="3F2F6FF7" w14:textId="77777777" w:rsidR="00B03DB7" w:rsidRDefault="00B03DB7" w:rsidP="00B03DB7">
      <w:r>
        <w:rPr>
          <w:i/>
          <w:color w:val="555555"/>
        </w:rPr>
        <w:t>Equipment, Software and Structures | Where Companies Are Spending</w:t>
      </w:r>
    </w:p>
    <w:p w14:paraId="19E7264F" w14:textId="77777777" w:rsidR="00B03DB7" w:rsidRDefault="00B03DB7" w:rsidP="00B03DB7">
      <w:r>
        <w:t xml:space="preserve">Corporate capex is increasingly concentrated </w:t>
      </w:r>
      <w:proofErr w:type="gramStart"/>
      <w:r>
        <w:t>in</w:t>
      </w:r>
      <w:proofErr w:type="gramEnd"/>
      <w:r>
        <w:t xml:space="preserve"> assets that raise processing power, automation and knowledge capital. Information-processing equipment, software and research and development all moved higher over the past year, while the structures component remained comparatively subdued.</w:t>
      </w:r>
    </w:p>
    <w:tbl>
      <w:tblPr>
        <w:tblW w:w="0" w:type="auto"/>
        <w:jc w:val="center"/>
        <w:tblLook w:val="04A0" w:firstRow="1" w:lastRow="0" w:firstColumn="1" w:lastColumn="0" w:noHBand="0" w:noVBand="1"/>
      </w:tblPr>
      <w:tblGrid>
        <w:gridCol w:w="5184"/>
        <w:gridCol w:w="5184"/>
      </w:tblGrid>
      <w:tr w:rsidR="00B03DB7" w14:paraId="122252AD" w14:textId="77777777" w:rsidTr="00406F1D">
        <w:trPr>
          <w:jc w:val="center"/>
        </w:trPr>
        <w:tc>
          <w:tcPr>
            <w:tcW w:w="5285" w:type="dxa"/>
          </w:tcPr>
          <w:p w14:paraId="53B5546D" w14:textId="77777777" w:rsidR="00B03DB7" w:rsidRDefault="00B03DB7" w:rsidP="00406F1D">
            <w:pPr>
              <w:jc w:val="center"/>
            </w:pPr>
            <w:r>
              <w:rPr>
                <w:noProof/>
              </w:rPr>
              <w:drawing>
                <wp:inline distT="0" distB="0" distL="0" distR="0" wp14:anchorId="09485056" wp14:editId="363EA286">
                  <wp:extent cx="2852928" cy="1360627"/>
                  <wp:effectExtent l="0" t="0" r="0" b="0"/>
                  <wp:docPr id="61130635" name="Picture 6113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capex.png"/>
                          <pic:cNvPicPr/>
                        </pic:nvPicPr>
                        <pic:blipFill>
                          <a:blip r:embed="rId42"/>
                          <a:stretch>
                            <a:fillRect/>
                          </a:stretch>
                        </pic:blipFill>
                        <pic:spPr>
                          <a:xfrm>
                            <a:off x="0" y="0"/>
                            <a:ext cx="2852928" cy="1360627"/>
                          </a:xfrm>
                          <a:prstGeom prst="rect">
                            <a:avLst/>
                          </a:prstGeom>
                        </pic:spPr>
                      </pic:pic>
                    </a:graphicData>
                  </a:graphic>
                </wp:inline>
              </w:drawing>
            </w:r>
          </w:p>
        </w:tc>
        <w:tc>
          <w:tcPr>
            <w:tcW w:w="5285" w:type="dxa"/>
          </w:tcPr>
          <w:p w14:paraId="6E74CE7C" w14:textId="77777777" w:rsidR="00B03DB7" w:rsidRDefault="00B03DB7" w:rsidP="00406F1D">
            <w:pPr>
              <w:jc w:val="center"/>
            </w:pPr>
            <w:r>
              <w:rPr>
                <w:noProof/>
              </w:rPr>
              <w:drawing>
                <wp:inline distT="0" distB="0" distL="0" distR="0" wp14:anchorId="1BEDB9C3" wp14:editId="09FC2178">
                  <wp:extent cx="2852928" cy="1358537"/>
                  <wp:effectExtent l="0" t="0" r="0" b="0"/>
                  <wp:docPr id="1507868691" name="Picture 150786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soft.png"/>
                          <pic:cNvPicPr/>
                        </pic:nvPicPr>
                        <pic:blipFill>
                          <a:blip r:embed="rId43"/>
                          <a:stretch>
                            <a:fillRect/>
                          </a:stretch>
                        </pic:blipFill>
                        <pic:spPr>
                          <a:xfrm>
                            <a:off x="0" y="0"/>
                            <a:ext cx="2852928" cy="1358537"/>
                          </a:xfrm>
                          <a:prstGeom prst="rect">
                            <a:avLst/>
                          </a:prstGeom>
                        </pic:spPr>
                      </pic:pic>
                    </a:graphicData>
                  </a:graphic>
                </wp:inline>
              </w:drawing>
            </w:r>
          </w:p>
        </w:tc>
      </w:tr>
    </w:tbl>
    <w:p w14:paraId="49CA726A" w14:textId="77777777" w:rsidR="00B03DB7" w:rsidRDefault="00B03DB7" w:rsidP="00B03DB7">
      <w:r>
        <w:rPr>
          <w:b/>
          <w:color w:val="1F3756"/>
        </w:rPr>
      </w:r>
      <w:r>
        <w:t xml:space="preserve">The strongest capex growth is in digital and knowledge-based assets. Information-processing equipment and software have risen much faster than structures, suggesting that firms are investing first in computing capacity and productivity tools. The pattern is supportive </w:t>
      </w:r>
      <w:proofErr w:type="gramStart"/>
      <w:r>
        <w:t>for</w:t>
      </w:r>
      <w:proofErr w:type="gramEnd"/>
      <w:r>
        <w:t xml:space="preserve"> technology-linked suppliers but less broad than a traditional construction-led capex boom.</w:t>
      </w:r>
    </w:p>
    <w:tbl>
      <w:tblPr>
        <w:tblW w:w="0" w:type="auto"/>
        <w:jc w:val="center"/>
        <w:tblLook w:val="04A0" w:firstRow="1" w:lastRow="0" w:firstColumn="1" w:lastColumn="0" w:noHBand="0" w:noVBand="1"/>
      </w:tblPr>
      <w:tblGrid>
        <w:gridCol w:w="2602"/>
        <w:gridCol w:w="2589"/>
        <w:gridCol w:w="2589"/>
        <w:gridCol w:w="2588"/>
      </w:tblGrid>
      <w:tr w:rsidR="00B03DB7" w14:paraId="24A9FBA2" w14:textId="77777777" w:rsidTr="00406F1D">
        <w:trPr>
          <w:jc w:val="center"/>
        </w:trPr>
        <w:tc>
          <w:tcPr>
            <w:tcW w:w="2642" w:type="dxa"/>
            <w:shd w:val="clear" w:color="auto" w:fill="1F3756"/>
          </w:tcPr>
          <w:p w14:paraId="769435DB" w14:textId="77777777" w:rsidR="00B03DB7" w:rsidRDefault="00B03DB7" w:rsidP="00406F1D">
            <w:r>
              <w:rPr>
                <w:b/>
                <w:color w:val="FFFFFF"/>
                <w:sz w:val="13"/>
              </w:rPr>
              <w:t>Capex category</w:t>
            </w:r>
          </w:p>
        </w:tc>
        <w:tc>
          <w:tcPr>
            <w:tcW w:w="2642" w:type="dxa"/>
            <w:shd w:val="clear" w:color="auto" w:fill="1F3756"/>
          </w:tcPr>
          <w:p w14:paraId="2EE2FB3C" w14:textId="77777777" w:rsidR="00B03DB7" w:rsidRDefault="00B03DB7" w:rsidP="00406F1D">
            <w:r>
              <w:rPr>
                <w:b/>
                <w:color w:val="FFFFFF"/>
                <w:sz w:val="13"/>
              </w:rPr>
              <w:t>Q2 2025</w:t>
            </w:r>
          </w:p>
        </w:tc>
        <w:tc>
          <w:tcPr>
            <w:tcW w:w="2642" w:type="dxa"/>
            <w:shd w:val="clear" w:color="auto" w:fill="1F3756"/>
          </w:tcPr>
          <w:p w14:paraId="54CCFD32" w14:textId="77777777" w:rsidR="00B03DB7" w:rsidRDefault="00B03DB7" w:rsidP="00406F1D">
            <w:r>
              <w:rPr>
                <w:b/>
                <w:color w:val="FFFFFF"/>
                <w:sz w:val="13"/>
              </w:rPr>
              <w:t>Q2 2026</w:t>
            </w:r>
          </w:p>
        </w:tc>
        <w:tc>
          <w:tcPr>
            <w:tcW w:w="2642" w:type="dxa"/>
            <w:shd w:val="clear" w:color="auto" w:fill="1F3756"/>
          </w:tcPr>
          <w:p w14:paraId="571A3D2E" w14:textId="77777777" w:rsidR="00B03DB7" w:rsidRDefault="00B03DB7" w:rsidP="00406F1D">
            <w:r>
              <w:rPr>
                <w:b/>
                <w:color w:val="FFFFFF"/>
                <w:sz w:val="13"/>
              </w:rPr>
              <w:t>Y/Y</w:t>
            </w:r>
          </w:p>
        </w:tc>
      </w:tr>
      <w:tr w:rsidR="00B03DB7" w14:paraId="0E96E978" w14:textId="77777777" w:rsidTr="00406F1D">
        <w:trPr>
          <w:jc w:val="center"/>
        </w:trPr>
        <w:tc>
          <w:tcPr>
            <w:tcW w:w="2642" w:type="dxa"/>
            <w:vAlign w:val="center"/>
          </w:tcPr>
          <w:p w14:paraId="28273B3D" w14:textId="77777777" w:rsidR="00B03DB7" w:rsidRDefault="00B03DB7" w:rsidP="00406F1D">
            <w:pPr>
              <w:spacing w:after="0"/>
            </w:pPr>
            <w:r>
              <w:rPr>
                <w:sz w:val="13"/>
              </w:rPr>
              <w:t>Information-processing equipment</w:t>
            </w:r>
          </w:p>
        </w:tc>
        <w:tc>
          <w:tcPr>
            <w:tcW w:w="2642" w:type="dxa"/>
            <w:vAlign w:val="center"/>
          </w:tcPr>
          <w:p w14:paraId="04184E48" w14:textId="77777777" w:rsidR="00B03DB7" w:rsidRDefault="00B03DB7" w:rsidP="00406F1D">
            <w:pPr>
              <w:spacing w:after="0"/>
            </w:pPr>
            <w:r>
              <w:rPr>
                <w:sz w:val="13"/>
              </w:rPr>
              <w:t>$606.5B</w:t>
            </w:r>
          </w:p>
        </w:tc>
        <w:tc>
          <w:tcPr>
            <w:tcW w:w="2642" w:type="dxa"/>
            <w:vAlign w:val="center"/>
          </w:tcPr>
          <w:p w14:paraId="337FDFB2" w14:textId="77777777" w:rsidR="00B03DB7" w:rsidRDefault="00B03DB7" w:rsidP="00406F1D">
            <w:pPr>
              <w:spacing w:after="0"/>
            </w:pPr>
            <w:r>
              <w:rPr>
                <w:sz w:val="13"/>
              </w:rPr>
              <w:t>$794.9B</w:t>
            </w:r>
          </w:p>
        </w:tc>
        <w:tc>
          <w:tcPr>
            <w:tcW w:w="2642" w:type="dxa"/>
            <w:vAlign w:val="center"/>
          </w:tcPr>
          <w:p w14:paraId="4BB58AB4" w14:textId="77777777" w:rsidR="00B03DB7" w:rsidRDefault="00B03DB7" w:rsidP="00406F1D">
            <w:pPr>
              <w:spacing w:after="0"/>
            </w:pPr>
            <w:r>
              <w:rPr>
                <w:sz w:val="13"/>
              </w:rPr>
              <w:t>+31.1%</w:t>
            </w:r>
          </w:p>
        </w:tc>
      </w:tr>
      <w:tr w:rsidR="00B03DB7" w14:paraId="7D974876" w14:textId="77777777" w:rsidTr="00406F1D">
        <w:trPr>
          <w:jc w:val="center"/>
        </w:trPr>
        <w:tc>
          <w:tcPr>
            <w:tcW w:w="2642" w:type="dxa"/>
            <w:vAlign w:val="center"/>
          </w:tcPr>
          <w:p w14:paraId="4E875E69" w14:textId="77777777" w:rsidR="00B03DB7" w:rsidRDefault="00B03DB7" w:rsidP="00406F1D">
            <w:pPr>
              <w:spacing w:after="0"/>
            </w:pPr>
            <w:r>
              <w:rPr>
                <w:sz w:val="13"/>
              </w:rPr>
              <w:t>Computers &amp; peripherals</w:t>
            </w:r>
          </w:p>
        </w:tc>
        <w:tc>
          <w:tcPr>
            <w:tcW w:w="2642" w:type="dxa"/>
            <w:vAlign w:val="center"/>
          </w:tcPr>
          <w:p w14:paraId="3A3DB65D" w14:textId="77777777" w:rsidR="00B03DB7" w:rsidRDefault="00B03DB7" w:rsidP="00406F1D">
            <w:pPr>
              <w:spacing w:after="0"/>
            </w:pPr>
            <w:r>
              <w:rPr>
                <w:sz w:val="13"/>
              </w:rPr>
              <w:t>$253.8B</w:t>
            </w:r>
          </w:p>
        </w:tc>
        <w:tc>
          <w:tcPr>
            <w:tcW w:w="2642" w:type="dxa"/>
            <w:vAlign w:val="center"/>
          </w:tcPr>
          <w:p w14:paraId="6C89EDEA" w14:textId="77777777" w:rsidR="00B03DB7" w:rsidRDefault="00B03DB7" w:rsidP="00406F1D">
            <w:pPr>
              <w:spacing w:after="0"/>
            </w:pPr>
            <w:r>
              <w:rPr>
                <w:sz w:val="13"/>
              </w:rPr>
              <w:t>$400.6B</w:t>
            </w:r>
          </w:p>
        </w:tc>
        <w:tc>
          <w:tcPr>
            <w:tcW w:w="2642" w:type="dxa"/>
            <w:vAlign w:val="center"/>
          </w:tcPr>
          <w:p w14:paraId="02792BF0" w14:textId="77777777" w:rsidR="00B03DB7" w:rsidRDefault="00B03DB7" w:rsidP="00406F1D">
            <w:pPr>
              <w:spacing w:after="0"/>
            </w:pPr>
            <w:r>
              <w:rPr>
                <w:sz w:val="13"/>
              </w:rPr>
              <w:t>+57.9%</w:t>
            </w:r>
          </w:p>
        </w:tc>
      </w:tr>
      <w:tr w:rsidR="00B03DB7" w14:paraId="697C4F69" w14:textId="77777777" w:rsidTr="00406F1D">
        <w:trPr>
          <w:jc w:val="center"/>
        </w:trPr>
        <w:tc>
          <w:tcPr>
            <w:tcW w:w="2642" w:type="dxa"/>
            <w:vAlign w:val="center"/>
          </w:tcPr>
          <w:p w14:paraId="2FC3D281" w14:textId="77777777" w:rsidR="00B03DB7" w:rsidRDefault="00B03DB7" w:rsidP="00406F1D">
            <w:pPr>
              <w:spacing w:after="0"/>
            </w:pPr>
            <w:r>
              <w:rPr>
                <w:sz w:val="13"/>
              </w:rPr>
              <w:t>Software</w:t>
            </w:r>
          </w:p>
        </w:tc>
        <w:tc>
          <w:tcPr>
            <w:tcW w:w="2642" w:type="dxa"/>
            <w:vAlign w:val="center"/>
          </w:tcPr>
          <w:p w14:paraId="066F5E2E" w14:textId="77777777" w:rsidR="00B03DB7" w:rsidRDefault="00B03DB7" w:rsidP="00406F1D">
            <w:pPr>
              <w:spacing w:after="0"/>
            </w:pPr>
            <w:r>
              <w:rPr>
                <w:sz w:val="13"/>
              </w:rPr>
              <w:t>$745.9B</w:t>
            </w:r>
          </w:p>
        </w:tc>
        <w:tc>
          <w:tcPr>
            <w:tcW w:w="2642" w:type="dxa"/>
            <w:vAlign w:val="center"/>
          </w:tcPr>
          <w:p w14:paraId="797CD0D7" w14:textId="77777777" w:rsidR="00B03DB7" w:rsidRDefault="00B03DB7" w:rsidP="00406F1D">
            <w:pPr>
              <w:spacing w:after="0"/>
            </w:pPr>
            <w:r>
              <w:rPr>
                <w:sz w:val="13"/>
              </w:rPr>
              <w:t>$816.6B</w:t>
            </w:r>
          </w:p>
        </w:tc>
        <w:tc>
          <w:tcPr>
            <w:tcW w:w="2642" w:type="dxa"/>
            <w:vAlign w:val="center"/>
          </w:tcPr>
          <w:p w14:paraId="4464C8E8" w14:textId="77777777" w:rsidR="00B03DB7" w:rsidRDefault="00B03DB7" w:rsidP="00406F1D">
            <w:pPr>
              <w:spacing w:after="0"/>
            </w:pPr>
            <w:r>
              <w:rPr>
                <w:sz w:val="13"/>
              </w:rPr>
              <w:t>+9.5%</w:t>
            </w:r>
          </w:p>
        </w:tc>
      </w:tr>
      <w:tr w:rsidR="00B03DB7" w14:paraId="62820C1A" w14:textId="77777777" w:rsidTr="00406F1D">
        <w:trPr>
          <w:jc w:val="center"/>
        </w:trPr>
        <w:tc>
          <w:tcPr>
            <w:tcW w:w="2642" w:type="dxa"/>
            <w:vAlign w:val="center"/>
          </w:tcPr>
          <w:p w14:paraId="60FF54E5" w14:textId="77777777" w:rsidR="00B03DB7" w:rsidRDefault="00B03DB7" w:rsidP="00406F1D">
            <w:pPr>
              <w:spacing w:after="0"/>
            </w:pPr>
            <w:r>
              <w:rPr>
                <w:sz w:val="13"/>
              </w:rPr>
              <w:t>Research &amp; development</w:t>
            </w:r>
          </w:p>
        </w:tc>
        <w:tc>
          <w:tcPr>
            <w:tcW w:w="2642" w:type="dxa"/>
            <w:vAlign w:val="center"/>
          </w:tcPr>
          <w:p w14:paraId="3E68C8A8" w14:textId="77777777" w:rsidR="00B03DB7" w:rsidRDefault="00B03DB7" w:rsidP="00406F1D">
            <w:pPr>
              <w:spacing w:after="0"/>
            </w:pPr>
            <w:r>
              <w:rPr>
                <w:sz w:val="13"/>
              </w:rPr>
              <w:t>$829.8B</w:t>
            </w:r>
          </w:p>
        </w:tc>
        <w:tc>
          <w:tcPr>
            <w:tcW w:w="2642" w:type="dxa"/>
            <w:vAlign w:val="center"/>
          </w:tcPr>
          <w:p w14:paraId="54E6AB59" w14:textId="77777777" w:rsidR="00B03DB7" w:rsidRDefault="00B03DB7" w:rsidP="00406F1D">
            <w:pPr>
              <w:spacing w:after="0"/>
            </w:pPr>
            <w:r>
              <w:rPr>
                <w:sz w:val="13"/>
              </w:rPr>
              <w:t>$936.0B</w:t>
            </w:r>
          </w:p>
        </w:tc>
        <w:tc>
          <w:tcPr>
            <w:tcW w:w="2642" w:type="dxa"/>
            <w:vAlign w:val="center"/>
          </w:tcPr>
          <w:p w14:paraId="304858C3" w14:textId="77777777" w:rsidR="00B03DB7" w:rsidRDefault="00B03DB7" w:rsidP="00406F1D">
            <w:pPr>
              <w:spacing w:after="0"/>
            </w:pPr>
            <w:r>
              <w:rPr>
                <w:sz w:val="13"/>
              </w:rPr>
              <w:t>+12.8%</w:t>
            </w:r>
          </w:p>
        </w:tc>
      </w:tr>
      <w:tr w:rsidR="00B03DB7" w14:paraId="5F729750" w14:textId="77777777" w:rsidTr="00406F1D">
        <w:trPr>
          <w:jc w:val="center"/>
        </w:trPr>
        <w:tc>
          <w:tcPr>
            <w:tcW w:w="2642" w:type="dxa"/>
            <w:vAlign w:val="center"/>
          </w:tcPr>
          <w:p w14:paraId="3217246D" w14:textId="77777777" w:rsidR="00B03DB7" w:rsidRDefault="00B03DB7" w:rsidP="00406F1D">
            <w:pPr>
              <w:spacing w:after="0"/>
            </w:pPr>
            <w:r>
              <w:rPr>
                <w:sz w:val="13"/>
              </w:rPr>
              <w:t>Power &amp; communication structures</w:t>
            </w:r>
          </w:p>
        </w:tc>
        <w:tc>
          <w:tcPr>
            <w:tcW w:w="2642" w:type="dxa"/>
            <w:vAlign w:val="center"/>
          </w:tcPr>
          <w:p w14:paraId="3CDD416A" w14:textId="77777777" w:rsidR="00B03DB7" w:rsidRDefault="00B03DB7" w:rsidP="00406F1D">
            <w:pPr>
              <w:spacing w:after="0"/>
            </w:pPr>
            <w:r>
              <w:rPr>
                <w:sz w:val="13"/>
              </w:rPr>
              <w:t>$167.6B</w:t>
            </w:r>
          </w:p>
        </w:tc>
        <w:tc>
          <w:tcPr>
            <w:tcW w:w="2642" w:type="dxa"/>
            <w:vAlign w:val="center"/>
          </w:tcPr>
          <w:p w14:paraId="0F2354DB" w14:textId="77777777" w:rsidR="00B03DB7" w:rsidRDefault="00B03DB7" w:rsidP="00406F1D">
            <w:pPr>
              <w:spacing w:after="0"/>
            </w:pPr>
            <w:r>
              <w:rPr>
                <w:sz w:val="13"/>
              </w:rPr>
              <w:t>$175.4B</w:t>
            </w:r>
          </w:p>
        </w:tc>
        <w:tc>
          <w:tcPr>
            <w:tcW w:w="2642" w:type="dxa"/>
            <w:vAlign w:val="center"/>
          </w:tcPr>
          <w:p w14:paraId="597B04C3" w14:textId="77777777" w:rsidR="00B03DB7" w:rsidRDefault="00B03DB7" w:rsidP="00406F1D">
            <w:pPr>
              <w:spacing w:after="0"/>
            </w:pPr>
            <w:r>
              <w:rPr>
                <w:sz w:val="13"/>
              </w:rPr>
              <w:t>+4.6%</w:t>
            </w:r>
          </w:p>
        </w:tc>
      </w:tr>
    </w:tbl>
    <w:p w14:paraId="4A23B62C" w14:textId="77777777" w:rsidR="00B03DB7" w:rsidRDefault="00B03DB7" w:rsidP="00B03DB7">
      <w:r>
        <w:rPr>
          <w:b/>
        </w:rPr>
        <w:t xml:space="preserve">Source: </w:t>
      </w:r>
      <w:r>
        <w:rPr>
          <w:i/>
          <w:sz w:val="14"/>
        </w:rPr>
        <w:t>BEA private fixed investment by type, Q2 2026. Dollar values are SAAR.</w:t>
      </w:r>
    </w:p>
    <w:p w14:paraId="57109538"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8   |   Page 23</w:t>
      </w:r>
    </w:p>
    <w:p w14:paraId="32395A04" w14:textId="77777777" w:rsidR="00B03DB7" w:rsidRDefault="00B03DB7" w:rsidP="00B03DB7">
      <w:r>
        <w:br w:type="page"/>
      </w:r>
    </w:p>
    <w:p w14:paraId="5D3F08AB" w14:textId="77777777" w:rsidR="00B03DB7" w:rsidRDefault="00B03DB7" w:rsidP="00B03DB7">
      <w:r>
        <w:rPr>
          <w:b/>
          <w:color w:val="555555"/>
          <w:sz w:val="15"/>
        </w:rPr>
        <w:lastRenderedPageBreak/>
        <w:t xml:space="preserve">CHAPTER </w:t>
      </w:r>
      <w:proofErr w:type="gramStart"/>
      <w:r>
        <w:rPr>
          <w:b/>
          <w:color w:val="555555"/>
          <w:sz w:val="15"/>
        </w:rPr>
        <w:t>08  /</w:t>
      </w:r>
      <w:proofErr w:type="gramEnd"/>
      <w:r>
        <w:rPr>
          <w:b/>
          <w:color w:val="555555"/>
          <w:sz w:val="15"/>
        </w:rPr>
        <w:t xml:space="preserve">  BUSINESS INVESTMENT &amp; CORPORATE SECTOR</w:t>
      </w:r>
    </w:p>
    <w:p w14:paraId="563C7152" w14:textId="77777777" w:rsidR="00B03DB7" w:rsidRDefault="00B03DB7" w:rsidP="00B03DB7">
      <w:pPr>
        <w:pStyle w:val="Heading1"/>
      </w:pPr>
      <w:r>
        <w:t>24. AI Investment Boom</w:t>
      </w:r>
    </w:p>
    <w:p w14:paraId="67D43186" w14:textId="77777777" w:rsidR="00B03DB7" w:rsidRDefault="00B03DB7" w:rsidP="00B03DB7">
      <w:r>
        <w:rPr>
          <w:i/>
          <w:color w:val="555555"/>
        </w:rPr>
        <w:t>Data Centers, Chips and Software | AI-Enabling Capital Cycle</w:t>
      </w:r>
    </w:p>
    <w:p w14:paraId="527CE09B" w14:textId="77777777" w:rsidR="00B03DB7" w:rsidRDefault="00B03DB7" w:rsidP="00B03DB7">
      <w:r>
        <w:t>There is no single official national-accounts series called 'AI investment', so the most defensible way to track the boom is through the assets that make it possible: computers, information-processing equipment, software, R&amp;D and power/communications infrastructure. These measures show a clear acceleration in digital capital spending.</w:t>
      </w:r>
    </w:p>
    <w:p w14:paraId="1BC18EF9" w14:textId="77777777" w:rsidR="00B03DB7" w:rsidRDefault="00B03DB7" w:rsidP="00B03DB7">
      <w:pPr>
        <w:jc w:val="center"/>
      </w:pPr>
      <w:r>
        <w:rPr>
          <w:noProof/>
        </w:rPr>
        <w:drawing>
          <wp:inline distT="0" distB="0" distL="0" distR="0" wp14:anchorId="289CB1D7" wp14:editId="1E5F5641">
            <wp:extent cx="5669280" cy="1593175"/>
            <wp:effectExtent l="0" t="0" r="0" b="0"/>
            <wp:docPr id="1616054518" name="Picture 161605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snapshot.png"/>
                    <pic:cNvPicPr/>
                  </pic:nvPicPr>
                  <pic:blipFill>
                    <a:blip r:embed="rId44"/>
                    <a:stretch>
                      <a:fillRect/>
                    </a:stretch>
                  </pic:blipFill>
                  <pic:spPr>
                    <a:xfrm>
                      <a:off x="0" y="0"/>
                      <a:ext cx="5669280" cy="1593175"/>
                    </a:xfrm>
                    <a:prstGeom prst="rect">
                      <a:avLst/>
                    </a:prstGeom>
                  </pic:spPr>
                </pic:pic>
              </a:graphicData>
            </a:graphic>
          </wp:inline>
        </w:drawing>
      </w:r>
    </w:p>
    <w:p w14:paraId="6B96B92D" w14:textId="77777777" w:rsidR="00B03DB7" w:rsidRDefault="00B03DB7" w:rsidP="00B03DB7">
      <w:pPr>
        <w:jc w:val="center"/>
      </w:pPr>
      <w:r>
        <w:rPr>
          <w:noProof/>
        </w:rPr>
        <w:drawing>
          <wp:inline distT="0" distB="0" distL="0" distR="0" wp14:anchorId="4A7CCA96" wp14:editId="3074C791">
            <wp:extent cx="5394960" cy="2572981"/>
            <wp:effectExtent l="0" t="0" r="0" b="0"/>
            <wp:docPr id="2143537810" name="Picture 214353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roxies.png"/>
                    <pic:cNvPicPr/>
                  </pic:nvPicPr>
                  <pic:blipFill>
                    <a:blip r:embed="rId45"/>
                    <a:stretch>
                      <a:fillRect/>
                    </a:stretch>
                  </pic:blipFill>
                  <pic:spPr>
                    <a:xfrm>
                      <a:off x="0" y="0"/>
                      <a:ext cx="5394960" cy="2572981"/>
                    </a:xfrm>
                    <a:prstGeom prst="rect">
                      <a:avLst/>
                    </a:prstGeom>
                  </pic:spPr>
                </pic:pic>
              </a:graphicData>
            </a:graphic>
          </wp:inline>
        </w:drawing>
      </w:r>
    </w:p>
    <w:p w14:paraId="104AE192" w14:textId="77777777" w:rsidR="00B03DB7" w:rsidRDefault="00B03DB7" w:rsidP="00B03DB7">
      <w:r>
        <w:rPr>
          <w:b/>
          <w:color w:val="1F3756"/>
        </w:rPr>
      </w:r>
      <w:r>
        <w:t>The AI cycle is visible most clearly in computing hardware and information-processing equipment, where spending has risen sharply. Software and R&amp;D are also expanding, while power and communications investment is increasing more gradually. The opportunity is therefore spreading from chips and servers into the wider infrastructure needed to operate them.</w:t>
      </w:r>
    </w:p>
    <w:p w14:paraId="23BC5902" w14:textId="77777777" w:rsidR="00B03DB7" w:rsidRDefault="00B03DB7" w:rsidP="00B03DB7">
      <w:r>
        <w:t>The numbers on this page should be read as AI-enabling investment proxies, not as a claim that every dollar in these categories is AI-related. That distinction keeps the report grounded in official data while still capturing the direction of the technology investment cycle.</w:t>
      </w:r>
    </w:p>
    <w:p w14:paraId="0BAF79B2" w14:textId="77777777" w:rsidR="00B03DB7" w:rsidRDefault="00B03DB7" w:rsidP="00B03DB7">
      <w:r>
        <w:rPr>
          <w:b/>
        </w:rPr>
        <w:t xml:space="preserve">Source: </w:t>
      </w:r>
      <w:r>
        <w:rPr>
          <w:i/>
          <w:sz w:val="14"/>
        </w:rPr>
        <w:t xml:space="preserve">BEA NIPA fixed-investment data, Q2 2026. AI interpretation is </w:t>
      </w:r>
      <w:proofErr w:type="spellStart"/>
      <w:r>
        <w:rPr>
          <w:i/>
          <w:sz w:val="14"/>
        </w:rPr>
        <w:t>BrandEssence</w:t>
      </w:r>
      <w:proofErr w:type="spellEnd"/>
      <w:r>
        <w:rPr>
          <w:i/>
          <w:sz w:val="14"/>
        </w:rPr>
        <w:t xml:space="preserve"> analysis of official investment categories.</w:t>
      </w:r>
    </w:p>
    <w:p w14:paraId="65DC5E94"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8   |   Page 24</w:t>
      </w:r>
    </w:p>
    <w:p w14:paraId="52254774" w14:textId="77777777" w:rsidR="00B03DB7" w:rsidRDefault="00B03DB7" w:rsidP="00B03DB7">
      <w:r>
        <w:br w:type="page"/>
      </w:r>
    </w:p>
    <w:p w14:paraId="7B33185C" w14:textId="77777777" w:rsidR="00B03DB7" w:rsidRDefault="00B03DB7" w:rsidP="00B03DB7">
      <w:r>
        <w:rPr>
          <w:b/>
          <w:color w:val="555555"/>
          <w:sz w:val="15"/>
        </w:rPr>
        <w:lastRenderedPageBreak/>
        <w:t xml:space="preserve">CHAPTER </w:t>
      </w:r>
      <w:proofErr w:type="gramStart"/>
      <w:r>
        <w:rPr>
          <w:b/>
          <w:color w:val="555555"/>
          <w:sz w:val="15"/>
        </w:rPr>
        <w:t>08  /</w:t>
      </w:r>
      <w:proofErr w:type="gramEnd"/>
      <w:r>
        <w:rPr>
          <w:b/>
          <w:color w:val="555555"/>
          <w:sz w:val="15"/>
        </w:rPr>
        <w:t xml:space="preserve">  BUSINESS INVESTMENT &amp; CORPORATE SECTOR</w:t>
      </w:r>
    </w:p>
    <w:p w14:paraId="723A7ED9" w14:textId="77777777" w:rsidR="00B03DB7" w:rsidRDefault="00B03DB7" w:rsidP="00B03DB7">
      <w:pPr>
        <w:pStyle w:val="Heading1"/>
      </w:pPr>
      <w:r>
        <w:t>25. Corporate Profits &amp; Cash Flow</w:t>
      </w:r>
    </w:p>
    <w:p w14:paraId="49214DBB" w14:textId="77777777" w:rsidR="00B03DB7" w:rsidRDefault="00B03DB7" w:rsidP="00B03DB7">
      <w:r>
        <w:rPr>
          <w:i/>
          <w:color w:val="555555"/>
        </w:rPr>
        <w:t>Profits and Investment Capacity | Corporate Financial Headroom</w:t>
      </w:r>
    </w:p>
    <w:p w14:paraId="1DAFE55D" w14:textId="77777777" w:rsidR="00B03DB7" w:rsidRDefault="00B03DB7" w:rsidP="00B03DB7">
      <w:r>
        <w:t xml:space="preserve">Corporate profitability strengthened sharply in the second quarter, improving the internal capacity of firms to fund investment. Profits from current production reached an </w:t>
      </w:r>
      <w:proofErr w:type="spellStart"/>
      <w:r>
        <w:t>annualised</w:t>
      </w:r>
      <w:proofErr w:type="spellEnd"/>
      <w:r>
        <w:t xml:space="preserve"> $4.83 trillion, while after-tax profits also moved higher. Stronger profits do not guarantee higher capex, but they reduce the dependence of well-positioned firms on external finance.</w:t>
      </w:r>
    </w:p>
    <w:tbl>
      <w:tblPr>
        <w:tblW w:w="0" w:type="auto"/>
        <w:jc w:val="center"/>
        <w:tblLook w:val="04A0" w:firstRow="1" w:lastRow="0" w:firstColumn="1" w:lastColumn="0" w:noHBand="0" w:noVBand="1"/>
      </w:tblPr>
      <w:tblGrid>
        <w:gridCol w:w="5184"/>
        <w:gridCol w:w="5184"/>
      </w:tblGrid>
      <w:tr w:rsidR="00B03DB7" w14:paraId="693DC99B" w14:textId="77777777" w:rsidTr="00406F1D">
        <w:trPr>
          <w:jc w:val="center"/>
        </w:trPr>
        <w:tc>
          <w:tcPr>
            <w:tcW w:w="5285" w:type="dxa"/>
          </w:tcPr>
          <w:p w14:paraId="7FFEDFDF" w14:textId="77777777" w:rsidR="00B03DB7" w:rsidRDefault="00B03DB7" w:rsidP="00406F1D">
            <w:pPr>
              <w:jc w:val="center"/>
            </w:pPr>
            <w:r>
              <w:rPr>
                <w:noProof/>
              </w:rPr>
              <w:drawing>
                <wp:inline distT="0" distB="0" distL="0" distR="0" wp14:anchorId="0B18CECF" wp14:editId="51C29977">
                  <wp:extent cx="2834640" cy="1349829"/>
                  <wp:effectExtent l="0" t="0" r="0" b="0"/>
                  <wp:docPr id="520347664" name="Picture 52034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s.png"/>
                          <pic:cNvPicPr/>
                        </pic:nvPicPr>
                        <pic:blipFill>
                          <a:blip r:embed="rId46"/>
                          <a:stretch>
                            <a:fillRect/>
                          </a:stretch>
                        </pic:blipFill>
                        <pic:spPr>
                          <a:xfrm>
                            <a:off x="0" y="0"/>
                            <a:ext cx="2834640" cy="1349829"/>
                          </a:xfrm>
                          <a:prstGeom prst="rect">
                            <a:avLst/>
                          </a:prstGeom>
                        </pic:spPr>
                      </pic:pic>
                    </a:graphicData>
                  </a:graphic>
                </wp:inline>
              </w:drawing>
            </w:r>
          </w:p>
        </w:tc>
        <w:tc>
          <w:tcPr>
            <w:tcW w:w="5285" w:type="dxa"/>
          </w:tcPr>
          <w:p w14:paraId="6FDF6BF7" w14:textId="77777777" w:rsidR="00B03DB7" w:rsidRDefault="00B03DB7" w:rsidP="00406F1D">
            <w:pPr>
              <w:jc w:val="center"/>
            </w:pPr>
            <w:r>
              <w:rPr>
                <w:noProof/>
              </w:rPr>
              <w:drawing>
                <wp:inline distT="0" distB="0" distL="0" distR="0" wp14:anchorId="318641E6" wp14:editId="069ADBF7">
                  <wp:extent cx="2834640" cy="1349829"/>
                  <wp:effectExtent l="0" t="0" r="0" b="0"/>
                  <wp:docPr id="923973617" name="Picture 92397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_tax.png"/>
                          <pic:cNvPicPr/>
                        </pic:nvPicPr>
                        <pic:blipFill>
                          <a:blip r:embed="rId47"/>
                          <a:stretch>
                            <a:fillRect/>
                          </a:stretch>
                        </pic:blipFill>
                        <pic:spPr>
                          <a:xfrm>
                            <a:off x="0" y="0"/>
                            <a:ext cx="2834640" cy="1349829"/>
                          </a:xfrm>
                          <a:prstGeom prst="rect">
                            <a:avLst/>
                          </a:prstGeom>
                        </pic:spPr>
                      </pic:pic>
                    </a:graphicData>
                  </a:graphic>
                </wp:inline>
              </w:drawing>
            </w:r>
          </w:p>
        </w:tc>
      </w:tr>
    </w:tbl>
    <w:p w14:paraId="026C284A" w14:textId="77777777" w:rsidR="00B03DB7" w:rsidRDefault="00B03DB7" w:rsidP="00B03DB7">
      <w:pPr>
        <w:jc w:val="center"/>
      </w:pPr>
      <w:r>
        <w:rPr>
          <w:noProof/>
        </w:rPr>
        <w:drawing>
          <wp:inline distT="0" distB="0" distL="0" distR="0" wp14:anchorId="7DF54A2D" wp14:editId="462B8A12">
            <wp:extent cx="5212080" cy="2565947"/>
            <wp:effectExtent l="0" t="0" r="0" b="0"/>
            <wp:docPr id="2146983145" name="Picture 214698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s_investment_dual.png"/>
                    <pic:cNvPicPr/>
                  </pic:nvPicPr>
                  <pic:blipFill>
                    <a:blip r:embed="rId48"/>
                    <a:stretch>
                      <a:fillRect/>
                    </a:stretch>
                  </pic:blipFill>
                  <pic:spPr>
                    <a:xfrm>
                      <a:off x="0" y="0"/>
                      <a:ext cx="5212080" cy="2565947"/>
                    </a:xfrm>
                    <a:prstGeom prst="rect">
                      <a:avLst/>
                    </a:prstGeom>
                  </pic:spPr>
                </pic:pic>
              </a:graphicData>
            </a:graphic>
          </wp:inline>
        </w:drawing>
      </w:r>
    </w:p>
    <w:p w14:paraId="0A523E5B" w14:textId="77777777" w:rsidR="00B03DB7" w:rsidRDefault="00B03DB7" w:rsidP="00B03DB7">
      <w:r>
        <w:rPr>
          <w:b/>
          <w:color w:val="1F3756"/>
        </w:rPr>
      </w:r>
      <w:r>
        <w:t>Profits and nonresidential investment are both higher than a year ago, giving the corporate sector more room to keep investing despite elevated borrowing costs. The important point is the combination: stronger earnings can cushion the impact of restrictive financing, particularly for large firms with substantial internal cash generation.</w:t>
      </w:r>
    </w:p>
    <w:tbl>
      <w:tblPr>
        <w:tblW w:w="0" w:type="auto"/>
        <w:jc w:val="center"/>
        <w:tblLook w:val="04A0" w:firstRow="1" w:lastRow="0" w:firstColumn="1" w:lastColumn="0" w:noHBand="0" w:noVBand="1"/>
      </w:tblPr>
      <w:tblGrid>
        <w:gridCol w:w="2595"/>
        <w:gridCol w:w="2591"/>
        <w:gridCol w:w="2591"/>
        <w:gridCol w:w="2591"/>
      </w:tblGrid>
      <w:tr w:rsidR="00B03DB7" w14:paraId="65D5BD6C" w14:textId="77777777" w:rsidTr="00406F1D">
        <w:trPr>
          <w:jc w:val="center"/>
        </w:trPr>
        <w:tc>
          <w:tcPr>
            <w:tcW w:w="2642" w:type="dxa"/>
            <w:shd w:val="clear" w:color="auto" w:fill="1F3756"/>
          </w:tcPr>
          <w:p w14:paraId="102EE7A1" w14:textId="77777777" w:rsidR="00B03DB7" w:rsidRDefault="00B03DB7" w:rsidP="00406F1D">
            <w:r>
              <w:rPr>
                <w:b/>
                <w:color w:val="FFFFFF"/>
                <w:sz w:val="13"/>
              </w:rPr>
              <w:t>Profit measure</w:t>
            </w:r>
          </w:p>
        </w:tc>
        <w:tc>
          <w:tcPr>
            <w:tcW w:w="2642" w:type="dxa"/>
            <w:shd w:val="clear" w:color="auto" w:fill="1F3756"/>
          </w:tcPr>
          <w:p w14:paraId="7278C94B" w14:textId="77777777" w:rsidR="00B03DB7" w:rsidRDefault="00B03DB7" w:rsidP="00406F1D">
            <w:r>
              <w:rPr>
                <w:b/>
                <w:color w:val="FFFFFF"/>
                <w:sz w:val="13"/>
              </w:rPr>
              <w:t>Q2 2025</w:t>
            </w:r>
          </w:p>
        </w:tc>
        <w:tc>
          <w:tcPr>
            <w:tcW w:w="2642" w:type="dxa"/>
            <w:shd w:val="clear" w:color="auto" w:fill="1F3756"/>
          </w:tcPr>
          <w:p w14:paraId="1ECF2D95" w14:textId="77777777" w:rsidR="00B03DB7" w:rsidRDefault="00B03DB7" w:rsidP="00406F1D">
            <w:r>
              <w:rPr>
                <w:b/>
                <w:color w:val="FFFFFF"/>
                <w:sz w:val="13"/>
              </w:rPr>
              <w:t>Q1 2026</w:t>
            </w:r>
          </w:p>
        </w:tc>
        <w:tc>
          <w:tcPr>
            <w:tcW w:w="2642" w:type="dxa"/>
            <w:shd w:val="clear" w:color="auto" w:fill="1F3756"/>
          </w:tcPr>
          <w:p w14:paraId="0D147B95" w14:textId="77777777" w:rsidR="00B03DB7" w:rsidRDefault="00B03DB7" w:rsidP="00406F1D">
            <w:r>
              <w:rPr>
                <w:b/>
                <w:color w:val="FFFFFF"/>
                <w:sz w:val="13"/>
              </w:rPr>
              <w:t>Q2 2026</w:t>
            </w:r>
          </w:p>
        </w:tc>
      </w:tr>
      <w:tr w:rsidR="00B03DB7" w14:paraId="4B039EFD" w14:textId="77777777" w:rsidTr="00406F1D">
        <w:trPr>
          <w:jc w:val="center"/>
        </w:trPr>
        <w:tc>
          <w:tcPr>
            <w:tcW w:w="2642" w:type="dxa"/>
            <w:vAlign w:val="center"/>
          </w:tcPr>
          <w:p w14:paraId="53D0BE36" w14:textId="77777777" w:rsidR="00B03DB7" w:rsidRDefault="00B03DB7" w:rsidP="00406F1D">
            <w:pPr>
              <w:spacing w:after="0"/>
            </w:pPr>
            <w:r>
              <w:rPr>
                <w:sz w:val="13"/>
              </w:rPr>
              <w:t>Profits from current production</w:t>
            </w:r>
          </w:p>
        </w:tc>
        <w:tc>
          <w:tcPr>
            <w:tcW w:w="2642" w:type="dxa"/>
            <w:vAlign w:val="center"/>
          </w:tcPr>
          <w:p w14:paraId="0A1DFFA1" w14:textId="77777777" w:rsidR="00B03DB7" w:rsidRDefault="00B03DB7" w:rsidP="00406F1D">
            <w:pPr>
              <w:spacing w:after="0"/>
            </w:pPr>
            <w:r>
              <w:rPr>
                <w:sz w:val="13"/>
              </w:rPr>
              <w:t>$3,929.7B</w:t>
            </w:r>
          </w:p>
        </w:tc>
        <w:tc>
          <w:tcPr>
            <w:tcW w:w="2642" w:type="dxa"/>
            <w:vAlign w:val="center"/>
          </w:tcPr>
          <w:p w14:paraId="3BE46714" w14:textId="77777777" w:rsidR="00B03DB7" w:rsidRDefault="00B03DB7" w:rsidP="00406F1D">
            <w:pPr>
              <w:spacing w:after="0"/>
            </w:pPr>
            <w:r>
              <w:rPr>
                <w:sz w:val="13"/>
              </w:rPr>
              <w:t>$4,426.5B</w:t>
            </w:r>
          </w:p>
        </w:tc>
        <w:tc>
          <w:tcPr>
            <w:tcW w:w="2642" w:type="dxa"/>
            <w:vAlign w:val="center"/>
          </w:tcPr>
          <w:p w14:paraId="44534ED2" w14:textId="77777777" w:rsidR="00B03DB7" w:rsidRDefault="00B03DB7" w:rsidP="00406F1D">
            <w:pPr>
              <w:spacing w:after="0"/>
            </w:pPr>
            <w:r>
              <w:rPr>
                <w:sz w:val="13"/>
              </w:rPr>
              <w:t>$4,827.4B</w:t>
            </w:r>
          </w:p>
        </w:tc>
      </w:tr>
      <w:tr w:rsidR="00B03DB7" w14:paraId="25EEB4B7" w14:textId="77777777" w:rsidTr="00406F1D">
        <w:trPr>
          <w:jc w:val="center"/>
        </w:trPr>
        <w:tc>
          <w:tcPr>
            <w:tcW w:w="2642" w:type="dxa"/>
            <w:vAlign w:val="center"/>
          </w:tcPr>
          <w:p w14:paraId="64F71B70" w14:textId="77777777" w:rsidR="00B03DB7" w:rsidRDefault="00B03DB7" w:rsidP="00406F1D">
            <w:pPr>
              <w:spacing w:after="0"/>
            </w:pPr>
            <w:r>
              <w:rPr>
                <w:sz w:val="13"/>
              </w:rPr>
              <w:t>Domestic industry profits</w:t>
            </w:r>
          </w:p>
        </w:tc>
        <w:tc>
          <w:tcPr>
            <w:tcW w:w="2642" w:type="dxa"/>
            <w:vAlign w:val="center"/>
          </w:tcPr>
          <w:p w14:paraId="76E4751F" w14:textId="77777777" w:rsidR="00B03DB7" w:rsidRDefault="00B03DB7" w:rsidP="00406F1D">
            <w:pPr>
              <w:spacing w:after="0"/>
            </w:pPr>
            <w:r>
              <w:rPr>
                <w:sz w:val="13"/>
              </w:rPr>
              <w:t>$3,458.2B</w:t>
            </w:r>
          </w:p>
        </w:tc>
        <w:tc>
          <w:tcPr>
            <w:tcW w:w="2642" w:type="dxa"/>
            <w:vAlign w:val="center"/>
          </w:tcPr>
          <w:p w14:paraId="356E1382" w14:textId="77777777" w:rsidR="00B03DB7" w:rsidRDefault="00B03DB7" w:rsidP="00406F1D">
            <w:pPr>
              <w:spacing w:after="0"/>
            </w:pPr>
            <w:r>
              <w:rPr>
                <w:sz w:val="13"/>
              </w:rPr>
              <w:t>$3,864.4B</w:t>
            </w:r>
          </w:p>
        </w:tc>
        <w:tc>
          <w:tcPr>
            <w:tcW w:w="2642" w:type="dxa"/>
            <w:vAlign w:val="center"/>
          </w:tcPr>
          <w:p w14:paraId="5AEF35C5" w14:textId="77777777" w:rsidR="00B03DB7" w:rsidRDefault="00B03DB7" w:rsidP="00406F1D">
            <w:pPr>
              <w:spacing w:after="0"/>
            </w:pPr>
            <w:r>
              <w:rPr>
                <w:sz w:val="13"/>
              </w:rPr>
              <w:t>$4,245.6B</w:t>
            </w:r>
          </w:p>
        </w:tc>
      </w:tr>
      <w:tr w:rsidR="00B03DB7" w14:paraId="4C03A8EE" w14:textId="77777777" w:rsidTr="00406F1D">
        <w:trPr>
          <w:jc w:val="center"/>
        </w:trPr>
        <w:tc>
          <w:tcPr>
            <w:tcW w:w="2642" w:type="dxa"/>
            <w:vAlign w:val="center"/>
          </w:tcPr>
          <w:p w14:paraId="51978468" w14:textId="77777777" w:rsidR="00B03DB7" w:rsidRDefault="00B03DB7" w:rsidP="00406F1D">
            <w:pPr>
              <w:spacing w:after="0"/>
            </w:pPr>
            <w:r>
              <w:rPr>
                <w:sz w:val="13"/>
              </w:rPr>
              <w:t>Nonfinancial domestic profits</w:t>
            </w:r>
          </w:p>
        </w:tc>
        <w:tc>
          <w:tcPr>
            <w:tcW w:w="2642" w:type="dxa"/>
            <w:vAlign w:val="center"/>
          </w:tcPr>
          <w:p w14:paraId="3CBF5EE6" w14:textId="77777777" w:rsidR="00B03DB7" w:rsidRDefault="00B03DB7" w:rsidP="00406F1D">
            <w:pPr>
              <w:spacing w:after="0"/>
            </w:pPr>
            <w:r>
              <w:rPr>
                <w:sz w:val="13"/>
              </w:rPr>
              <w:t>$2,680.8B</w:t>
            </w:r>
          </w:p>
        </w:tc>
        <w:tc>
          <w:tcPr>
            <w:tcW w:w="2642" w:type="dxa"/>
            <w:vAlign w:val="center"/>
          </w:tcPr>
          <w:p w14:paraId="14A88496" w14:textId="77777777" w:rsidR="00B03DB7" w:rsidRDefault="00B03DB7" w:rsidP="00406F1D">
            <w:pPr>
              <w:spacing w:after="0"/>
            </w:pPr>
            <w:r>
              <w:rPr>
                <w:sz w:val="13"/>
              </w:rPr>
              <w:t>$2,971.1B</w:t>
            </w:r>
          </w:p>
        </w:tc>
        <w:tc>
          <w:tcPr>
            <w:tcW w:w="2642" w:type="dxa"/>
            <w:vAlign w:val="center"/>
          </w:tcPr>
          <w:p w14:paraId="1FF3189B" w14:textId="77777777" w:rsidR="00B03DB7" w:rsidRDefault="00B03DB7" w:rsidP="00406F1D">
            <w:pPr>
              <w:spacing w:after="0"/>
            </w:pPr>
            <w:r>
              <w:rPr>
                <w:sz w:val="13"/>
              </w:rPr>
              <w:t>$3,280.7B</w:t>
            </w:r>
          </w:p>
        </w:tc>
      </w:tr>
      <w:tr w:rsidR="00B03DB7" w14:paraId="02E6C5E7" w14:textId="77777777" w:rsidTr="00406F1D">
        <w:trPr>
          <w:jc w:val="center"/>
        </w:trPr>
        <w:tc>
          <w:tcPr>
            <w:tcW w:w="2642" w:type="dxa"/>
            <w:vAlign w:val="center"/>
          </w:tcPr>
          <w:p w14:paraId="43749C43" w14:textId="77777777" w:rsidR="00B03DB7" w:rsidRDefault="00B03DB7" w:rsidP="00406F1D">
            <w:pPr>
              <w:spacing w:after="0"/>
            </w:pPr>
            <w:r>
              <w:rPr>
                <w:sz w:val="13"/>
              </w:rPr>
              <w:t>Profits after tax</w:t>
            </w:r>
          </w:p>
        </w:tc>
        <w:tc>
          <w:tcPr>
            <w:tcW w:w="2642" w:type="dxa"/>
            <w:vAlign w:val="center"/>
          </w:tcPr>
          <w:p w14:paraId="6B9B7C19" w14:textId="77777777" w:rsidR="00B03DB7" w:rsidRDefault="00B03DB7" w:rsidP="00406F1D">
            <w:pPr>
              <w:spacing w:after="0"/>
            </w:pPr>
            <w:r>
              <w:rPr>
                <w:sz w:val="13"/>
              </w:rPr>
              <w:t>$3,259.4B</w:t>
            </w:r>
          </w:p>
        </w:tc>
        <w:tc>
          <w:tcPr>
            <w:tcW w:w="2642" w:type="dxa"/>
            <w:vAlign w:val="center"/>
          </w:tcPr>
          <w:p w14:paraId="46F4A90B" w14:textId="77777777" w:rsidR="00B03DB7" w:rsidRDefault="00B03DB7" w:rsidP="00406F1D">
            <w:pPr>
              <w:spacing w:after="0"/>
            </w:pPr>
            <w:r>
              <w:rPr>
                <w:sz w:val="13"/>
              </w:rPr>
              <w:t>$3,623.7B</w:t>
            </w:r>
          </w:p>
        </w:tc>
        <w:tc>
          <w:tcPr>
            <w:tcW w:w="2642" w:type="dxa"/>
            <w:vAlign w:val="center"/>
          </w:tcPr>
          <w:p w14:paraId="3305DC72" w14:textId="77777777" w:rsidR="00B03DB7" w:rsidRDefault="00B03DB7" w:rsidP="00406F1D">
            <w:pPr>
              <w:spacing w:after="0"/>
            </w:pPr>
            <w:r>
              <w:rPr>
                <w:sz w:val="13"/>
              </w:rPr>
              <w:t>$3,921.4B</w:t>
            </w:r>
          </w:p>
        </w:tc>
      </w:tr>
    </w:tbl>
    <w:p w14:paraId="6A42E324" w14:textId="77777777" w:rsidR="00B03DB7" w:rsidRDefault="00B03DB7" w:rsidP="00B03DB7">
      <w:r>
        <w:rPr>
          <w:b/>
        </w:rPr>
        <w:t xml:space="preserve">Source: </w:t>
      </w:r>
      <w:r>
        <w:rPr>
          <w:i/>
          <w:sz w:val="14"/>
        </w:rPr>
        <w:t>BEA corporate profits, Q2 2026 second estimate; BEA/FRED quarterly profit series. Values are SAAR.</w:t>
      </w:r>
    </w:p>
    <w:p w14:paraId="2310CD13"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8   |   Page 25</w:t>
      </w:r>
    </w:p>
    <w:p w14:paraId="56981915" w14:textId="77777777" w:rsidR="00B03DB7" w:rsidRDefault="00B03DB7" w:rsidP="00B03DB7">
      <w:r>
        <w:br w:type="page"/>
      </w:r>
    </w:p>
    <w:p w14:paraId="240729E6" w14:textId="77777777" w:rsidR="00B03DB7" w:rsidRDefault="00B03DB7" w:rsidP="00B03DB7">
      <w:r>
        <w:rPr>
          <w:b/>
          <w:color w:val="555555"/>
          <w:sz w:val="15"/>
        </w:rPr>
        <w:lastRenderedPageBreak/>
        <w:t xml:space="preserve">CHAPTER </w:t>
      </w:r>
      <w:proofErr w:type="gramStart"/>
      <w:r>
        <w:rPr>
          <w:b/>
          <w:color w:val="555555"/>
          <w:sz w:val="15"/>
        </w:rPr>
        <w:t>08  /</w:t>
      </w:r>
      <w:proofErr w:type="gramEnd"/>
      <w:r>
        <w:rPr>
          <w:b/>
          <w:color w:val="555555"/>
          <w:sz w:val="15"/>
        </w:rPr>
        <w:t xml:space="preserve">  BUSINESS INVESTMENT &amp; CORPORATE SECTOR</w:t>
      </w:r>
    </w:p>
    <w:p w14:paraId="41DF2C47" w14:textId="77777777" w:rsidR="00B03DB7" w:rsidRDefault="00B03DB7" w:rsidP="00B03DB7">
      <w:pPr>
        <w:pStyle w:val="Heading1"/>
      </w:pPr>
      <w:r>
        <w:t>26. Investment Financing Conditions</w:t>
      </w:r>
    </w:p>
    <w:p w14:paraId="29B283D3" w14:textId="77777777" w:rsidR="00B03DB7" w:rsidRDefault="00B03DB7" w:rsidP="00B03DB7">
      <w:r>
        <w:rPr>
          <w:i/>
          <w:color w:val="555555"/>
        </w:rPr>
        <w:t>Rates, Spreads and Lending | How Financing Reaches Capex</w:t>
      </w:r>
    </w:p>
    <w:p w14:paraId="4077FBEF" w14:textId="77777777" w:rsidR="00B03DB7" w:rsidRDefault="00B03DB7" w:rsidP="00B03DB7">
      <w:r>
        <w:t>Financing conditions are still restrictive compared with the easy-money environment of the late 2010s, but they are not uniformly tightening. The Federal Reserve's July 2026 lending survey found C&amp;I standards broadly unchanged, stronger demand from large and middle-market firms, and narrower loan-rate spreads at many banks. Corporate bond spreads also remained low by historical standards earlier in 2026.</w:t>
      </w:r>
    </w:p>
    <w:p w14:paraId="5608E833" w14:textId="77777777" w:rsidR="00B03DB7" w:rsidRDefault="00B03DB7" w:rsidP="00B03DB7">
      <w:pPr>
        <w:jc w:val="center"/>
      </w:pPr>
      <w:r>
        <w:rPr>
          <w:noProof/>
        </w:rPr>
        <w:drawing>
          <wp:inline distT="0" distB="0" distL="0" distR="0" wp14:anchorId="0F5CB9C5" wp14:editId="734F7D40">
            <wp:extent cx="5669280" cy="1591867"/>
            <wp:effectExtent l="0" t="0" r="0" b="0"/>
            <wp:docPr id="1759749139" name="Picture 175974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snapshot.png"/>
                    <pic:cNvPicPr/>
                  </pic:nvPicPr>
                  <pic:blipFill>
                    <a:blip r:embed="rId49"/>
                    <a:stretch>
                      <a:fillRect/>
                    </a:stretch>
                  </pic:blipFill>
                  <pic:spPr>
                    <a:xfrm>
                      <a:off x="0" y="0"/>
                      <a:ext cx="5669280" cy="1591867"/>
                    </a:xfrm>
                    <a:prstGeom prst="rect">
                      <a:avLst/>
                    </a:prstGeom>
                  </pic:spPr>
                </pic:pic>
              </a:graphicData>
            </a:graphic>
          </wp:inline>
        </w:drawing>
      </w:r>
    </w:p>
    <w:p w14:paraId="2EC0C758" w14:textId="77777777" w:rsidR="00B03DB7" w:rsidRDefault="00B03DB7" w:rsidP="00B03DB7">
      <w:pPr>
        <w:jc w:val="center"/>
      </w:pPr>
      <w:r>
        <w:rPr>
          <w:noProof/>
        </w:rPr>
        <w:drawing>
          <wp:inline distT="0" distB="0" distL="0" distR="0" wp14:anchorId="4B84F36A" wp14:editId="467B0A64">
            <wp:extent cx="5303520" cy="2525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ng_transmission.png"/>
                    <pic:cNvPicPr/>
                  </pic:nvPicPr>
                  <pic:blipFill>
                    <a:blip r:embed="rId50"/>
                    <a:stretch>
                      <a:fillRect/>
                    </a:stretch>
                  </pic:blipFill>
                  <pic:spPr>
                    <a:xfrm>
                      <a:off x="0" y="0"/>
                      <a:ext cx="5303520" cy="2525486"/>
                    </a:xfrm>
                    <a:prstGeom prst="rect">
                      <a:avLst/>
                    </a:prstGeom>
                  </pic:spPr>
                </pic:pic>
              </a:graphicData>
            </a:graphic>
          </wp:inline>
        </w:drawing>
      </w:r>
    </w:p>
    <w:p w14:paraId="34AC3424" w14:textId="77777777" w:rsidR="00B03DB7" w:rsidRDefault="00B03DB7" w:rsidP="00B03DB7">
      <w:r>
        <w:rPr>
          <w:b/>
          <w:color w:val="1F3756"/>
        </w:rPr>
      </w:r>
      <w:r>
        <w:t>The financing channel is restrictive mainly because the overall cost of capital remains high, not because credit has disappeared. Large firms still have access to bank and market funding, and lending terms have stopped tightening across much of the C&amp;I market. This creates a two-speed investment environment: profitable, investment-grade firms can continue to fund capex, while smaller or more leveraged borrowers remain more sensitive to rates.</w:t>
      </w:r>
    </w:p>
    <w:tbl>
      <w:tblPr>
        <w:tblW w:w="0" w:type="auto"/>
        <w:jc w:val="center"/>
        <w:tblLook w:val="04A0" w:firstRow="1" w:lastRow="0" w:firstColumn="1" w:lastColumn="0" w:noHBand="0" w:noVBand="1"/>
      </w:tblPr>
      <w:tblGrid>
        <w:gridCol w:w="3450"/>
        <w:gridCol w:w="3462"/>
        <w:gridCol w:w="3456"/>
      </w:tblGrid>
      <w:tr w:rsidR="00B03DB7" w14:paraId="169607D1" w14:textId="77777777" w:rsidTr="00406F1D">
        <w:trPr>
          <w:jc w:val="center"/>
        </w:trPr>
        <w:tc>
          <w:tcPr>
            <w:tcW w:w="3523" w:type="dxa"/>
            <w:shd w:val="clear" w:color="auto" w:fill="1F3756"/>
          </w:tcPr>
          <w:p w14:paraId="4D591342" w14:textId="77777777" w:rsidR="00B03DB7" w:rsidRDefault="00B03DB7" w:rsidP="00406F1D">
            <w:r>
              <w:rPr>
                <w:b/>
                <w:color w:val="FFFFFF"/>
                <w:sz w:val="13"/>
              </w:rPr>
              <w:t>Financing channel</w:t>
            </w:r>
          </w:p>
        </w:tc>
        <w:tc>
          <w:tcPr>
            <w:tcW w:w="3523" w:type="dxa"/>
            <w:shd w:val="clear" w:color="auto" w:fill="1F3756"/>
          </w:tcPr>
          <w:p w14:paraId="6D449E12" w14:textId="77777777" w:rsidR="00B03DB7" w:rsidRDefault="00B03DB7" w:rsidP="00406F1D">
            <w:r>
              <w:rPr>
                <w:b/>
                <w:color w:val="FFFFFF"/>
                <w:sz w:val="13"/>
              </w:rPr>
              <w:t>Latest evidence</w:t>
            </w:r>
          </w:p>
        </w:tc>
        <w:tc>
          <w:tcPr>
            <w:tcW w:w="3523" w:type="dxa"/>
            <w:shd w:val="clear" w:color="auto" w:fill="1F3756"/>
          </w:tcPr>
          <w:p w14:paraId="7C71033C" w14:textId="77777777" w:rsidR="00B03DB7" w:rsidRDefault="00B03DB7" w:rsidP="00406F1D">
            <w:r>
              <w:rPr>
                <w:b/>
                <w:color w:val="FFFFFF"/>
                <w:sz w:val="13"/>
              </w:rPr>
              <w:t>Investment implication</w:t>
            </w:r>
          </w:p>
        </w:tc>
      </w:tr>
      <w:tr w:rsidR="00B03DB7" w14:paraId="0806B2F6" w14:textId="77777777" w:rsidTr="00406F1D">
        <w:trPr>
          <w:jc w:val="center"/>
        </w:trPr>
        <w:tc>
          <w:tcPr>
            <w:tcW w:w="3523" w:type="dxa"/>
            <w:vAlign w:val="center"/>
          </w:tcPr>
          <w:p w14:paraId="14B68983" w14:textId="77777777" w:rsidR="00B03DB7" w:rsidRDefault="00B03DB7" w:rsidP="00406F1D">
            <w:pPr>
              <w:spacing w:after="0"/>
            </w:pPr>
            <w:r>
              <w:rPr>
                <w:sz w:val="13"/>
              </w:rPr>
              <w:t>C&amp;I lending standards</w:t>
            </w:r>
          </w:p>
        </w:tc>
        <w:tc>
          <w:tcPr>
            <w:tcW w:w="3523" w:type="dxa"/>
            <w:vAlign w:val="center"/>
          </w:tcPr>
          <w:p w14:paraId="39C61CFD" w14:textId="77777777" w:rsidR="00B03DB7" w:rsidRDefault="00B03DB7" w:rsidP="00406F1D">
            <w:pPr>
              <w:spacing w:after="0"/>
            </w:pPr>
            <w:proofErr w:type="gramStart"/>
            <w:r>
              <w:rPr>
                <w:sz w:val="13"/>
              </w:rPr>
              <w:t>Basically</w:t>
            </w:r>
            <w:proofErr w:type="gramEnd"/>
            <w:r>
              <w:rPr>
                <w:sz w:val="13"/>
              </w:rPr>
              <w:t xml:space="preserve"> unchanged in Q2 2026</w:t>
            </w:r>
          </w:p>
        </w:tc>
        <w:tc>
          <w:tcPr>
            <w:tcW w:w="3523" w:type="dxa"/>
            <w:vAlign w:val="center"/>
          </w:tcPr>
          <w:p w14:paraId="0052EACF" w14:textId="77777777" w:rsidR="00B03DB7" w:rsidRDefault="00B03DB7" w:rsidP="00406F1D">
            <w:pPr>
              <w:spacing w:after="0"/>
            </w:pPr>
            <w:r>
              <w:rPr>
                <w:sz w:val="13"/>
              </w:rPr>
              <w:t>No broad new tightening for business loans</w:t>
            </w:r>
          </w:p>
        </w:tc>
      </w:tr>
      <w:tr w:rsidR="00B03DB7" w14:paraId="435E47B6" w14:textId="77777777" w:rsidTr="00406F1D">
        <w:trPr>
          <w:jc w:val="center"/>
        </w:trPr>
        <w:tc>
          <w:tcPr>
            <w:tcW w:w="3523" w:type="dxa"/>
            <w:vAlign w:val="center"/>
          </w:tcPr>
          <w:p w14:paraId="040C3DD8" w14:textId="77777777" w:rsidR="00B03DB7" w:rsidRDefault="00B03DB7" w:rsidP="00406F1D">
            <w:pPr>
              <w:spacing w:after="0"/>
            </w:pPr>
            <w:r>
              <w:rPr>
                <w:sz w:val="13"/>
              </w:rPr>
              <w:t>Large/mid-market C&amp;I demand</w:t>
            </w:r>
          </w:p>
        </w:tc>
        <w:tc>
          <w:tcPr>
            <w:tcW w:w="3523" w:type="dxa"/>
            <w:vAlign w:val="center"/>
          </w:tcPr>
          <w:p w14:paraId="64AD4B58" w14:textId="77777777" w:rsidR="00B03DB7" w:rsidRDefault="00B03DB7" w:rsidP="00406F1D">
            <w:pPr>
              <w:spacing w:after="0"/>
            </w:pPr>
            <w:r>
              <w:rPr>
                <w:sz w:val="13"/>
              </w:rPr>
              <w:t>Stronger on net</w:t>
            </w:r>
          </w:p>
        </w:tc>
        <w:tc>
          <w:tcPr>
            <w:tcW w:w="3523" w:type="dxa"/>
            <w:vAlign w:val="center"/>
          </w:tcPr>
          <w:p w14:paraId="67304F47" w14:textId="77777777" w:rsidR="00B03DB7" w:rsidRDefault="00B03DB7" w:rsidP="00406F1D">
            <w:pPr>
              <w:spacing w:after="0"/>
            </w:pPr>
            <w:r>
              <w:rPr>
                <w:sz w:val="13"/>
              </w:rPr>
              <w:t>Firms are still seeking credit</w:t>
            </w:r>
          </w:p>
        </w:tc>
      </w:tr>
      <w:tr w:rsidR="00B03DB7" w14:paraId="148E4E9C" w14:textId="77777777" w:rsidTr="00406F1D">
        <w:trPr>
          <w:jc w:val="center"/>
        </w:trPr>
        <w:tc>
          <w:tcPr>
            <w:tcW w:w="3523" w:type="dxa"/>
            <w:vAlign w:val="center"/>
          </w:tcPr>
          <w:p w14:paraId="12F1E0B2" w14:textId="77777777" w:rsidR="00B03DB7" w:rsidRDefault="00B03DB7" w:rsidP="00406F1D">
            <w:pPr>
              <w:spacing w:after="0"/>
            </w:pPr>
            <w:r>
              <w:rPr>
                <w:sz w:val="13"/>
              </w:rPr>
              <w:t>Loan-rate spreads</w:t>
            </w:r>
          </w:p>
        </w:tc>
        <w:tc>
          <w:tcPr>
            <w:tcW w:w="3523" w:type="dxa"/>
            <w:vAlign w:val="center"/>
          </w:tcPr>
          <w:p w14:paraId="6445BC64" w14:textId="77777777" w:rsidR="00B03DB7" w:rsidRDefault="00B03DB7" w:rsidP="00406F1D">
            <w:pPr>
              <w:spacing w:after="0"/>
            </w:pPr>
            <w:r>
              <w:rPr>
                <w:sz w:val="13"/>
              </w:rPr>
              <w:t>Narrower at many banks</w:t>
            </w:r>
          </w:p>
        </w:tc>
        <w:tc>
          <w:tcPr>
            <w:tcW w:w="3523" w:type="dxa"/>
            <w:vAlign w:val="center"/>
          </w:tcPr>
          <w:p w14:paraId="62593D37" w14:textId="77777777" w:rsidR="00B03DB7" w:rsidRDefault="00B03DB7" w:rsidP="00406F1D">
            <w:pPr>
              <w:spacing w:after="0"/>
            </w:pPr>
            <w:r>
              <w:rPr>
                <w:sz w:val="13"/>
              </w:rPr>
              <w:t>Some easing in loan pricing</w:t>
            </w:r>
          </w:p>
        </w:tc>
      </w:tr>
      <w:tr w:rsidR="00B03DB7" w14:paraId="1B66840A" w14:textId="77777777" w:rsidTr="00406F1D">
        <w:trPr>
          <w:jc w:val="center"/>
        </w:trPr>
        <w:tc>
          <w:tcPr>
            <w:tcW w:w="3523" w:type="dxa"/>
            <w:vAlign w:val="center"/>
          </w:tcPr>
          <w:p w14:paraId="326A722B" w14:textId="77777777" w:rsidR="00B03DB7" w:rsidRDefault="00B03DB7" w:rsidP="00406F1D">
            <w:pPr>
              <w:spacing w:after="0"/>
            </w:pPr>
            <w:r>
              <w:rPr>
                <w:sz w:val="13"/>
              </w:rPr>
              <w:t>Corporate bond spreads</w:t>
            </w:r>
          </w:p>
        </w:tc>
        <w:tc>
          <w:tcPr>
            <w:tcW w:w="3523" w:type="dxa"/>
            <w:vAlign w:val="center"/>
          </w:tcPr>
          <w:p w14:paraId="38AA97A4" w14:textId="77777777" w:rsidR="00B03DB7" w:rsidRDefault="00B03DB7" w:rsidP="00406F1D">
            <w:pPr>
              <w:spacing w:after="0"/>
            </w:pPr>
            <w:r>
              <w:rPr>
                <w:sz w:val="13"/>
              </w:rPr>
              <w:t>Low end of historical range in spring 2026</w:t>
            </w:r>
          </w:p>
        </w:tc>
        <w:tc>
          <w:tcPr>
            <w:tcW w:w="3523" w:type="dxa"/>
            <w:vAlign w:val="center"/>
          </w:tcPr>
          <w:p w14:paraId="03883504" w14:textId="77777777" w:rsidR="00B03DB7" w:rsidRDefault="00B03DB7" w:rsidP="00406F1D">
            <w:pPr>
              <w:spacing w:after="0"/>
            </w:pPr>
            <w:r>
              <w:rPr>
                <w:sz w:val="13"/>
              </w:rPr>
              <w:t>Market access remains comparatively supportive</w:t>
            </w:r>
          </w:p>
        </w:tc>
      </w:tr>
      <w:tr w:rsidR="00B03DB7" w14:paraId="5BF9E34B" w14:textId="77777777" w:rsidTr="00406F1D">
        <w:trPr>
          <w:jc w:val="center"/>
        </w:trPr>
        <w:tc>
          <w:tcPr>
            <w:tcW w:w="3523" w:type="dxa"/>
            <w:vAlign w:val="center"/>
          </w:tcPr>
          <w:p w14:paraId="46E44634" w14:textId="77777777" w:rsidR="00B03DB7" w:rsidRDefault="00B03DB7" w:rsidP="00406F1D">
            <w:pPr>
              <w:spacing w:after="0"/>
            </w:pPr>
            <w:r>
              <w:rPr>
                <w:sz w:val="13"/>
              </w:rPr>
              <w:t>CRE standards</w:t>
            </w:r>
          </w:p>
        </w:tc>
        <w:tc>
          <w:tcPr>
            <w:tcW w:w="3523" w:type="dxa"/>
            <w:vAlign w:val="center"/>
          </w:tcPr>
          <w:p w14:paraId="3E66192D" w14:textId="77777777" w:rsidR="00B03DB7" w:rsidRDefault="00B03DB7" w:rsidP="00406F1D">
            <w:pPr>
              <w:spacing w:after="0"/>
            </w:pPr>
            <w:r>
              <w:rPr>
                <w:sz w:val="13"/>
              </w:rPr>
              <w:t>Easier/unchanged in parts of the market</w:t>
            </w:r>
          </w:p>
        </w:tc>
        <w:tc>
          <w:tcPr>
            <w:tcW w:w="3523" w:type="dxa"/>
            <w:vAlign w:val="center"/>
          </w:tcPr>
          <w:p w14:paraId="6DE0967B" w14:textId="77777777" w:rsidR="00B03DB7" w:rsidRDefault="00B03DB7" w:rsidP="00406F1D">
            <w:pPr>
              <w:spacing w:after="0"/>
            </w:pPr>
            <w:r>
              <w:rPr>
                <w:sz w:val="13"/>
              </w:rPr>
              <w:t>Conditions differ by property type</w:t>
            </w:r>
          </w:p>
        </w:tc>
      </w:tr>
    </w:tbl>
    <w:p w14:paraId="1C91A2C5" w14:textId="77777777" w:rsidR="00B03DB7" w:rsidRDefault="00B03DB7" w:rsidP="00B03DB7">
      <w:r>
        <w:rPr>
          <w:b/>
        </w:rPr>
        <w:t xml:space="preserve">Source: </w:t>
      </w:r>
      <w:r>
        <w:rPr>
          <w:i/>
          <w:sz w:val="14"/>
        </w:rPr>
        <w:t>Federal Reserve, July 2026 Senior Loan Officer Opinion Survey; Federal Reserve Financial Stability Report, May 2026.</w:t>
      </w:r>
    </w:p>
    <w:p w14:paraId="1A1E0FF9"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8   |   Page 26</w:t>
      </w:r>
    </w:p>
    <w:p w14:paraId="79E5D936" w14:textId="77777777" w:rsidR="00A97E6F" w:rsidRDefault="00A97E6F" w:rsidP="00A97E6F">
      <w:r>
        <w:br w:type="page"/>
      </w:r>
    </w:p>
    <w:p w14:paraId="01CAD2E6" w14:textId="77777777" w:rsidR="00A97E6F" w:rsidRDefault="00A97E6F" w:rsidP="00A97E6F">
      <w:r>
        <w:rPr>
          <w:b/>
          <w:color w:val="555555"/>
          <w:sz w:val="16"/>
        </w:rPr>
        <w:lastRenderedPageBreak/>
        <w:t xml:space="preserve">CHAPTER </w:t>
      </w:r>
      <w:proofErr w:type="gramStart"/>
      <w:r>
        <w:rPr>
          <w:b/>
          <w:color w:val="555555"/>
          <w:sz w:val="16"/>
        </w:rPr>
        <w:t>07  /</w:t>
      </w:r>
      <w:proofErr w:type="gramEnd"/>
      <w:r>
        <w:rPr>
          <w:b/>
          <w:color w:val="555555"/>
          <w:sz w:val="16"/>
        </w:rPr>
        <w:t xml:space="preserve">  CONSUMER ECONOMY</w:t>
      </w:r>
    </w:p>
    <w:p w14:paraId="5D0972C8" w14:textId="77777777" w:rsidR="00A97E6F" w:rsidRDefault="00A97E6F" w:rsidP="00A97E6F">
      <w:pPr>
        <w:pStyle w:val="Heading1"/>
      </w:pPr>
      <w:r>
        <w:t>19. Household Income &amp; Wages</w:t>
      </w:r>
    </w:p>
    <w:p w14:paraId="4E854976" w14:textId="77777777" w:rsidR="00A97E6F" w:rsidRDefault="00A97E6F" w:rsidP="00A97E6F">
      <w:r>
        <w:rPr>
          <w:i/>
          <w:color w:val="555555"/>
        </w:rPr>
        <w:t>Income Growth | Earnings and Purchasing Capacity</w:t>
      </w:r>
    </w:p>
    <w:p w14:paraId="6A600670" w14:textId="77777777" w:rsidR="00A97E6F" w:rsidRDefault="00A97E6F" w:rsidP="00A97E6F">
      <w:r>
        <w:t xml:space="preserve">Household income remains one of the strongest supports behind consumption. Personal income accelerated in </w:t>
      </w:r>
      <w:proofErr w:type="gramStart"/>
      <w:r>
        <w:t>July</w:t>
      </w:r>
      <w:proofErr w:type="gramEnd"/>
      <w:r>
        <w:t xml:space="preserve"> and disposable income rose faster than total income. Wage growth has also remained positive, although it is no longer running at the unusually rapid pace seen earlier in the post-pandemic period.</w:t>
      </w:r>
    </w:p>
    <w:tbl>
      <w:tblPr>
        <w:tblW w:w="0" w:type="auto"/>
        <w:jc w:val="center"/>
        <w:tblLook w:val="04A0" w:firstRow="1" w:lastRow="0" w:firstColumn="1" w:lastColumn="0" w:noHBand="0" w:noVBand="1"/>
      </w:tblPr>
      <w:tblGrid>
        <w:gridCol w:w="5184"/>
        <w:gridCol w:w="5184"/>
      </w:tblGrid>
      <w:tr w:rsidR="00A97E6F" w14:paraId="7D078477" w14:textId="77777777" w:rsidTr="00406F1D">
        <w:trPr>
          <w:jc w:val="center"/>
        </w:trPr>
        <w:tc>
          <w:tcPr>
            <w:tcW w:w="5285" w:type="dxa"/>
          </w:tcPr>
          <w:p w14:paraId="00E3D6F9" w14:textId="77777777" w:rsidR="00A97E6F" w:rsidRDefault="00A97E6F" w:rsidP="00406F1D">
            <w:pPr>
              <w:jc w:val="center"/>
            </w:pPr>
            <w:r>
              <w:rPr>
                <w:noProof/>
              </w:rPr>
              <w:drawing>
                <wp:inline distT="0" distB="0" distL="0" distR="0" wp14:anchorId="2D209F7A" wp14:editId="5792C790">
                  <wp:extent cx="2926080" cy="1371600"/>
                  <wp:effectExtent l="0" t="0" r="0" b="0"/>
                  <wp:docPr id="1715202257" name="Picture 171520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growth.png"/>
                          <pic:cNvPicPr/>
                        </pic:nvPicPr>
                        <pic:blipFill>
                          <a:blip r:embed="rId51"/>
                          <a:stretch>
                            <a:fillRect/>
                          </a:stretch>
                        </pic:blipFill>
                        <pic:spPr>
                          <a:xfrm>
                            <a:off x="0" y="0"/>
                            <a:ext cx="2926080" cy="1371600"/>
                          </a:xfrm>
                          <a:prstGeom prst="rect">
                            <a:avLst/>
                          </a:prstGeom>
                        </pic:spPr>
                      </pic:pic>
                    </a:graphicData>
                  </a:graphic>
                </wp:inline>
              </w:drawing>
            </w:r>
          </w:p>
        </w:tc>
        <w:tc>
          <w:tcPr>
            <w:tcW w:w="5285" w:type="dxa"/>
          </w:tcPr>
          <w:p w14:paraId="3FBAD198" w14:textId="77777777" w:rsidR="00A97E6F" w:rsidRDefault="00A97E6F" w:rsidP="00406F1D">
            <w:pPr>
              <w:jc w:val="center"/>
            </w:pPr>
            <w:r>
              <w:rPr>
                <w:noProof/>
              </w:rPr>
              <w:drawing>
                <wp:inline distT="0" distB="0" distL="0" distR="0" wp14:anchorId="34FEBAA7" wp14:editId="2B4B5C41">
                  <wp:extent cx="2926080" cy="1371600"/>
                  <wp:effectExtent l="0" t="0" r="0" b="0"/>
                  <wp:docPr id="903126479" name="Picture 90312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earnings.png"/>
                          <pic:cNvPicPr/>
                        </pic:nvPicPr>
                        <pic:blipFill>
                          <a:blip r:embed="rId52"/>
                          <a:stretch>
                            <a:fillRect/>
                          </a:stretch>
                        </pic:blipFill>
                        <pic:spPr>
                          <a:xfrm>
                            <a:off x="0" y="0"/>
                            <a:ext cx="2926080" cy="1371600"/>
                          </a:xfrm>
                          <a:prstGeom prst="rect">
                            <a:avLst/>
                          </a:prstGeom>
                        </pic:spPr>
                      </pic:pic>
                    </a:graphicData>
                  </a:graphic>
                </wp:inline>
              </w:drawing>
            </w:r>
          </w:p>
        </w:tc>
      </w:tr>
    </w:tbl>
    <w:p w14:paraId="2471C324" w14:textId="77777777" w:rsidR="00A97E6F" w:rsidRDefault="00A97E6F" w:rsidP="00A97E6F">
      <w:r>
        <w:rPr>
          <w:b/>
          <w:color w:val="1F3756"/>
        </w:rPr>
      </w:r>
      <w:r>
        <w:t>Income growth improved in July while hourly earnings remained firm. This gives households an ongoing base for spending, but wage gains are now closer to a normal expansion pace. That is healthier for inflation, although it also means consumption is less likely to receive the same wage-driven boost seen earlier in the recovery.</w:t>
      </w:r>
    </w:p>
    <w:tbl>
      <w:tblPr>
        <w:tblW w:w="0" w:type="auto"/>
        <w:jc w:val="center"/>
        <w:tblLook w:val="04A0" w:firstRow="1" w:lastRow="0" w:firstColumn="1" w:lastColumn="0" w:noHBand="0" w:noVBand="1"/>
      </w:tblPr>
      <w:tblGrid>
        <w:gridCol w:w="3457"/>
        <w:gridCol w:w="3459"/>
        <w:gridCol w:w="3452"/>
      </w:tblGrid>
      <w:tr w:rsidR="00A97E6F" w14:paraId="4D2B1087" w14:textId="77777777" w:rsidTr="00406F1D">
        <w:trPr>
          <w:jc w:val="center"/>
        </w:trPr>
        <w:tc>
          <w:tcPr>
            <w:tcW w:w="3523" w:type="dxa"/>
            <w:shd w:val="clear" w:color="auto" w:fill="1F3756"/>
          </w:tcPr>
          <w:p w14:paraId="3B5803EF" w14:textId="77777777" w:rsidR="00A97E6F" w:rsidRDefault="00A97E6F" w:rsidP="00406F1D">
            <w:r>
              <w:rPr>
                <w:b/>
                <w:color w:val="FFFFFF"/>
                <w:sz w:val="14"/>
              </w:rPr>
              <w:t>Income / wage measure</w:t>
            </w:r>
          </w:p>
        </w:tc>
        <w:tc>
          <w:tcPr>
            <w:tcW w:w="3523" w:type="dxa"/>
            <w:shd w:val="clear" w:color="auto" w:fill="1F3756"/>
          </w:tcPr>
          <w:p w14:paraId="3A9BC915" w14:textId="77777777" w:rsidR="00A97E6F" w:rsidRDefault="00A97E6F" w:rsidP="00406F1D">
            <w:r>
              <w:rPr>
                <w:b/>
                <w:color w:val="FFFFFF"/>
                <w:sz w:val="14"/>
              </w:rPr>
              <w:t>Latest</w:t>
            </w:r>
          </w:p>
        </w:tc>
        <w:tc>
          <w:tcPr>
            <w:tcW w:w="3523" w:type="dxa"/>
            <w:shd w:val="clear" w:color="auto" w:fill="1F3756"/>
          </w:tcPr>
          <w:p w14:paraId="057DFBA1" w14:textId="77777777" w:rsidR="00A97E6F" w:rsidRDefault="00A97E6F" w:rsidP="00406F1D">
            <w:r>
              <w:rPr>
                <w:b/>
                <w:color w:val="FFFFFF"/>
                <w:sz w:val="14"/>
              </w:rPr>
              <w:t>Period</w:t>
            </w:r>
          </w:p>
        </w:tc>
      </w:tr>
      <w:tr w:rsidR="00A97E6F" w14:paraId="20BB6124" w14:textId="77777777" w:rsidTr="00406F1D">
        <w:trPr>
          <w:jc w:val="center"/>
        </w:trPr>
        <w:tc>
          <w:tcPr>
            <w:tcW w:w="3523" w:type="dxa"/>
            <w:vAlign w:val="center"/>
          </w:tcPr>
          <w:p w14:paraId="0825D800" w14:textId="77777777" w:rsidR="00A97E6F" w:rsidRDefault="00A97E6F" w:rsidP="00406F1D">
            <w:pPr>
              <w:spacing w:after="0"/>
            </w:pPr>
            <w:r>
              <w:rPr>
                <w:sz w:val="13"/>
              </w:rPr>
              <w:t>Personal income</w:t>
            </w:r>
          </w:p>
        </w:tc>
        <w:tc>
          <w:tcPr>
            <w:tcW w:w="3523" w:type="dxa"/>
            <w:vAlign w:val="center"/>
          </w:tcPr>
          <w:p w14:paraId="2EDC1A05" w14:textId="77777777" w:rsidR="00A97E6F" w:rsidRDefault="00A97E6F" w:rsidP="00406F1D">
            <w:pPr>
              <w:spacing w:after="0"/>
            </w:pPr>
            <w:r>
              <w:rPr>
                <w:sz w:val="13"/>
              </w:rPr>
              <w:t>+0.4% m/m</w:t>
            </w:r>
          </w:p>
        </w:tc>
        <w:tc>
          <w:tcPr>
            <w:tcW w:w="3523" w:type="dxa"/>
            <w:vAlign w:val="center"/>
          </w:tcPr>
          <w:p w14:paraId="4CDEF720" w14:textId="77777777" w:rsidR="00A97E6F" w:rsidRDefault="00A97E6F" w:rsidP="00406F1D">
            <w:pPr>
              <w:spacing w:after="0"/>
            </w:pPr>
            <w:r>
              <w:rPr>
                <w:sz w:val="13"/>
              </w:rPr>
              <w:t>Jul 2026</w:t>
            </w:r>
          </w:p>
        </w:tc>
      </w:tr>
      <w:tr w:rsidR="00A97E6F" w14:paraId="6B25832B" w14:textId="77777777" w:rsidTr="00406F1D">
        <w:trPr>
          <w:jc w:val="center"/>
        </w:trPr>
        <w:tc>
          <w:tcPr>
            <w:tcW w:w="3523" w:type="dxa"/>
            <w:vAlign w:val="center"/>
          </w:tcPr>
          <w:p w14:paraId="4F8A65BD" w14:textId="77777777" w:rsidR="00A97E6F" w:rsidRDefault="00A97E6F" w:rsidP="00406F1D">
            <w:pPr>
              <w:spacing w:after="0"/>
            </w:pPr>
            <w:r>
              <w:rPr>
                <w:sz w:val="13"/>
              </w:rPr>
              <w:t>Disposable personal income</w:t>
            </w:r>
          </w:p>
        </w:tc>
        <w:tc>
          <w:tcPr>
            <w:tcW w:w="3523" w:type="dxa"/>
            <w:vAlign w:val="center"/>
          </w:tcPr>
          <w:p w14:paraId="0B6DDE54" w14:textId="77777777" w:rsidR="00A97E6F" w:rsidRDefault="00A97E6F" w:rsidP="00406F1D">
            <w:pPr>
              <w:spacing w:after="0"/>
            </w:pPr>
            <w:r>
              <w:rPr>
                <w:sz w:val="13"/>
              </w:rPr>
              <w:t>+0.5% m/m</w:t>
            </w:r>
          </w:p>
        </w:tc>
        <w:tc>
          <w:tcPr>
            <w:tcW w:w="3523" w:type="dxa"/>
            <w:vAlign w:val="center"/>
          </w:tcPr>
          <w:p w14:paraId="10F6E7C1" w14:textId="77777777" w:rsidR="00A97E6F" w:rsidRDefault="00A97E6F" w:rsidP="00406F1D">
            <w:pPr>
              <w:spacing w:after="0"/>
            </w:pPr>
            <w:r>
              <w:rPr>
                <w:sz w:val="13"/>
              </w:rPr>
              <w:t>Jul 2026</w:t>
            </w:r>
          </w:p>
        </w:tc>
      </w:tr>
      <w:tr w:rsidR="00A97E6F" w14:paraId="59305556" w14:textId="77777777" w:rsidTr="00406F1D">
        <w:trPr>
          <w:jc w:val="center"/>
        </w:trPr>
        <w:tc>
          <w:tcPr>
            <w:tcW w:w="3523" w:type="dxa"/>
            <w:vAlign w:val="center"/>
          </w:tcPr>
          <w:p w14:paraId="19260155" w14:textId="77777777" w:rsidR="00A97E6F" w:rsidRDefault="00A97E6F" w:rsidP="00406F1D">
            <w:pPr>
              <w:spacing w:after="0"/>
            </w:pPr>
            <w:r>
              <w:rPr>
                <w:sz w:val="13"/>
              </w:rPr>
              <w:t>Real disposable personal income</w:t>
            </w:r>
          </w:p>
        </w:tc>
        <w:tc>
          <w:tcPr>
            <w:tcW w:w="3523" w:type="dxa"/>
            <w:vAlign w:val="center"/>
          </w:tcPr>
          <w:p w14:paraId="620DE554" w14:textId="77777777" w:rsidR="00A97E6F" w:rsidRDefault="00A97E6F" w:rsidP="00406F1D">
            <w:pPr>
              <w:spacing w:after="0"/>
            </w:pPr>
            <w:r>
              <w:rPr>
                <w:sz w:val="13"/>
              </w:rPr>
              <w:t>+0.4% m/m</w:t>
            </w:r>
          </w:p>
        </w:tc>
        <w:tc>
          <w:tcPr>
            <w:tcW w:w="3523" w:type="dxa"/>
            <w:vAlign w:val="center"/>
          </w:tcPr>
          <w:p w14:paraId="4A23C459" w14:textId="77777777" w:rsidR="00A97E6F" w:rsidRDefault="00A97E6F" w:rsidP="00406F1D">
            <w:pPr>
              <w:spacing w:after="0"/>
            </w:pPr>
            <w:r>
              <w:rPr>
                <w:sz w:val="13"/>
              </w:rPr>
              <w:t>Jul 2026</w:t>
            </w:r>
          </w:p>
        </w:tc>
      </w:tr>
      <w:tr w:rsidR="00A97E6F" w14:paraId="043D3790" w14:textId="77777777" w:rsidTr="00406F1D">
        <w:trPr>
          <w:jc w:val="center"/>
        </w:trPr>
        <w:tc>
          <w:tcPr>
            <w:tcW w:w="3523" w:type="dxa"/>
            <w:vAlign w:val="center"/>
          </w:tcPr>
          <w:p w14:paraId="2E469744" w14:textId="77777777" w:rsidR="00A97E6F" w:rsidRDefault="00A97E6F" w:rsidP="00406F1D">
            <w:pPr>
              <w:spacing w:after="0"/>
            </w:pPr>
            <w:r>
              <w:rPr>
                <w:sz w:val="13"/>
              </w:rPr>
              <w:t>Average hourly earnings — total private</w:t>
            </w:r>
          </w:p>
        </w:tc>
        <w:tc>
          <w:tcPr>
            <w:tcW w:w="3523" w:type="dxa"/>
            <w:vAlign w:val="center"/>
          </w:tcPr>
          <w:p w14:paraId="6525C911" w14:textId="77777777" w:rsidR="00A97E6F" w:rsidRDefault="00A97E6F" w:rsidP="00406F1D">
            <w:pPr>
              <w:spacing w:after="0"/>
            </w:pPr>
            <w:r>
              <w:rPr>
                <w:sz w:val="13"/>
              </w:rPr>
              <w:t>$37.62/hour</w:t>
            </w:r>
          </w:p>
        </w:tc>
        <w:tc>
          <w:tcPr>
            <w:tcW w:w="3523" w:type="dxa"/>
            <w:vAlign w:val="center"/>
          </w:tcPr>
          <w:p w14:paraId="759F884F" w14:textId="77777777" w:rsidR="00A97E6F" w:rsidRDefault="00A97E6F" w:rsidP="00406F1D">
            <w:pPr>
              <w:spacing w:after="0"/>
            </w:pPr>
            <w:r>
              <w:rPr>
                <w:sz w:val="13"/>
              </w:rPr>
              <w:t>Jul 2026</w:t>
            </w:r>
          </w:p>
        </w:tc>
      </w:tr>
      <w:tr w:rsidR="00A97E6F" w14:paraId="2CBD7855" w14:textId="77777777" w:rsidTr="00406F1D">
        <w:trPr>
          <w:jc w:val="center"/>
        </w:trPr>
        <w:tc>
          <w:tcPr>
            <w:tcW w:w="3523" w:type="dxa"/>
            <w:vAlign w:val="center"/>
          </w:tcPr>
          <w:p w14:paraId="3B894257" w14:textId="77777777" w:rsidR="00A97E6F" w:rsidRDefault="00A97E6F" w:rsidP="00406F1D">
            <w:pPr>
              <w:spacing w:after="0"/>
            </w:pPr>
            <w:r>
              <w:rPr>
                <w:sz w:val="13"/>
              </w:rPr>
              <w:t>Average hourly earnings growth</w:t>
            </w:r>
          </w:p>
        </w:tc>
        <w:tc>
          <w:tcPr>
            <w:tcW w:w="3523" w:type="dxa"/>
            <w:vAlign w:val="center"/>
          </w:tcPr>
          <w:p w14:paraId="1BC2D1D5" w14:textId="77777777" w:rsidR="00A97E6F" w:rsidRDefault="00A97E6F" w:rsidP="00406F1D">
            <w:pPr>
              <w:spacing w:after="0"/>
            </w:pPr>
            <w:r>
              <w:rPr>
                <w:sz w:val="13"/>
              </w:rPr>
              <w:t>+3.2% y/y</w:t>
            </w:r>
          </w:p>
        </w:tc>
        <w:tc>
          <w:tcPr>
            <w:tcW w:w="3523" w:type="dxa"/>
            <w:vAlign w:val="center"/>
          </w:tcPr>
          <w:p w14:paraId="1BF8A422" w14:textId="77777777" w:rsidR="00A97E6F" w:rsidRDefault="00A97E6F" w:rsidP="00406F1D">
            <w:pPr>
              <w:spacing w:after="0"/>
            </w:pPr>
            <w:r>
              <w:rPr>
                <w:sz w:val="13"/>
              </w:rPr>
              <w:t>Jul 2026</w:t>
            </w:r>
          </w:p>
        </w:tc>
      </w:tr>
      <w:tr w:rsidR="00A97E6F" w14:paraId="1470F071" w14:textId="77777777" w:rsidTr="00406F1D">
        <w:trPr>
          <w:jc w:val="center"/>
        </w:trPr>
        <w:tc>
          <w:tcPr>
            <w:tcW w:w="3523" w:type="dxa"/>
            <w:vAlign w:val="center"/>
          </w:tcPr>
          <w:p w14:paraId="7BBE0F65" w14:textId="77777777" w:rsidR="00A97E6F" w:rsidRDefault="00A97E6F" w:rsidP="00406F1D">
            <w:pPr>
              <w:spacing w:after="0"/>
            </w:pPr>
            <w:r>
              <w:rPr>
                <w:sz w:val="13"/>
              </w:rPr>
              <w:t>Average private workweek</w:t>
            </w:r>
          </w:p>
        </w:tc>
        <w:tc>
          <w:tcPr>
            <w:tcW w:w="3523" w:type="dxa"/>
            <w:vAlign w:val="center"/>
          </w:tcPr>
          <w:p w14:paraId="45619093" w14:textId="77777777" w:rsidR="00A97E6F" w:rsidRDefault="00A97E6F" w:rsidP="00406F1D">
            <w:pPr>
              <w:spacing w:after="0"/>
            </w:pPr>
            <w:r>
              <w:rPr>
                <w:sz w:val="13"/>
              </w:rPr>
              <w:t>34.3 hours</w:t>
            </w:r>
          </w:p>
        </w:tc>
        <w:tc>
          <w:tcPr>
            <w:tcW w:w="3523" w:type="dxa"/>
            <w:vAlign w:val="center"/>
          </w:tcPr>
          <w:p w14:paraId="4AF42D0C" w14:textId="77777777" w:rsidR="00A97E6F" w:rsidRDefault="00A97E6F" w:rsidP="00406F1D">
            <w:pPr>
              <w:spacing w:after="0"/>
            </w:pPr>
            <w:r>
              <w:rPr>
                <w:sz w:val="13"/>
              </w:rPr>
              <w:t>Jul 2026</w:t>
            </w:r>
          </w:p>
        </w:tc>
      </w:tr>
    </w:tbl>
    <w:p w14:paraId="4BC4D2AD" w14:textId="77777777" w:rsidR="00A97E6F" w:rsidRDefault="00A97E6F" w:rsidP="00A97E6F">
      <w:r>
        <w:rPr>
          <w:b/>
        </w:rPr>
        <w:t xml:space="preserve">Source: </w:t>
      </w:r>
      <w:r>
        <w:rPr>
          <w:i/>
          <w:sz w:val="14"/>
        </w:rPr>
        <w:t>BEA, Personal Income and Outlays, July 2026; BLS, Employment Situation, July 2026.</w:t>
      </w:r>
    </w:p>
    <w:p w14:paraId="58D31674" w14:textId="77777777" w:rsidR="00A97E6F" w:rsidRDefault="00A97E6F" w:rsidP="00A97E6F">
      <w:pPr>
        <w:jc w:val="right"/>
      </w:pPr>
      <w:proofErr w:type="spellStart"/>
      <w:r>
        <w:rPr>
          <w:color w:val="555555"/>
          <w:sz w:val="14"/>
        </w:rPr>
        <w:t>BrandEssence</w:t>
      </w:r>
      <w:proofErr w:type="spellEnd"/>
      <w:r>
        <w:rPr>
          <w:color w:val="555555"/>
          <w:sz w:val="14"/>
        </w:rPr>
        <w:t xml:space="preserve"> Economic Intelligence   |   Chapter 7: Consumer Economy   |   Page 19</w:t>
      </w:r>
    </w:p>
    <w:p w14:paraId="351157A7" w14:textId="77777777" w:rsidR="00A97E6F" w:rsidRDefault="00A97E6F" w:rsidP="00A97E6F">
      <w:r>
        <w:br w:type="page"/>
      </w:r>
    </w:p>
    <w:p w14:paraId="755C70A4" w14:textId="77777777" w:rsidR="00A97E6F" w:rsidRDefault="00A97E6F" w:rsidP="00A97E6F">
      <w:r>
        <w:rPr>
          <w:b/>
          <w:color w:val="555555"/>
          <w:sz w:val="16"/>
        </w:rPr>
        <w:lastRenderedPageBreak/>
        <w:t xml:space="preserve">CHAPTER </w:t>
      </w:r>
      <w:proofErr w:type="gramStart"/>
      <w:r>
        <w:rPr>
          <w:b/>
          <w:color w:val="555555"/>
          <w:sz w:val="16"/>
        </w:rPr>
        <w:t>07  /</w:t>
      </w:r>
      <w:proofErr w:type="gramEnd"/>
      <w:r>
        <w:rPr>
          <w:b/>
          <w:color w:val="555555"/>
          <w:sz w:val="16"/>
        </w:rPr>
        <w:t xml:space="preserve">  CONSUMER ECONOMY</w:t>
      </w:r>
    </w:p>
    <w:p w14:paraId="765A2EA6" w14:textId="77777777" w:rsidR="00A97E6F" w:rsidRDefault="00A97E6F" w:rsidP="00A97E6F">
      <w:pPr>
        <w:pStyle w:val="Heading1"/>
      </w:pPr>
      <w:r>
        <w:t>20. Savings &amp; Household Balance Sheets</w:t>
      </w:r>
    </w:p>
    <w:p w14:paraId="7CBC85DF" w14:textId="77777777" w:rsidR="00A97E6F" w:rsidRDefault="00A97E6F" w:rsidP="00A97E6F">
      <w:r>
        <w:rPr>
          <w:i/>
          <w:color w:val="555555"/>
        </w:rPr>
        <w:t>Savings, Debt and Household Financial Cushion</w:t>
      </w:r>
    </w:p>
    <w:p w14:paraId="6768A7AE" w14:textId="77777777" w:rsidR="00A97E6F" w:rsidRDefault="00A97E6F" w:rsidP="00A97E6F">
      <w:r>
        <w:t>Household balance sheets are not uniformly weak, but the margin for error has narrowed. The personal saving rate remains low by historical standards, while total household debt is close to $18.8 trillion. Most of that debt is mortgage-related, which makes the overall balance sheet different from one dominated by short-term consumer borrowing.</w:t>
      </w:r>
    </w:p>
    <w:p w14:paraId="34F5BF2A" w14:textId="77777777" w:rsidR="00A97E6F" w:rsidRDefault="00A97E6F" w:rsidP="00A97E6F">
      <w:pPr>
        <w:jc w:val="center"/>
      </w:pPr>
      <w:r>
        <w:rPr>
          <w:noProof/>
        </w:rPr>
        <w:drawing>
          <wp:inline distT="0" distB="0" distL="0" distR="0" wp14:anchorId="051EFD50" wp14:editId="10E8956C">
            <wp:extent cx="5715000" cy="1758101"/>
            <wp:effectExtent l="0" t="0" r="0" b="0"/>
            <wp:docPr id="1921586919" name="Picture 192158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_snapshot.png"/>
                    <pic:cNvPicPr/>
                  </pic:nvPicPr>
                  <pic:blipFill>
                    <a:blip r:embed="rId53"/>
                    <a:stretch>
                      <a:fillRect/>
                    </a:stretch>
                  </pic:blipFill>
                  <pic:spPr>
                    <a:xfrm>
                      <a:off x="0" y="0"/>
                      <a:ext cx="5715000" cy="1758101"/>
                    </a:xfrm>
                    <a:prstGeom prst="rect">
                      <a:avLst/>
                    </a:prstGeom>
                  </pic:spPr>
                </pic:pic>
              </a:graphicData>
            </a:graphic>
          </wp:inline>
        </w:drawing>
      </w:r>
    </w:p>
    <w:tbl>
      <w:tblPr>
        <w:tblW w:w="0" w:type="auto"/>
        <w:jc w:val="center"/>
        <w:tblLook w:val="04A0" w:firstRow="1" w:lastRow="0" w:firstColumn="1" w:lastColumn="0" w:noHBand="0" w:noVBand="1"/>
      </w:tblPr>
      <w:tblGrid>
        <w:gridCol w:w="5184"/>
        <w:gridCol w:w="5184"/>
      </w:tblGrid>
      <w:tr w:rsidR="00A97E6F" w14:paraId="6615E5B2" w14:textId="77777777" w:rsidTr="00406F1D">
        <w:trPr>
          <w:jc w:val="center"/>
        </w:trPr>
        <w:tc>
          <w:tcPr>
            <w:tcW w:w="5285" w:type="dxa"/>
          </w:tcPr>
          <w:p w14:paraId="52B378E3" w14:textId="77777777" w:rsidR="00A97E6F" w:rsidRDefault="00A97E6F" w:rsidP="00406F1D">
            <w:pPr>
              <w:jc w:val="center"/>
            </w:pPr>
            <w:r>
              <w:rPr>
                <w:noProof/>
              </w:rPr>
              <w:drawing>
                <wp:inline distT="0" distB="0" distL="0" distR="0" wp14:anchorId="45B8FBEB" wp14:editId="64A53C3D">
                  <wp:extent cx="2880360" cy="13501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ing_rate.png"/>
                          <pic:cNvPicPr/>
                        </pic:nvPicPr>
                        <pic:blipFill>
                          <a:blip r:embed="rId54"/>
                          <a:stretch>
                            <a:fillRect/>
                          </a:stretch>
                        </pic:blipFill>
                        <pic:spPr>
                          <a:xfrm>
                            <a:off x="0" y="0"/>
                            <a:ext cx="2880360" cy="1350169"/>
                          </a:xfrm>
                          <a:prstGeom prst="rect">
                            <a:avLst/>
                          </a:prstGeom>
                        </pic:spPr>
                      </pic:pic>
                    </a:graphicData>
                  </a:graphic>
                </wp:inline>
              </w:drawing>
            </w:r>
          </w:p>
        </w:tc>
        <w:tc>
          <w:tcPr>
            <w:tcW w:w="5285" w:type="dxa"/>
          </w:tcPr>
          <w:p w14:paraId="4A317302" w14:textId="77777777" w:rsidR="00A97E6F" w:rsidRDefault="00A97E6F" w:rsidP="00406F1D">
            <w:pPr>
              <w:jc w:val="center"/>
            </w:pPr>
            <w:r>
              <w:rPr>
                <w:noProof/>
              </w:rPr>
              <w:drawing>
                <wp:inline distT="0" distB="0" distL="0" distR="0" wp14:anchorId="3204D025" wp14:editId="7DB1E910">
                  <wp:extent cx="2880360" cy="1395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t_mix.png"/>
                          <pic:cNvPicPr/>
                        </pic:nvPicPr>
                        <pic:blipFill>
                          <a:blip r:embed="rId55"/>
                          <a:stretch>
                            <a:fillRect/>
                          </a:stretch>
                        </pic:blipFill>
                        <pic:spPr>
                          <a:xfrm>
                            <a:off x="0" y="0"/>
                            <a:ext cx="2880360" cy="1395174"/>
                          </a:xfrm>
                          <a:prstGeom prst="rect">
                            <a:avLst/>
                          </a:prstGeom>
                        </pic:spPr>
                      </pic:pic>
                    </a:graphicData>
                  </a:graphic>
                </wp:inline>
              </w:drawing>
            </w:r>
          </w:p>
        </w:tc>
      </w:tr>
    </w:tbl>
    <w:p w14:paraId="7119D2ED" w14:textId="77777777" w:rsidR="00A97E6F" w:rsidRDefault="00A97E6F" w:rsidP="00A97E6F">
      <w:r>
        <w:rPr>
          <w:b/>
          <w:color w:val="1F3756"/>
        </w:rPr>
      </w:r>
      <w:r>
        <w:t xml:space="preserve">The saving rate recovered in July but </w:t>
      </w:r>
      <w:proofErr w:type="gramStart"/>
      <w:r>
        <w:t>remains</w:t>
      </w:r>
      <w:proofErr w:type="gramEnd"/>
      <w:r>
        <w:t xml:space="preserve"> low, so households have a smaller cash-flow buffer if income weakens or prices rise again. At the same time, the debt mix is heavily concentrated </w:t>
      </w:r>
      <w:proofErr w:type="gramStart"/>
      <w:r>
        <w:t>in</w:t>
      </w:r>
      <w:proofErr w:type="gramEnd"/>
      <w:r>
        <w:t xml:space="preserve"> mortgages rather than revolving credit. The balance sheet therefore looks stretched in places, but not uniformly fragile.</w:t>
      </w:r>
    </w:p>
    <w:tbl>
      <w:tblPr>
        <w:tblW w:w="0" w:type="auto"/>
        <w:jc w:val="center"/>
        <w:tblLook w:val="04A0" w:firstRow="1" w:lastRow="0" w:firstColumn="1" w:lastColumn="0" w:noHBand="0" w:noVBand="1"/>
      </w:tblPr>
      <w:tblGrid>
        <w:gridCol w:w="3456"/>
        <w:gridCol w:w="3455"/>
        <w:gridCol w:w="3457"/>
      </w:tblGrid>
      <w:tr w:rsidR="00A97E6F" w14:paraId="11BBEF12" w14:textId="77777777" w:rsidTr="00406F1D">
        <w:trPr>
          <w:jc w:val="center"/>
        </w:trPr>
        <w:tc>
          <w:tcPr>
            <w:tcW w:w="3523" w:type="dxa"/>
            <w:shd w:val="clear" w:color="auto" w:fill="1F3756"/>
          </w:tcPr>
          <w:p w14:paraId="06BDB235" w14:textId="77777777" w:rsidR="00A97E6F" w:rsidRDefault="00A97E6F" w:rsidP="00406F1D">
            <w:r>
              <w:rPr>
                <w:b/>
                <w:color w:val="FFFFFF"/>
                <w:sz w:val="14"/>
              </w:rPr>
              <w:t>Debt category</w:t>
            </w:r>
          </w:p>
        </w:tc>
        <w:tc>
          <w:tcPr>
            <w:tcW w:w="3523" w:type="dxa"/>
            <w:shd w:val="clear" w:color="auto" w:fill="1F3756"/>
          </w:tcPr>
          <w:p w14:paraId="366A4225" w14:textId="77777777" w:rsidR="00A97E6F" w:rsidRDefault="00A97E6F" w:rsidP="00406F1D">
            <w:r>
              <w:rPr>
                <w:b/>
                <w:color w:val="FFFFFF"/>
                <w:sz w:val="14"/>
              </w:rPr>
              <w:t>Q2 2026 balance</w:t>
            </w:r>
          </w:p>
        </w:tc>
        <w:tc>
          <w:tcPr>
            <w:tcW w:w="3523" w:type="dxa"/>
            <w:shd w:val="clear" w:color="auto" w:fill="1F3756"/>
          </w:tcPr>
          <w:p w14:paraId="25784356" w14:textId="77777777" w:rsidR="00A97E6F" w:rsidRDefault="00A97E6F" w:rsidP="00406F1D">
            <w:r>
              <w:rPr>
                <w:b/>
                <w:color w:val="FFFFFF"/>
                <w:sz w:val="14"/>
              </w:rPr>
              <w:t>Quarterly change</w:t>
            </w:r>
          </w:p>
        </w:tc>
      </w:tr>
      <w:tr w:rsidR="00A97E6F" w14:paraId="01B86E6F" w14:textId="77777777" w:rsidTr="00406F1D">
        <w:trPr>
          <w:jc w:val="center"/>
        </w:trPr>
        <w:tc>
          <w:tcPr>
            <w:tcW w:w="3523" w:type="dxa"/>
            <w:vAlign w:val="center"/>
          </w:tcPr>
          <w:p w14:paraId="71CF3B2F" w14:textId="77777777" w:rsidR="00A97E6F" w:rsidRDefault="00A97E6F" w:rsidP="00406F1D">
            <w:pPr>
              <w:spacing w:after="0"/>
            </w:pPr>
            <w:r>
              <w:rPr>
                <w:sz w:val="13"/>
              </w:rPr>
              <w:t>Mortgage</w:t>
            </w:r>
          </w:p>
        </w:tc>
        <w:tc>
          <w:tcPr>
            <w:tcW w:w="3523" w:type="dxa"/>
            <w:vAlign w:val="center"/>
          </w:tcPr>
          <w:p w14:paraId="361E7C60" w14:textId="77777777" w:rsidR="00A97E6F" w:rsidRDefault="00A97E6F" w:rsidP="00406F1D">
            <w:pPr>
              <w:spacing w:after="0"/>
            </w:pPr>
            <w:r>
              <w:rPr>
                <w:sz w:val="13"/>
              </w:rPr>
              <w:t>$13.117T</w:t>
            </w:r>
          </w:p>
        </w:tc>
        <w:tc>
          <w:tcPr>
            <w:tcW w:w="3523" w:type="dxa"/>
            <w:vAlign w:val="center"/>
          </w:tcPr>
          <w:p w14:paraId="4A9643EB" w14:textId="77777777" w:rsidR="00A97E6F" w:rsidRDefault="00A97E6F" w:rsidP="00406F1D">
            <w:pPr>
              <w:spacing w:after="0"/>
            </w:pPr>
            <w:r>
              <w:rPr>
                <w:sz w:val="13"/>
              </w:rPr>
              <w:t>-$74B*</w:t>
            </w:r>
          </w:p>
        </w:tc>
      </w:tr>
      <w:tr w:rsidR="00A97E6F" w14:paraId="152768B6" w14:textId="77777777" w:rsidTr="00406F1D">
        <w:trPr>
          <w:jc w:val="center"/>
        </w:trPr>
        <w:tc>
          <w:tcPr>
            <w:tcW w:w="3523" w:type="dxa"/>
            <w:vAlign w:val="center"/>
          </w:tcPr>
          <w:p w14:paraId="1B71468F" w14:textId="77777777" w:rsidR="00A97E6F" w:rsidRDefault="00A97E6F" w:rsidP="00406F1D">
            <w:pPr>
              <w:spacing w:after="0"/>
            </w:pPr>
            <w:r>
              <w:rPr>
                <w:sz w:val="13"/>
              </w:rPr>
              <w:t>Auto</w:t>
            </w:r>
          </w:p>
        </w:tc>
        <w:tc>
          <w:tcPr>
            <w:tcW w:w="3523" w:type="dxa"/>
            <w:vAlign w:val="center"/>
          </w:tcPr>
          <w:p w14:paraId="63AC9233" w14:textId="77777777" w:rsidR="00A97E6F" w:rsidRDefault="00A97E6F" w:rsidP="00406F1D">
            <w:pPr>
              <w:spacing w:after="0"/>
            </w:pPr>
            <w:r>
              <w:rPr>
                <w:sz w:val="13"/>
              </w:rPr>
              <w:t>$1.713T</w:t>
            </w:r>
          </w:p>
        </w:tc>
        <w:tc>
          <w:tcPr>
            <w:tcW w:w="3523" w:type="dxa"/>
            <w:vAlign w:val="center"/>
          </w:tcPr>
          <w:p w14:paraId="6E718C7C" w14:textId="77777777" w:rsidR="00A97E6F" w:rsidRDefault="00A97E6F" w:rsidP="00406F1D">
            <w:pPr>
              <w:spacing w:after="0"/>
            </w:pPr>
            <w:r>
              <w:rPr>
                <w:sz w:val="13"/>
              </w:rPr>
              <w:t>+$28B</w:t>
            </w:r>
          </w:p>
        </w:tc>
      </w:tr>
      <w:tr w:rsidR="00A97E6F" w14:paraId="1BC4EC16" w14:textId="77777777" w:rsidTr="00406F1D">
        <w:trPr>
          <w:jc w:val="center"/>
        </w:trPr>
        <w:tc>
          <w:tcPr>
            <w:tcW w:w="3523" w:type="dxa"/>
            <w:vAlign w:val="center"/>
          </w:tcPr>
          <w:p w14:paraId="23E8C4BE" w14:textId="77777777" w:rsidR="00A97E6F" w:rsidRDefault="00A97E6F" w:rsidP="00406F1D">
            <w:pPr>
              <w:spacing w:after="0"/>
            </w:pPr>
            <w:r>
              <w:rPr>
                <w:sz w:val="13"/>
              </w:rPr>
              <w:t>Student</w:t>
            </w:r>
          </w:p>
        </w:tc>
        <w:tc>
          <w:tcPr>
            <w:tcW w:w="3523" w:type="dxa"/>
            <w:vAlign w:val="center"/>
          </w:tcPr>
          <w:p w14:paraId="33D07076" w14:textId="77777777" w:rsidR="00A97E6F" w:rsidRDefault="00A97E6F" w:rsidP="00406F1D">
            <w:pPr>
              <w:spacing w:after="0"/>
            </w:pPr>
            <w:r>
              <w:rPr>
                <w:sz w:val="13"/>
              </w:rPr>
              <w:t>$1.651T</w:t>
            </w:r>
          </w:p>
        </w:tc>
        <w:tc>
          <w:tcPr>
            <w:tcW w:w="3523" w:type="dxa"/>
            <w:vAlign w:val="center"/>
          </w:tcPr>
          <w:p w14:paraId="5E7724A0" w14:textId="77777777" w:rsidR="00A97E6F" w:rsidRDefault="00A97E6F" w:rsidP="00406F1D">
            <w:pPr>
              <w:spacing w:after="0"/>
            </w:pPr>
            <w:r>
              <w:rPr>
                <w:sz w:val="13"/>
              </w:rPr>
              <w:t>-$7B</w:t>
            </w:r>
          </w:p>
        </w:tc>
      </w:tr>
      <w:tr w:rsidR="00A97E6F" w14:paraId="145855A6" w14:textId="77777777" w:rsidTr="00406F1D">
        <w:trPr>
          <w:jc w:val="center"/>
        </w:trPr>
        <w:tc>
          <w:tcPr>
            <w:tcW w:w="3523" w:type="dxa"/>
            <w:vAlign w:val="center"/>
          </w:tcPr>
          <w:p w14:paraId="6CA1D949" w14:textId="77777777" w:rsidR="00A97E6F" w:rsidRDefault="00A97E6F" w:rsidP="00406F1D">
            <w:pPr>
              <w:spacing w:after="0"/>
            </w:pPr>
            <w:r>
              <w:rPr>
                <w:sz w:val="13"/>
              </w:rPr>
              <w:t>Credit card</w:t>
            </w:r>
          </w:p>
        </w:tc>
        <w:tc>
          <w:tcPr>
            <w:tcW w:w="3523" w:type="dxa"/>
            <w:vAlign w:val="center"/>
          </w:tcPr>
          <w:p w14:paraId="1819C8CC" w14:textId="77777777" w:rsidR="00A97E6F" w:rsidRDefault="00A97E6F" w:rsidP="00406F1D">
            <w:pPr>
              <w:spacing w:after="0"/>
            </w:pPr>
            <w:r>
              <w:rPr>
                <w:sz w:val="13"/>
              </w:rPr>
              <w:t>$1.263T</w:t>
            </w:r>
          </w:p>
        </w:tc>
        <w:tc>
          <w:tcPr>
            <w:tcW w:w="3523" w:type="dxa"/>
            <w:vAlign w:val="center"/>
          </w:tcPr>
          <w:p w14:paraId="3038F694" w14:textId="77777777" w:rsidR="00A97E6F" w:rsidRDefault="00A97E6F" w:rsidP="00406F1D">
            <w:pPr>
              <w:spacing w:after="0"/>
            </w:pPr>
            <w:r>
              <w:rPr>
                <w:sz w:val="13"/>
              </w:rPr>
              <w:t>+$21B</w:t>
            </w:r>
          </w:p>
        </w:tc>
      </w:tr>
      <w:tr w:rsidR="00A97E6F" w14:paraId="526D6DA5" w14:textId="77777777" w:rsidTr="00406F1D">
        <w:trPr>
          <w:jc w:val="center"/>
        </w:trPr>
        <w:tc>
          <w:tcPr>
            <w:tcW w:w="3523" w:type="dxa"/>
            <w:vAlign w:val="center"/>
          </w:tcPr>
          <w:p w14:paraId="1BDA7888" w14:textId="77777777" w:rsidR="00A97E6F" w:rsidRDefault="00A97E6F" w:rsidP="00406F1D">
            <w:pPr>
              <w:spacing w:after="0"/>
            </w:pPr>
            <w:r>
              <w:rPr>
                <w:sz w:val="13"/>
              </w:rPr>
              <w:t>HELOC</w:t>
            </w:r>
          </w:p>
        </w:tc>
        <w:tc>
          <w:tcPr>
            <w:tcW w:w="3523" w:type="dxa"/>
            <w:vAlign w:val="center"/>
          </w:tcPr>
          <w:p w14:paraId="274EA7DD" w14:textId="77777777" w:rsidR="00A97E6F" w:rsidRDefault="00A97E6F" w:rsidP="00406F1D">
            <w:pPr>
              <w:spacing w:after="0"/>
            </w:pPr>
            <w:r>
              <w:rPr>
                <w:sz w:val="13"/>
              </w:rPr>
              <w:t>$0.459T</w:t>
            </w:r>
          </w:p>
        </w:tc>
        <w:tc>
          <w:tcPr>
            <w:tcW w:w="3523" w:type="dxa"/>
            <w:vAlign w:val="center"/>
          </w:tcPr>
          <w:p w14:paraId="0F8A9471" w14:textId="77777777" w:rsidR="00A97E6F" w:rsidRDefault="00A97E6F" w:rsidP="00406F1D">
            <w:pPr>
              <w:spacing w:after="0"/>
            </w:pPr>
            <w:r>
              <w:rPr>
                <w:sz w:val="13"/>
              </w:rPr>
              <w:t>+$13B</w:t>
            </w:r>
          </w:p>
        </w:tc>
      </w:tr>
      <w:tr w:rsidR="00A97E6F" w14:paraId="21F53FF8" w14:textId="77777777" w:rsidTr="00406F1D">
        <w:trPr>
          <w:jc w:val="center"/>
        </w:trPr>
        <w:tc>
          <w:tcPr>
            <w:tcW w:w="3523" w:type="dxa"/>
            <w:vAlign w:val="center"/>
          </w:tcPr>
          <w:p w14:paraId="4B142E6E" w14:textId="77777777" w:rsidR="00A97E6F" w:rsidRDefault="00A97E6F" w:rsidP="00406F1D">
            <w:pPr>
              <w:spacing w:after="0"/>
            </w:pPr>
            <w:r>
              <w:rPr>
                <w:sz w:val="13"/>
              </w:rPr>
              <w:t>Other</w:t>
            </w:r>
          </w:p>
        </w:tc>
        <w:tc>
          <w:tcPr>
            <w:tcW w:w="3523" w:type="dxa"/>
            <w:vAlign w:val="center"/>
          </w:tcPr>
          <w:p w14:paraId="6046037B" w14:textId="77777777" w:rsidR="00A97E6F" w:rsidRDefault="00A97E6F" w:rsidP="00406F1D">
            <w:pPr>
              <w:spacing w:after="0"/>
            </w:pPr>
            <w:r>
              <w:rPr>
                <w:sz w:val="13"/>
              </w:rPr>
              <w:t>$0.568T</w:t>
            </w:r>
          </w:p>
        </w:tc>
        <w:tc>
          <w:tcPr>
            <w:tcW w:w="3523" w:type="dxa"/>
            <w:vAlign w:val="center"/>
          </w:tcPr>
          <w:p w14:paraId="7900777F" w14:textId="77777777" w:rsidR="00A97E6F" w:rsidRDefault="00A97E6F" w:rsidP="00406F1D">
            <w:pPr>
              <w:spacing w:after="0"/>
            </w:pPr>
            <w:r>
              <w:rPr>
                <w:sz w:val="13"/>
              </w:rPr>
              <w:t>+$6B</w:t>
            </w:r>
          </w:p>
        </w:tc>
      </w:tr>
    </w:tbl>
    <w:p w14:paraId="58A3D83F" w14:textId="77777777" w:rsidR="00A97E6F" w:rsidRDefault="00A97E6F" w:rsidP="00A97E6F">
      <w:r>
        <w:t>*The New York Fed notes that the Q2 mortgage decline partly reflected a temporary reporting gap related to a servicing transfer.</w:t>
      </w:r>
    </w:p>
    <w:p w14:paraId="20ABC9D9" w14:textId="77777777" w:rsidR="00A97E6F" w:rsidRDefault="00A97E6F" w:rsidP="00A97E6F">
      <w:r>
        <w:rPr>
          <w:b/>
        </w:rPr>
        <w:t xml:space="preserve">Source: </w:t>
      </w:r>
      <w:r>
        <w:rPr>
          <w:i/>
          <w:sz w:val="14"/>
        </w:rPr>
        <w:t>BEA personal saving rate; Federal Reserve Bank of New York, Household Debt and Credit, Q2 2026.</w:t>
      </w:r>
    </w:p>
    <w:p w14:paraId="796B3EF4" w14:textId="77777777" w:rsidR="00A97E6F" w:rsidRDefault="00A97E6F" w:rsidP="00A97E6F">
      <w:pPr>
        <w:jc w:val="right"/>
      </w:pPr>
      <w:proofErr w:type="spellStart"/>
      <w:r>
        <w:rPr>
          <w:color w:val="555555"/>
          <w:sz w:val="14"/>
        </w:rPr>
        <w:t>BrandEssence</w:t>
      </w:r>
      <w:proofErr w:type="spellEnd"/>
      <w:r>
        <w:rPr>
          <w:color w:val="555555"/>
          <w:sz w:val="14"/>
        </w:rPr>
        <w:t xml:space="preserve"> Economic Intelligence   |   Chapter 7: Consumer Economy   |   Page 20</w:t>
      </w:r>
    </w:p>
    <w:p w14:paraId="225B0E87" w14:textId="77777777" w:rsidR="00A97E6F" w:rsidRDefault="00A97E6F" w:rsidP="00A97E6F">
      <w:r>
        <w:br w:type="page"/>
      </w:r>
    </w:p>
    <w:p w14:paraId="1A491C80" w14:textId="77777777" w:rsidR="00A97E6F" w:rsidRDefault="00A97E6F" w:rsidP="00A97E6F">
      <w:r>
        <w:rPr>
          <w:b/>
          <w:color w:val="555555"/>
          <w:sz w:val="16"/>
        </w:rPr>
        <w:lastRenderedPageBreak/>
        <w:t xml:space="preserve">CHAPTER </w:t>
      </w:r>
      <w:proofErr w:type="gramStart"/>
      <w:r>
        <w:rPr>
          <w:b/>
          <w:color w:val="555555"/>
          <w:sz w:val="16"/>
        </w:rPr>
        <w:t>07  /</w:t>
      </w:r>
      <w:proofErr w:type="gramEnd"/>
      <w:r>
        <w:rPr>
          <w:b/>
          <w:color w:val="555555"/>
          <w:sz w:val="16"/>
        </w:rPr>
        <w:t xml:space="preserve">  CONSUMER ECONOMY</w:t>
      </w:r>
    </w:p>
    <w:p w14:paraId="01D70A9C" w14:textId="77777777" w:rsidR="00A97E6F" w:rsidRDefault="00A97E6F" w:rsidP="00A97E6F">
      <w:pPr>
        <w:pStyle w:val="Heading1"/>
      </w:pPr>
      <w:r>
        <w:t>21. Consumer Credit &amp; Delinquencies</w:t>
      </w:r>
    </w:p>
    <w:p w14:paraId="31BEA750" w14:textId="77777777" w:rsidR="00A97E6F" w:rsidRDefault="00A97E6F" w:rsidP="00A97E6F">
      <w:r>
        <w:rPr>
          <w:i/>
          <w:color w:val="555555"/>
        </w:rPr>
        <w:t>Credit Stress | Where Household Pressure Is Appearing</w:t>
      </w:r>
    </w:p>
    <w:p w14:paraId="7A257B15" w14:textId="77777777" w:rsidR="00A97E6F" w:rsidRDefault="00A97E6F" w:rsidP="00A97E6F">
      <w:r>
        <w:t xml:space="preserve">Consumer credit is still expanding in the areas most closely linked to day-to-day household financing. </w:t>
      </w:r>
      <w:proofErr w:type="gramStart"/>
      <w:r>
        <w:t>Credit-card</w:t>
      </w:r>
      <w:proofErr w:type="gramEnd"/>
      <w:r>
        <w:t xml:space="preserve"> and auto balances both increased in the second quarter. The broader delinquency picture improved slightly, but new delinquencies in auto and credit-card borrowing remain elevated enough to deserve attention.</w:t>
      </w:r>
    </w:p>
    <w:p w14:paraId="0AEFCF5D" w14:textId="77777777" w:rsidR="00A97E6F" w:rsidRDefault="00A97E6F" w:rsidP="00A97E6F">
      <w:pPr>
        <w:jc w:val="center"/>
      </w:pPr>
      <w:r>
        <w:rPr>
          <w:noProof/>
        </w:rPr>
        <w:drawing>
          <wp:inline distT="0" distB="0" distL="0" distR="0" wp14:anchorId="2D4711E9" wp14:editId="1A86DE4E">
            <wp:extent cx="5715000" cy="1755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watch.png"/>
                    <pic:cNvPicPr/>
                  </pic:nvPicPr>
                  <pic:blipFill>
                    <a:blip r:embed="rId56"/>
                    <a:stretch>
                      <a:fillRect/>
                    </a:stretch>
                  </pic:blipFill>
                  <pic:spPr>
                    <a:xfrm>
                      <a:off x="0" y="0"/>
                      <a:ext cx="5715000" cy="1755221"/>
                    </a:xfrm>
                    <a:prstGeom prst="rect">
                      <a:avLst/>
                    </a:prstGeom>
                  </pic:spPr>
                </pic:pic>
              </a:graphicData>
            </a:graphic>
          </wp:inline>
        </w:drawing>
      </w:r>
    </w:p>
    <w:p w14:paraId="2CF2EAA5" w14:textId="77777777" w:rsidR="00A97E6F" w:rsidRDefault="00A97E6F" w:rsidP="00A97E6F">
      <w:pPr>
        <w:jc w:val="center"/>
      </w:pPr>
      <w:r>
        <w:rPr>
          <w:noProof/>
        </w:rPr>
        <w:drawing>
          <wp:inline distT="0" distB="0" distL="0" distR="0" wp14:anchorId="430B14D4" wp14:editId="1B2ACF3A">
            <wp:extent cx="5257800" cy="25467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t_change.png"/>
                    <pic:cNvPicPr/>
                  </pic:nvPicPr>
                  <pic:blipFill>
                    <a:blip r:embed="rId57"/>
                    <a:stretch>
                      <a:fillRect/>
                    </a:stretch>
                  </pic:blipFill>
                  <pic:spPr>
                    <a:xfrm>
                      <a:off x="0" y="0"/>
                      <a:ext cx="5257800" cy="2546747"/>
                    </a:xfrm>
                    <a:prstGeom prst="rect">
                      <a:avLst/>
                    </a:prstGeom>
                  </pic:spPr>
                </pic:pic>
              </a:graphicData>
            </a:graphic>
          </wp:inline>
        </w:drawing>
      </w:r>
    </w:p>
    <w:p w14:paraId="7E2076D5" w14:textId="77777777" w:rsidR="00A97E6F" w:rsidRDefault="00A97E6F" w:rsidP="00A97E6F">
      <w:r>
        <w:rPr>
          <w:b/>
          <w:color w:val="1F3756"/>
        </w:rPr>
      </w:r>
      <w:r>
        <w:t>The latest credit data show pressure rather than a system-wide breakdown. Card and auto balances are still rising, while aggregate delinquency edged lower. The risk is concentrated among borrowers with less financial flexibility, which means consumer stress can increase even while the overall household sector continues to spend.</w:t>
      </w:r>
    </w:p>
    <w:tbl>
      <w:tblPr>
        <w:tblW w:w="0" w:type="auto"/>
        <w:jc w:val="center"/>
        <w:tblLook w:val="04A0" w:firstRow="1" w:lastRow="0" w:firstColumn="1" w:lastColumn="0" w:noHBand="0" w:noVBand="1"/>
      </w:tblPr>
      <w:tblGrid>
        <w:gridCol w:w="3457"/>
        <w:gridCol w:w="3450"/>
        <w:gridCol w:w="3461"/>
      </w:tblGrid>
      <w:tr w:rsidR="00A97E6F" w14:paraId="4EFD0579" w14:textId="77777777" w:rsidTr="00406F1D">
        <w:trPr>
          <w:jc w:val="center"/>
        </w:trPr>
        <w:tc>
          <w:tcPr>
            <w:tcW w:w="3523" w:type="dxa"/>
            <w:shd w:val="clear" w:color="auto" w:fill="1F3756"/>
          </w:tcPr>
          <w:p w14:paraId="3E7BC0BD" w14:textId="77777777" w:rsidR="00A97E6F" w:rsidRDefault="00A97E6F" w:rsidP="00406F1D">
            <w:r>
              <w:rPr>
                <w:b/>
                <w:color w:val="FFFFFF"/>
                <w:sz w:val="14"/>
              </w:rPr>
              <w:t>Credit indicator</w:t>
            </w:r>
          </w:p>
        </w:tc>
        <w:tc>
          <w:tcPr>
            <w:tcW w:w="3523" w:type="dxa"/>
            <w:shd w:val="clear" w:color="auto" w:fill="1F3756"/>
          </w:tcPr>
          <w:p w14:paraId="2C9DFA23" w14:textId="77777777" w:rsidR="00A97E6F" w:rsidRDefault="00A97E6F" w:rsidP="00406F1D">
            <w:r>
              <w:rPr>
                <w:b/>
                <w:color w:val="FFFFFF"/>
                <w:sz w:val="14"/>
              </w:rPr>
              <w:t>Q2 2026</w:t>
            </w:r>
          </w:p>
        </w:tc>
        <w:tc>
          <w:tcPr>
            <w:tcW w:w="3523" w:type="dxa"/>
            <w:shd w:val="clear" w:color="auto" w:fill="1F3756"/>
          </w:tcPr>
          <w:p w14:paraId="4391E4A2" w14:textId="77777777" w:rsidR="00A97E6F" w:rsidRDefault="00A97E6F" w:rsidP="00406F1D">
            <w:r>
              <w:rPr>
                <w:b/>
                <w:color w:val="FFFFFF"/>
                <w:sz w:val="14"/>
              </w:rPr>
              <w:t>Interpretation</w:t>
            </w:r>
          </w:p>
        </w:tc>
      </w:tr>
      <w:tr w:rsidR="00A97E6F" w14:paraId="36A7BCDC" w14:textId="77777777" w:rsidTr="00406F1D">
        <w:trPr>
          <w:jc w:val="center"/>
        </w:trPr>
        <w:tc>
          <w:tcPr>
            <w:tcW w:w="3523" w:type="dxa"/>
            <w:vAlign w:val="center"/>
          </w:tcPr>
          <w:p w14:paraId="5BC7DF01" w14:textId="77777777" w:rsidR="00A97E6F" w:rsidRDefault="00A97E6F" w:rsidP="00406F1D">
            <w:pPr>
              <w:spacing w:after="0"/>
            </w:pPr>
            <w:r>
              <w:rPr>
                <w:sz w:val="13"/>
              </w:rPr>
              <w:t>Debt in some stage of delinquency</w:t>
            </w:r>
          </w:p>
        </w:tc>
        <w:tc>
          <w:tcPr>
            <w:tcW w:w="3523" w:type="dxa"/>
            <w:vAlign w:val="center"/>
          </w:tcPr>
          <w:p w14:paraId="1DC3005C" w14:textId="77777777" w:rsidR="00A97E6F" w:rsidRDefault="00A97E6F" w:rsidP="00406F1D">
            <w:pPr>
              <w:spacing w:after="0"/>
            </w:pPr>
            <w:r>
              <w:rPr>
                <w:sz w:val="13"/>
              </w:rPr>
              <w:t>4.7%</w:t>
            </w:r>
          </w:p>
        </w:tc>
        <w:tc>
          <w:tcPr>
            <w:tcW w:w="3523" w:type="dxa"/>
            <w:vAlign w:val="center"/>
          </w:tcPr>
          <w:p w14:paraId="5CF1787A" w14:textId="77777777" w:rsidR="00A97E6F" w:rsidRDefault="00A97E6F" w:rsidP="00406F1D">
            <w:pPr>
              <w:spacing w:after="0"/>
            </w:pPr>
            <w:r>
              <w:rPr>
                <w:sz w:val="13"/>
              </w:rPr>
              <w:t>Slight improvement from Q1</w:t>
            </w:r>
          </w:p>
        </w:tc>
      </w:tr>
      <w:tr w:rsidR="00A97E6F" w14:paraId="5B681274" w14:textId="77777777" w:rsidTr="00406F1D">
        <w:trPr>
          <w:jc w:val="center"/>
        </w:trPr>
        <w:tc>
          <w:tcPr>
            <w:tcW w:w="3523" w:type="dxa"/>
            <w:vAlign w:val="center"/>
          </w:tcPr>
          <w:p w14:paraId="5C0503E9" w14:textId="77777777" w:rsidR="00A97E6F" w:rsidRDefault="00A97E6F" w:rsidP="00406F1D">
            <w:pPr>
              <w:spacing w:after="0"/>
            </w:pPr>
            <w:r>
              <w:rPr>
                <w:sz w:val="13"/>
              </w:rPr>
              <w:t xml:space="preserve">Mortgage </w:t>
            </w:r>
            <w:proofErr w:type="gramStart"/>
            <w:r>
              <w:rPr>
                <w:sz w:val="13"/>
              </w:rPr>
              <w:t>flow</w:t>
            </w:r>
            <w:proofErr w:type="gramEnd"/>
            <w:r>
              <w:rPr>
                <w:sz w:val="13"/>
              </w:rPr>
              <w:t xml:space="preserve"> into serious delinquency</w:t>
            </w:r>
          </w:p>
        </w:tc>
        <w:tc>
          <w:tcPr>
            <w:tcW w:w="3523" w:type="dxa"/>
            <w:vAlign w:val="center"/>
          </w:tcPr>
          <w:p w14:paraId="4773E021" w14:textId="77777777" w:rsidR="00A97E6F" w:rsidRDefault="00A97E6F" w:rsidP="00406F1D">
            <w:pPr>
              <w:spacing w:after="0"/>
            </w:pPr>
            <w:r>
              <w:rPr>
                <w:sz w:val="13"/>
              </w:rPr>
              <w:t>1.52%</w:t>
            </w:r>
          </w:p>
        </w:tc>
        <w:tc>
          <w:tcPr>
            <w:tcW w:w="3523" w:type="dxa"/>
            <w:vAlign w:val="center"/>
          </w:tcPr>
          <w:p w14:paraId="436A2DB3" w14:textId="77777777" w:rsidR="00A97E6F" w:rsidRDefault="00A97E6F" w:rsidP="00406F1D">
            <w:pPr>
              <w:spacing w:after="0"/>
            </w:pPr>
            <w:r>
              <w:rPr>
                <w:sz w:val="13"/>
              </w:rPr>
              <w:t>Up from 1.29% a year earlier</w:t>
            </w:r>
          </w:p>
        </w:tc>
      </w:tr>
      <w:tr w:rsidR="00A97E6F" w14:paraId="6EEAC0EE" w14:textId="77777777" w:rsidTr="00406F1D">
        <w:trPr>
          <w:jc w:val="center"/>
        </w:trPr>
        <w:tc>
          <w:tcPr>
            <w:tcW w:w="3523" w:type="dxa"/>
            <w:vAlign w:val="center"/>
          </w:tcPr>
          <w:p w14:paraId="4298D198" w14:textId="77777777" w:rsidR="00A97E6F" w:rsidRDefault="00A97E6F" w:rsidP="00406F1D">
            <w:pPr>
              <w:spacing w:after="0"/>
            </w:pPr>
            <w:r>
              <w:rPr>
                <w:sz w:val="13"/>
              </w:rPr>
              <w:t>Credit-card balances</w:t>
            </w:r>
          </w:p>
        </w:tc>
        <w:tc>
          <w:tcPr>
            <w:tcW w:w="3523" w:type="dxa"/>
            <w:vAlign w:val="center"/>
          </w:tcPr>
          <w:p w14:paraId="7BAD8BCE" w14:textId="77777777" w:rsidR="00A97E6F" w:rsidRDefault="00A97E6F" w:rsidP="00406F1D">
            <w:pPr>
              <w:spacing w:after="0"/>
            </w:pPr>
            <w:r>
              <w:rPr>
                <w:sz w:val="13"/>
              </w:rPr>
              <w:t>$1.263T</w:t>
            </w:r>
          </w:p>
        </w:tc>
        <w:tc>
          <w:tcPr>
            <w:tcW w:w="3523" w:type="dxa"/>
            <w:vAlign w:val="center"/>
          </w:tcPr>
          <w:p w14:paraId="4BD96B00" w14:textId="77777777" w:rsidR="00A97E6F" w:rsidRDefault="00A97E6F" w:rsidP="00406F1D">
            <w:pPr>
              <w:spacing w:after="0"/>
            </w:pPr>
            <w:r>
              <w:rPr>
                <w:sz w:val="13"/>
              </w:rPr>
              <w:t>+$21B q/q</w:t>
            </w:r>
          </w:p>
        </w:tc>
      </w:tr>
      <w:tr w:rsidR="00A97E6F" w14:paraId="751B66DB" w14:textId="77777777" w:rsidTr="00406F1D">
        <w:trPr>
          <w:jc w:val="center"/>
        </w:trPr>
        <w:tc>
          <w:tcPr>
            <w:tcW w:w="3523" w:type="dxa"/>
            <w:vAlign w:val="center"/>
          </w:tcPr>
          <w:p w14:paraId="3EF853CF" w14:textId="77777777" w:rsidR="00A97E6F" w:rsidRDefault="00A97E6F" w:rsidP="00406F1D">
            <w:pPr>
              <w:spacing w:after="0"/>
            </w:pPr>
            <w:r>
              <w:rPr>
                <w:sz w:val="13"/>
              </w:rPr>
              <w:t>Auto-loan balances</w:t>
            </w:r>
          </w:p>
        </w:tc>
        <w:tc>
          <w:tcPr>
            <w:tcW w:w="3523" w:type="dxa"/>
            <w:vAlign w:val="center"/>
          </w:tcPr>
          <w:p w14:paraId="57B41506" w14:textId="77777777" w:rsidR="00A97E6F" w:rsidRDefault="00A97E6F" w:rsidP="00406F1D">
            <w:pPr>
              <w:spacing w:after="0"/>
            </w:pPr>
            <w:r>
              <w:rPr>
                <w:sz w:val="13"/>
              </w:rPr>
              <w:t>$1.713T</w:t>
            </w:r>
          </w:p>
        </w:tc>
        <w:tc>
          <w:tcPr>
            <w:tcW w:w="3523" w:type="dxa"/>
            <w:vAlign w:val="center"/>
          </w:tcPr>
          <w:p w14:paraId="32976571" w14:textId="77777777" w:rsidR="00A97E6F" w:rsidRDefault="00A97E6F" w:rsidP="00406F1D">
            <w:pPr>
              <w:spacing w:after="0"/>
            </w:pPr>
            <w:r>
              <w:rPr>
                <w:sz w:val="13"/>
              </w:rPr>
              <w:t>+$28B q/q</w:t>
            </w:r>
          </w:p>
        </w:tc>
      </w:tr>
      <w:tr w:rsidR="00A97E6F" w14:paraId="44B7DE1D" w14:textId="77777777" w:rsidTr="00406F1D">
        <w:trPr>
          <w:jc w:val="center"/>
        </w:trPr>
        <w:tc>
          <w:tcPr>
            <w:tcW w:w="3523" w:type="dxa"/>
            <w:vAlign w:val="center"/>
          </w:tcPr>
          <w:p w14:paraId="3745D259" w14:textId="77777777" w:rsidR="00A97E6F" w:rsidRDefault="00A97E6F" w:rsidP="00406F1D">
            <w:pPr>
              <w:spacing w:after="0"/>
            </w:pPr>
            <w:r>
              <w:rPr>
                <w:sz w:val="13"/>
              </w:rPr>
              <w:t>Credit-card early-delinquency transition</w:t>
            </w:r>
          </w:p>
        </w:tc>
        <w:tc>
          <w:tcPr>
            <w:tcW w:w="3523" w:type="dxa"/>
            <w:vAlign w:val="center"/>
          </w:tcPr>
          <w:p w14:paraId="0CA384AA" w14:textId="77777777" w:rsidR="00A97E6F" w:rsidRDefault="00A97E6F" w:rsidP="00406F1D">
            <w:pPr>
              <w:spacing w:after="0"/>
            </w:pPr>
            <w:r>
              <w:rPr>
                <w:sz w:val="13"/>
              </w:rPr>
              <w:t>Largely steady</w:t>
            </w:r>
          </w:p>
        </w:tc>
        <w:tc>
          <w:tcPr>
            <w:tcW w:w="3523" w:type="dxa"/>
            <w:vAlign w:val="center"/>
          </w:tcPr>
          <w:p w14:paraId="7825298C" w14:textId="77777777" w:rsidR="00A97E6F" w:rsidRDefault="00A97E6F" w:rsidP="00406F1D">
            <w:pPr>
              <w:spacing w:after="0"/>
            </w:pPr>
            <w:r>
              <w:rPr>
                <w:sz w:val="13"/>
              </w:rPr>
              <w:t>Still elevated in the broader recent context</w:t>
            </w:r>
          </w:p>
        </w:tc>
      </w:tr>
      <w:tr w:rsidR="00A97E6F" w14:paraId="168F1C5F" w14:textId="77777777" w:rsidTr="00406F1D">
        <w:trPr>
          <w:jc w:val="center"/>
        </w:trPr>
        <w:tc>
          <w:tcPr>
            <w:tcW w:w="3523" w:type="dxa"/>
            <w:vAlign w:val="center"/>
          </w:tcPr>
          <w:p w14:paraId="5CD0DAEC" w14:textId="77777777" w:rsidR="00A97E6F" w:rsidRDefault="00A97E6F" w:rsidP="00406F1D">
            <w:pPr>
              <w:spacing w:after="0"/>
            </w:pPr>
            <w:r>
              <w:rPr>
                <w:sz w:val="13"/>
              </w:rPr>
              <w:t xml:space="preserve">Auto </w:t>
            </w:r>
            <w:proofErr w:type="gramStart"/>
            <w:r>
              <w:rPr>
                <w:sz w:val="13"/>
              </w:rPr>
              <w:t>early-delinquency</w:t>
            </w:r>
            <w:proofErr w:type="gramEnd"/>
            <w:r>
              <w:rPr>
                <w:sz w:val="13"/>
              </w:rPr>
              <w:t xml:space="preserve"> transition</w:t>
            </w:r>
          </w:p>
        </w:tc>
        <w:tc>
          <w:tcPr>
            <w:tcW w:w="3523" w:type="dxa"/>
            <w:vAlign w:val="center"/>
          </w:tcPr>
          <w:p w14:paraId="536B6826" w14:textId="77777777" w:rsidR="00A97E6F" w:rsidRDefault="00A97E6F" w:rsidP="00406F1D">
            <w:pPr>
              <w:spacing w:after="0"/>
            </w:pPr>
            <w:r>
              <w:rPr>
                <w:sz w:val="13"/>
              </w:rPr>
              <w:t>Ticked up slightly</w:t>
            </w:r>
          </w:p>
        </w:tc>
        <w:tc>
          <w:tcPr>
            <w:tcW w:w="3523" w:type="dxa"/>
            <w:vAlign w:val="center"/>
          </w:tcPr>
          <w:p w14:paraId="5A876088" w14:textId="77777777" w:rsidR="00A97E6F" w:rsidRDefault="00A97E6F" w:rsidP="00406F1D">
            <w:pPr>
              <w:spacing w:after="0"/>
            </w:pPr>
            <w:r>
              <w:rPr>
                <w:sz w:val="13"/>
              </w:rPr>
              <w:t>Area to monitor</w:t>
            </w:r>
          </w:p>
        </w:tc>
      </w:tr>
    </w:tbl>
    <w:p w14:paraId="0B402F9F" w14:textId="77777777" w:rsidR="00A97E6F" w:rsidRDefault="00A97E6F" w:rsidP="00A97E6F">
      <w:r>
        <w:t>For the 2027 outlook, the consumer-credit channel matters because higher delinquencies can tighten lending standards before they materially weaken aggregate spending. The most useful signal is therefore not the debt total alone, but whether stress continues to spread across cards, autos and mortgages.</w:t>
      </w:r>
    </w:p>
    <w:p w14:paraId="386FA8B3" w14:textId="77777777" w:rsidR="00A97E6F" w:rsidRDefault="00A97E6F" w:rsidP="00A97E6F">
      <w:r>
        <w:rPr>
          <w:b/>
        </w:rPr>
        <w:t xml:space="preserve">Source: </w:t>
      </w:r>
      <w:r>
        <w:rPr>
          <w:i/>
          <w:sz w:val="14"/>
        </w:rPr>
        <w:t>Federal Reserve Bank of New York, Quarterly Report on Household Debt and Credit, Q2 2026, released August 11, 2026.</w:t>
      </w:r>
    </w:p>
    <w:p w14:paraId="2EA7AEE0" w14:textId="77777777" w:rsidR="00A97E6F" w:rsidRDefault="00A97E6F" w:rsidP="00A97E6F">
      <w:pPr>
        <w:jc w:val="right"/>
      </w:pPr>
      <w:proofErr w:type="spellStart"/>
      <w:r>
        <w:rPr>
          <w:color w:val="555555"/>
          <w:sz w:val="14"/>
        </w:rPr>
        <w:t>BrandEssence</w:t>
      </w:r>
      <w:proofErr w:type="spellEnd"/>
      <w:r>
        <w:rPr>
          <w:color w:val="555555"/>
          <w:sz w:val="14"/>
        </w:rPr>
        <w:t xml:space="preserve"> Economic Intelligence   |   Chapter 7: Consumer Economy   |   Page 21</w:t>
      </w:r>
    </w:p>
    <w:p w14:paraId="37772F1B" w14:textId="77777777" w:rsidR="00B03DB7" w:rsidRDefault="00B03DB7" w:rsidP="00B03DB7">
      <w:r>
        <w:rPr>
          <w:b/>
          <w:color w:val="555555"/>
          <w:sz w:val="15"/>
        </w:rPr>
        <w:lastRenderedPageBreak/>
        <w:t xml:space="preserve">CHAPTER </w:t>
      </w:r>
      <w:proofErr w:type="gramStart"/>
      <w:r>
        <w:rPr>
          <w:b/>
          <w:color w:val="555555"/>
          <w:sz w:val="15"/>
        </w:rPr>
        <w:t>09  /</w:t>
      </w:r>
      <w:proofErr w:type="gramEnd"/>
      <w:r>
        <w:rPr>
          <w:b/>
          <w:color w:val="555555"/>
          <w:sz w:val="15"/>
        </w:rPr>
        <w:t xml:space="preserve">  INDUSTRIAL &amp; MANUFACTURING ECONOMY</w:t>
      </w:r>
    </w:p>
    <w:p w14:paraId="7256DFEB" w14:textId="77777777" w:rsidR="00B03DB7" w:rsidRDefault="00B03DB7" w:rsidP="00B03DB7">
      <w:pPr>
        <w:pStyle w:val="Heading1"/>
      </w:pPr>
      <w:r>
        <w:t>27. Industrial Production</w:t>
      </w:r>
    </w:p>
    <w:p w14:paraId="09D934A8" w14:textId="77777777" w:rsidR="00B03DB7" w:rsidRDefault="00B03DB7" w:rsidP="00B03DB7">
      <w:r>
        <w:rPr>
          <w:i/>
          <w:color w:val="555555"/>
        </w:rPr>
        <w:t>Total Industrial Production | Current Manufacturing Cycle</w:t>
      </w:r>
    </w:p>
    <w:p w14:paraId="6CC5D54A" w14:textId="77777777" w:rsidR="00B03DB7" w:rsidRDefault="00B03DB7" w:rsidP="00B03DB7">
      <w:r>
        <w:t>Industrial activity has been broadly flat through the middle of 2026. Output has not fallen sharply, but it has also struggled to build sustained momentum. That makes the current industrial cycle look more like a period of consolidation than a broad manufacturing downturn.</w:t>
      </w:r>
    </w:p>
    <w:p w14:paraId="7C9463ED" w14:textId="77777777" w:rsidR="00B03DB7" w:rsidRDefault="00B03DB7" w:rsidP="00B03DB7">
      <w:pPr>
        <w:jc w:val="center"/>
      </w:pPr>
      <w:r>
        <w:rPr>
          <w:noProof/>
        </w:rPr>
        <w:drawing>
          <wp:inline distT="0" distB="0" distL="0" distR="0" wp14:anchorId="2FD043EE" wp14:editId="63CABB27">
            <wp:extent cx="5394960" cy="2569029"/>
            <wp:effectExtent l="0" t="0" r="0" b="0"/>
            <wp:docPr id="803092513" name="Picture 80309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png"/>
                    <pic:cNvPicPr/>
                  </pic:nvPicPr>
                  <pic:blipFill>
                    <a:blip r:embed="rId58"/>
                    <a:stretch>
                      <a:fillRect/>
                    </a:stretch>
                  </pic:blipFill>
                  <pic:spPr>
                    <a:xfrm>
                      <a:off x="0" y="0"/>
                      <a:ext cx="5394960" cy="2569029"/>
                    </a:xfrm>
                    <a:prstGeom prst="rect">
                      <a:avLst/>
                    </a:prstGeom>
                  </pic:spPr>
                </pic:pic>
              </a:graphicData>
            </a:graphic>
          </wp:inline>
        </w:drawing>
      </w:r>
    </w:p>
    <w:p w14:paraId="63CA789A" w14:textId="77777777" w:rsidR="00B03DB7" w:rsidRDefault="00B03DB7" w:rsidP="00B03DB7">
      <w:r>
        <w:rPr>
          <w:b/>
          <w:color w:val="1F3756"/>
        </w:rPr>
      </w:r>
      <w:r>
        <w:t xml:space="preserve">Industrial production has moved within a narrow range in recent months. The lack of a strong upward move suggests demand is still uneven, while the absence of a sharp decline points to underlying resilience. For the broader economy, industry is currently </w:t>
      </w:r>
      <w:proofErr w:type="gramStart"/>
      <w:r>
        <w:t xml:space="preserve">a </w:t>
      </w:r>
      <w:proofErr w:type="spellStart"/>
      <w:r>
        <w:t>stabilising</w:t>
      </w:r>
      <w:proofErr w:type="spellEnd"/>
      <w:proofErr w:type="gramEnd"/>
      <w:r>
        <w:t xml:space="preserve"> rather than </w:t>
      </w:r>
      <w:proofErr w:type="gramStart"/>
      <w:r>
        <w:t>a leading</w:t>
      </w:r>
      <w:proofErr w:type="gramEnd"/>
      <w:r>
        <w:t xml:space="preserve"> growth engine.</w:t>
      </w:r>
    </w:p>
    <w:tbl>
      <w:tblPr>
        <w:tblW w:w="0" w:type="auto"/>
        <w:jc w:val="center"/>
        <w:tblLook w:val="04A0" w:firstRow="1" w:lastRow="0" w:firstColumn="1" w:lastColumn="0" w:noHBand="0" w:noVBand="1"/>
      </w:tblPr>
      <w:tblGrid>
        <w:gridCol w:w="2595"/>
        <w:gridCol w:w="2589"/>
        <w:gridCol w:w="2588"/>
        <w:gridCol w:w="2596"/>
      </w:tblGrid>
      <w:tr w:rsidR="00B03DB7" w14:paraId="25F21607" w14:textId="77777777" w:rsidTr="00406F1D">
        <w:trPr>
          <w:jc w:val="center"/>
        </w:trPr>
        <w:tc>
          <w:tcPr>
            <w:tcW w:w="2642" w:type="dxa"/>
            <w:shd w:val="clear" w:color="auto" w:fill="1F3756"/>
          </w:tcPr>
          <w:p w14:paraId="69818F5F" w14:textId="77777777" w:rsidR="00B03DB7" w:rsidRDefault="00B03DB7" w:rsidP="00406F1D">
            <w:r>
              <w:rPr>
                <w:b/>
                <w:color w:val="FFFFFF"/>
                <w:sz w:val="13"/>
              </w:rPr>
              <w:t>Indicator</w:t>
            </w:r>
          </w:p>
        </w:tc>
        <w:tc>
          <w:tcPr>
            <w:tcW w:w="2642" w:type="dxa"/>
            <w:shd w:val="clear" w:color="auto" w:fill="1F3756"/>
          </w:tcPr>
          <w:p w14:paraId="2A663124" w14:textId="77777777" w:rsidR="00B03DB7" w:rsidRDefault="00B03DB7" w:rsidP="00406F1D">
            <w:r>
              <w:rPr>
                <w:b/>
                <w:color w:val="FFFFFF"/>
                <w:sz w:val="13"/>
              </w:rPr>
              <w:t>Latest</w:t>
            </w:r>
          </w:p>
        </w:tc>
        <w:tc>
          <w:tcPr>
            <w:tcW w:w="2642" w:type="dxa"/>
            <w:shd w:val="clear" w:color="auto" w:fill="1F3756"/>
          </w:tcPr>
          <w:p w14:paraId="2D77EEB2" w14:textId="77777777" w:rsidR="00B03DB7" w:rsidRDefault="00B03DB7" w:rsidP="00406F1D">
            <w:r>
              <w:rPr>
                <w:b/>
                <w:color w:val="FFFFFF"/>
                <w:sz w:val="13"/>
              </w:rPr>
              <w:t>Period</w:t>
            </w:r>
          </w:p>
        </w:tc>
        <w:tc>
          <w:tcPr>
            <w:tcW w:w="2642" w:type="dxa"/>
            <w:shd w:val="clear" w:color="auto" w:fill="1F3756"/>
          </w:tcPr>
          <w:p w14:paraId="6D0CFA7A" w14:textId="77777777" w:rsidR="00B03DB7" w:rsidRDefault="00B03DB7" w:rsidP="00406F1D">
            <w:r>
              <w:rPr>
                <w:b/>
                <w:color w:val="FFFFFF"/>
                <w:sz w:val="13"/>
              </w:rPr>
              <w:t>Reading</w:t>
            </w:r>
          </w:p>
        </w:tc>
      </w:tr>
      <w:tr w:rsidR="00B03DB7" w14:paraId="65B8F3E9" w14:textId="77777777" w:rsidTr="00406F1D">
        <w:trPr>
          <w:jc w:val="center"/>
        </w:trPr>
        <w:tc>
          <w:tcPr>
            <w:tcW w:w="2642" w:type="dxa"/>
            <w:vAlign w:val="center"/>
          </w:tcPr>
          <w:p w14:paraId="5343E02F" w14:textId="77777777" w:rsidR="00B03DB7" w:rsidRDefault="00B03DB7" w:rsidP="00406F1D">
            <w:pPr>
              <w:spacing w:after="0"/>
            </w:pPr>
            <w:r>
              <w:rPr>
                <w:sz w:val="13"/>
              </w:rPr>
              <w:t>Total industrial production</w:t>
            </w:r>
          </w:p>
        </w:tc>
        <w:tc>
          <w:tcPr>
            <w:tcW w:w="2642" w:type="dxa"/>
            <w:vAlign w:val="center"/>
          </w:tcPr>
          <w:p w14:paraId="6DFC5C83" w14:textId="77777777" w:rsidR="00B03DB7" w:rsidRDefault="00B03DB7" w:rsidP="00406F1D">
            <w:pPr>
              <w:spacing w:after="0"/>
            </w:pPr>
            <w:r>
              <w:rPr>
                <w:sz w:val="13"/>
              </w:rPr>
              <w:t>100.5</w:t>
            </w:r>
          </w:p>
        </w:tc>
        <w:tc>
          <w:tcPr>
            <w:tcW w:w="2642" w:type="dxa"/>
            <w:vAlign w:val="center"/>
          </w:tcPr>
          <w:p w14:paraId="05760DF2" w14:textId="77777777" w:rsidR="00B03DB7" w:rsidRDefault="00B03DB7" w:rsidP="00406F1D">
            <w:pPr>
              <w:spacing w:after="0"/>
            </w:pPr>
            <w:r>
              <w:rPr>
                <w:sz w:val="13"/>
              </w:rPr>
              <w:t>Jul 2026</w:t>
            </w:r>
          </w:p>
        </w:tc>
        <w:tc>
          <w:tcPr>
            <w:tcW w:w="2642" w:type="dxa"/>
            <w:vAlign w:val="center"/>
          </w:tcPr>
          <w:p w14:paraId="1D01B63D" w14:textId="77777777" w:rsidR="00B03DB7" w:rsidRDefault="00B03DB7" w:rsidP="00406F1D">
            <w:pPr>
              <w:spacing w:after="0"/>
            </w:pPr>
            <w:r>
              <w:rPr>
                <w:sz w:val="13"/>
              </w:rPr>
              <w:t>2017=100</w:t>
            </w:r>
          </w:p>
        </w:tc>
      </w:tr>
      <w:tr w:rsidR="00B03DB7" w14:paraId="34950E0F" w14:textId="77777777" w:rsidTr="00406F1D">
        <w:trPr>
          <w:jc w:val="center"/>
        </w:trPr>
        <w:tc>
          <w:tcPr>
            <w:tcW w:w="2642" w:type="dxa"/>
            <w:vAlign w:val="center"/>
          </w:tcPr>
          <w:p w14:paraId="037222DD" w14:textId="77777777" w:rsidR="00B03DB7" w:rsidRDefault="00B03DB7" w:rsidP="00406F1D">
            <w:pPr>
              <w:spacing w:after="0"/>
            </w:pPr>
            <w:r>
              <w:rPr>
                <w:sz w:val="13"/>
              </w:rPr>
              <w:t>Monthly change</w:t>
            </w:r>
          </w:p>
        </w:tc>
        <w:tc>
          <w:tcPr>
            <w:tcW w:w="2642" w:type="dxa"/>
            <w:vAlign w:val="center"/>
          </w:tcPr>
          <w:p w14:paraId="4CB03D5E" w14:textId="77777777" w:rsidR="00B03DB7" w:rsidRDefault="00B03DB7" w:rsidP="00406F1D">
            <w:pPr>
              <w:spacing w:after="0"/>
            </w:pPr>
            <w:r>
              <w:rPr>
                <w:sz w:val="13"/>
              </w:rPr>
              <w:t>+0.1%</w:t>
            </w:r>
          </w:p>
        </w:tc>
        <w:tc>
          <w:tcPr>
            <w:tcW w:w="2642" w:type="dxa"/>
            <w:vAlign w:val="center"/>
          </w:tcPr>
          <w:p w14:paraId="202F2B1F" w14:textId="77777777" w:rsidR="00B03DB7" w:rsidRDefault="00B03DB7" w:rsidP="00406F1D">
            <w:pPr>
              <w:spacing w:after="0"/>
            </w:pPr>
            <w:r>
              <w:rPr>
                <w:sz w:val="13"/>
              </w:rPr>
              <w:t>Jul 2026</w:t>
            </w:r>
          </w:p>
        </w:tc>
        <w:tc>
          <w:tcPr>
            <w:tcW w:w="2642" w:type="dxa"/>
            <w:vAlign w:val="center"/>
          </w:tcPr>
          <w:p w14:paraId="4C961449" w14:textId="77777777" w:rsidR="00B03DB7" w:rsidRDefault="00B03DB7" w:rsidP="00406F1D">
            <w:pPr>
              <w:spacing w:after="0"/>
            </w:pPr>
            <w:r>
              <w:rPr>
                <w:sz w:val="13"/>
              </w:rPr>
              <w:t>Modest increase</w:t>
            </w:r>
          </w:p>
        </w:tc>
      </w:tr>
      <w:tr w:rsidR="00B03DB7" w14:paraId="7ED4C48C" w14:textId="77777777" w:rsidTr="00406F1D">
        <w:trPr>
          <w:jc w:val="center"/>
        </w:trPr>
        <w:tc>
          <w:tcPr>
            <w:tcW w:w="2642" w:type="dxa"/>
            <w:vAlign w:val="center"/>
          </w:tcPr>
          <w:p w14:paraId="5549319C" w14:textId="77777777" w:rsidR="00B03DB7" w:rsidRDefault="00B03DB7" w:rsidP="00406F1D">
            <w:pPr>
              <w:spacing w:after="0"/>
            </w:pPr>
            <w:r>
              <w:rPr>
                <w:sz w:val="13"/>
              </w:rPr>
              <w:t>Year-over-year change</w:t>
            </w:r>
          </w:p>
        </w:tc>
        <w:tc>
          <w:tcPr>
            <w:tcW w:w="2642" w:type="dxa"/>
            <w:vAlign w:val="center"/>
          </w:tcPr>
          <w:p w14:paraId="7401178B" w14:textId="77777777" w:rsidR="00B03DB7" w:rsidRDefault="00B03DB7" w:rsidP="00406F1D">
            <w:pPr>
              <w:spacing w:after="0"/>
            </w:pPr>
            <w:r>
              <w:rPr>
                <w:sz w:val="13"/>
              </w:rPr>
              <w:t>Positive</w:t>
            </w:r>
          </w:p>
        </w:tc>
        <w:tc>
          <w:tcPr>
            <w:tcW w:w="2642" w:type="dxa"/>
            <w:vAlign w:val="center"/>
          </w:tcPr>
          <w:p w14:paraId="68F12295" w14:textId="77777777" w:rsidR="00B03DB7" w:rsidRDefault="00B03DB7" w:rsidP="00406F1D">
            <w:pPr>
              <w:spacing w:after="0"/>
            </w:pPr>
            <w:r>
              <w:rPr>
                <w:sz w:val="13"/>
              </w:rPr>
              <w:t>Jul 2026</w:t>
            </w:r>
          </w:p>
        </w:tc>
        <w:tc>
          <w:tcPr>
            <w:tcW w:w="2642" w:type="dxa"/>
            <w:vAlign w:val="center"/>
          </w:tcPr>
          <w:p w14:paraId="05C8AE56" w14:textId="77777777" w:rsidR="00B03DB7" w:rsidRDefault="00B03DB7" w:rsidP="00406F1D">
            <w:pPr>
              <w:spacing w:after="0"/>
            </w:pPr>
            <w:r>
              <w:rPr>
                <w:sz w:val="13"/>
              </w:rPr>
              <w:t>Output above year-earlier level</w:t>
            </w:r>
          </w:p>
        </w:tc>
      </w:tr>
      <w:tr w:rsidR="00B03DB7" w14:paraId="1B866EC0" w14:textId="77777777" w:rsidTr="00406F1D">
        <w:trPr>
          <w:jc w:val="center"/>
        </w:trPr>
        <w:tc>
          <w:tcPr>
            <w:tcW w:w="2642" w:type="dxa"/>
            <w:vAlign w:val="center"/>
          </w:tcPr>
          <w:p w14:paraId="43852E9D" w14:textId="77777777" w:rsidR="00B03DB7" w:rsidRDefault="00B03DB7" w:rsidP="00406F1D">
            <w:pPr>
              <w:spacing w:after="0"/>
            </w:pPr>
            <w:r>
              <w:rPr>
                <w:sz w:val="13"/>
              </w:rPr>
              <w:t>Mining</w:t>
            </w:r>
          </w:p>
        </w:tc>
        <w:tc>
          <w:tcPr>
            <w:tcW w:w="2642" w:type="dxa"/>
            <w:vAlign w:val="center"/>
          </w:tcPr>
          <w:p w14:paraId="675A0B55" w14:textId="77777777" w:rsidR="00B03DB7" w:rsidRDefault="00B03DB7" w:rsidP="00406F1D">
            <w:pPr>
              <w:spacing w:after="0"/>
            </w:pPr>
            <w:r>
              <w:rPr>
                <w:sz w:val="13"/>
              </w:rPr>
              <w:t>Mixed</w:t>
            </w:r>
          </w:p>
        </w:tc>
        <w:tc>
          <w:tcPr>
            <w:tcW w:w="2642" w:type="dxa"/>
            <w:vAlign w:val="center"/>
          </w:tcPr>
          <w:p w14:paraId="0471B4F8" w14:textId="77777777" w:rsidR="00B03DB7" w:rsidRDefault="00B03DB7" w:rsidP="00406F1D">
            <w:pPr>
              <w:spacing w:after="0"/>
            </w:pPr>
            <w:r>
              <w:rPr>
                <w:sz w:val="13"/>
              </w:rPr>
              <w:t>Jul 2026</w:t>
            </w:r>
          </w:p>
        </w:tc>
        <w:tc>
          <w:tcPr>
            <w:tcW w:w="2642" w:type="dxa"/>
            <w:vAlign w:val="center"/>
          </w:tcPr>
          <w:p w14:paraId="19382F97" w14:textId="77777777" w:rsidR="00B03DB7" w:rsidRDefault="00B03DB7" w:rsidP="00406F1D">
            <w:pPr>
              <w:spacing w:after="0"/>
            </w:pPr>
            <w:r>
              <w:rPr>
                <w:sz w:val="13"/>
              </w:rPr>
              <w:t>Commodity-sensitive</w:t>
            </w:r>
          </w:p>
        </w:tc>
      </w:tr>
      <w:tr w:rsidR="00B03DB7" w14:paraId="5CFDEA6F" w14:textId="77777777" w:rsidTr="00406F1D">
        <w:trPr>
          <w:jc w:val="center"/>
        </w:trPr>
        <w:tc>
          <w:tcPr>
            <w:tcW w:w="2642" w:type="dxa"/>
            <w:vAlign w:val="center"/>
          </w:tcPr>
          <w:p w14:paraId="0F538CC0" w14:textId="77777777" w:rsidR="00B03DB7" w:rsidRDefault="00B03DB7" w:rsidP="00406F1D">
            <w:pPr>
              <w:spacing w:after="0"/>
            </w:pPr>
            <w:r>
              <w:rPr>
                <w:sz w:val="13"/>
              </w:rPr>
              <w:t>Utilities</w:t>
            </w:r>
          </w:p>
        </w:tc>
        <w:tc>
          <w:tcPr>
            <w:tcW w:w="2642" w:type="dxa"/>
            <w:vAlign w:val="center"/>
          </w:tcPr>
          <w:p w14:paraId="134B62CA" w14:textId="77777777" w:rsidR="00B03DB7" w:rsidRDefault="00B03DB7" w:rsidP="00406F1D">
            <w:pPr>
              <w:spacing w:after="0"/>
            </w:pPr>
            <w:r>
              <w:rPr>
                <w:sz w:val="13"/>
              </w:rPr>
              <w:t>Volatile</w:t>
            </w:r>
          </w:p>
        </w:tc>
        <w:tc>
          <w:tcPr>
            <w:tcW w:w="2642" w:type="dxa"/>
            <w:vAlign w:val="center"/>
          </w:tcPr>
          <w:p w14:paraId="4E19AC55" w14:textId="77777777" w:rsidR="00B03DB7" w:rsidRDefault="00B03DB7" w:rsidP="00406F1D">
            <w:pPr>
              <w:spacing w:after="0"/>
            </w:pPr>
            <w:r>
              <w:rPr>
                <w:sz w:val="13"/>
              </w:rPr>
              <w:t>Jul 2026</w:t>
            </w:r>
          </w:p>
        </w:tc>
        <w:tc>
          <w:tcPr>
            <w:tcW w:w="2642" w:type="dxa"/>
            <w:vAlign w:val="center"/>
          </w:tcPr>
          <w:p w14:paraId="49F5279F" w14:textId="77777777" w:rsidR="00B03DB7" w:rsidRDefault="00B03DB7" w:rsidP="00406F1D">
            <w:pPr>
              <w:spacing w:after="0"/>
            </w:pPr>
            <w:r>
              <w:rPr>
                <w:sz w:val="13"/>
              </w:rPr>
              <w:t>Weather-sensitive</w:t>
            </w:r>
          </w:p>
        </w:tc>
      </w:tr>
    </w:tbl>
    <w:p w14:paraId="14177ED7" w14:textId="77777777" w:rsidR="00B03DB7" w:rsidRDefault="00B03DB7" w:rsidP="00B03DB7">
      <w:r>
        <w:rPr>
          <w:b/>
        </w:rPr>
        <w:t xml:space="preserve">Source: </w:t>
      </w:r>
      <w:r>
        <w:rPr>
          <w:i/>
          <w:sz w:val="14"/>
        </w:rPr>
        <w:t>Federal Reserve, Industrial Production and Capacity Utilization (G.17), August 2026 release.</w:t>
      </w:r>
    </w:p>
    <w:p w14:paraId="6469C1C4"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9   |   Page 27</w:t>
      </w:r>
    </w:p>
    <w:p w14:paraId="483B56DE" w14:textId="77777777" w:rsidR="00B03DB7" w:rsidRDefault="00B03DB7" w:rsidP="00B03DB7">
      <w:r>
        <w:br w:type="page"/>
      </w:r>
    </w:p>
    <w:p w14:paraId="2780543F" w14:textId="77777777" w:rsidR="00B03DB7" w:rsidRDefault="00B03DB7" w:rsidP="00B03DB7">
      <w:r>
        <w:rPr>
          <w:b/>
          <w:color w:val="555555"/>
          <w:sz w:val="15"/>
        </w:rPr>
        <w:lastRenderedPageBreak/>
        <w:t xml:space="preserve">CHAPTER </w:t>
      </w:r>
      <w:proofErr w:type="gramStart"/>
      <w:r>
        <w:rPr>
          <w:b/>
          <w:color w:val="555555"/>
          <w:sz w:val="15"/>
        </w:rPr>
        <w:t>09  /</w:t>
      </w:r>
      <w:proofErr w:type="gramEnd"/>
      <w:r>
        <w:rPr>
          <w:b/>
          <w:color w:val="555555"/>
          <w:sz w:val="15"/>
        </w:rPr>
        <w:t xml:space="preserve">  INDUSTRIAL &amp; MANUFACTURING ECONOMY</w:t>
      </w:r>
    </w:p>
    <w:p w14:paraId="012CC750" w14:textId="77777777" w:rsidR="00B03DB7" w:rsidRDefault="00B03DB7" w:rsidP="00B03DB7">
      <w:pPr>
        <w:pStyle w:val="Heading1"/>
      </w:pPr>
      <w:r>
        <w:t>28. Manufacturing Outlook</w:t>
      </w:r>
    </w:p>
    <w:p w14:paraId="2DE6F40C" w14:textId="77777777" w:rsidR="00B03DB7" w:rsidRDefault="00B03DB7" w:rsidP="00B03DB7">
      <w:r>
        <w:rPr>
          <w:i/>
          <w:color w:val="555555"/>
        </w:rPr>
        <w:t>Manufacturing Activity | Output, Demand and Investment</w:t>
      </w:r>
    </w:p>
    <w:p w14:paraId="102D3BBE" w14:textId="77777777" w:rsidR="00B03DB7" w:rsidRDefault="00B03DB7" w:rsidP="00B03DB7">
      <w:r>
        <w:t xml:space="preserve">Manufacturing remains mixed rather than uniformly weak. Traditional factory activity is still sensitive to rates and global demand, while technology, </w:t>
      </w:r>
      <w:proofErr w:type="spellStart"/>
      <w:r>
        <w:t>defence</w:t>
      </w:r>
      <w:proofErr w:type="spellEnd"/>
      <w:r>
        <w:t>, energy and supply-chain investment are supporting selected industries. The result is a two-speed manufacturing environment.</w:t>
      </w:r>
    </w:p>
    <w:p w14:paraId="32599CA9" w14:textId="77777777" w:rsidR="00B03DB7" w:rsidRDefault="00B03DB7" w:rsidP="00B03DB7">
      <w:pPr>
        <w:jc w:val="center"/>
      </w:pPr>
      <w:r>
        <w:rPr>
          <w:noProof/>
        </w:rPr>
        <w:drawing>
          <wp:inline distT="0" distB="0" distL="0" distR="0" wp14:anchorId="737AC21F" wp14:editId="4776223C">
            <wp:extent cx="5669280" cy="1567416"/>
            <wp:effectExtent l="0" t="0" r="0" b="0"/>
            <wp:docPr id="368098247" name="Picture 36809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g_dash.png"/>
                    <pic:cNvPicPr/>
                  </pic:nvPicPr>
                  <pic:blipFill>
                    <a:blip r:embed="rId59"/>
                    <a:stretch>
                      <a:fillRect/>
                    </a:stretch>
                  </pic:blipFill>
                  <pic:spPr>
                    <a:xfrm>
                      <a:off x="0" y="0"/>
                      <a:ext cx="5669280" cy="1567416"/>
                    </a:xfrm>
                    <a:prstGeom prst="rect">
                      <a:avLst/>
                    </a:prstGeom>
                  </pic:spPr>
                </pic:pic>
              </a:graphicData>
            </a:graphic>
          </wp:inline>
        </w:drawing>
      </w:r>
    </w:p>
    <w:p w14:paraId="32DBDD2B" w14:textId="77777777" w:rsidR="00B03DB7" w:rsidRDefault="00B03DB7" w:rsidP="00B03DB7">
      <w:pPr>
        <w:jc w:val="center"/>
      </w:pPr>
      <w:r>
        <w:rPr>
          <w:noProof/>
        </w:rPr>
        <w:drawing>
          <wp:inline distT="0" distB="0" distL="0" distR="0" wp14:anchorId="1A0C451F" wp14:editId="63C46A43">
            <wp:extent cx="5212080" cy="2481943"/>
            <wp:effectExtent l="0" t="0" r="0" b="0"/>
            <wp:docPr id="928494245" name="Picture 92849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g.png"/>
                    <pic:cNvPicPr/>
                  </pic:nvPicPr>
                  <pic:blipFill>
                    <a:blip r:embed="rId60"/>
                    <a:stretch>
                      <a:fillRect/>
                    </a:stretch>
                  </pic:blipFill>
                  <pic:spPr>
                    <a:xfrm>
                      <a:off x="0" y="0"/>
                      <a:ext cx="5212080" cy="2481943"/>
                    </a:xfrm>
                    <a:prstGeom prst="rect">
                      <a:avLst/>
                    </a:prstGeom>
                  </pic:spPr>
                </pic:pic>
              </a:graphicData>
            </a:graphic>
          </wp:inline>
        </w:drawing>
      </w:r>
    </w:p>
    <w:p w14:paraId="37C08DAE" w14:textId="77777777" w:rsidR="00B03DB7" w:rsidRDefault="00B03DB7" w:rsidP="00B03DB7">
      <w:r>
        <w:rPr>
          <w:b/>
          <w:color w:val="1F3756"/>
        </w:rPr>
      </w:r>
      <w:r>
        <w:t>Manufacturing output has been relatively flat, which confirms that the sector is not yet in a broad acceleration. The more constructive part of the outlook comes from investment-led industries rather than from a general rise in factory demand. That distinction matters when assessing sector opportunities.</w:t>
      </w:r>
    </w:p>
    <w:tbl>
      <w:tblPr>
        <w:tblW w:w="0" w:type="auto"/>
        <w:jc w:val="center"/>
        <w:tblLook w:val="04A0" w:firstRow="1" w:lastRow="0" w:firstColumn="1" w:lastColumn="0" w:noHBand="0" w:noVBand="1"/>
      </w:tblPr>
      <w:tblGrid>
        <w:gridCol w:w="3456"/>
        <w:gridCol w:w="3445"/>
        <w:gridCol w:w="3467"/>
      </w:tblGrid>
      <w:tr w:rsidR="00B03DB7" w14:paraId="6B0F64EF" w14:textId="77777777" w:rsidTr="00406F1D">
        <w:trPr>
          <w:jc w:val="center"/>
        </w:trPr>
        <w:tc>
          <w:tcPr>
            <w:tcW w:w="3523" w:type="dxa"/>
            <w:shd w:val="clear" w:color="auto" w:fill="1F3756"/>
          </w:tcPr>
          <w:p w14:paraId="7108203E" w14:textId="77777777" w:rsidR="00B03DB7" w:rsidRDefault="00B03DB7" w:rsidP="00406F1D">
            <w:r>
              <w:rPr>
                <w:b/>
                <w:color w:val="FFFFFF"/>
                <w:sz w:val="13"/>
              </w:rPr>
              <w:t>Manufacturing signal</w:t>
            </w:r>
          </w:p>
        </w:tc>
        <w:tc>
          <w:tcPr>
            <w:tcW w:w="3523" w:type="dxa"/>
            <w:shd w:val="clear" w:color="auto" w:fill="1F3756"/>
          </w:tcPr>
          <w:p w14:paraId="5FC9CC61" w14:textId="77777777" w:rsidR="00B03DB7" w:rsidRDefault="00B03DB7" w:rsidP="00406F1D">
            <w:r>
              <w:rPr>
                <w:b/>
                <w:color w:val="FFFFFF"/>
                <w:sz w:val="13"/>
              </w:rPr>
              <w:t>Current reading</w:t>
            </w:r>
          </w:p>
        </w:tc>
        <w:tc>
          <w:tcPr>
            <w:tcW w:w="3523" w:type="dxa"/>
            <w:shd w:val="clear" w:color="auto" w:fill="1F3756"/>
          </w:tcPr>
          <w:p w14:paraId="5BB287C5" w14:textId="77777777" w:rsidR="00B03DB7" w:rsidRDefault="00B03DB7" w:rsidP="00406F1D">
            <w:r>
              <w:rPr>
                <w:b/>
                <w:color w:val="FFFFFF"/>
                <w:sz w:val="13"/>
              </w:rPr>
              <w:t>Interpretation</w:t>
            </w:r>
          </w:p>
        </w:tc>
      </w:tr>
      <w:tr w:rsidR="00B03DB7" w14:paraId="07230590" w14:textId="77777777" w:rsidTr="00406F1D">
        <w:trPr>
          <w:jc w:val="center"/>
        </w:trPr>
        <w:tc>
          <w:tcPr>
            <w:tcW w:w="3523" w:type="dxa"/>
            <w:vAlign w:val="center"/>
          </w:tcPr>
          <w:p w14:paraId="48A012E5" w14:textId="77777777" w:rsidR="00B03DB7" w:rsidRDefault="00B03DB7" w:rsidP="00406F1D">
            <w:pPr>
              <w:spacing w:after="0"/>
            </w:pPr>
            <w:r>
              <w:rPr>
                <w:sz w:val="13"/>
              </w:rPr>
              <w:t>Manufacturing output index</w:t>
            </w:r>
          </w:p>
        </w:tc>
        <w:tc>
          <w:tcPr>
            <w:tcW w:w="3523" w:type="dxa"/>
            <w:vAlign w:val="center"/>
          </w:tcPr>
          <w:p w14:paraId="4001AE96" w14:textId="77777777" w:rsidR="00B03DB7" w:rsidRDefault="00B03DB7" w:rsidP="00406F1D">
            <w:pPr>
              <w:spacing w:after="0"/>
            </w:pPr>
            <w:r>
              <w:rPr>
                <w:sz w:val="13"/>
              </w:rPr>
              <w:t>99.4</w:t>
            </w:r>
          </w:p>
        </w:tc>
        <w:tc>
          <w:tcPr>
            <w:tcW w:w="3523" w:type="dxa"/>
            <w:vAlign w:val="center"/>
          </w:tcPr>
          <w:p w14:paraId="1B9390B4" w14:textId="77777777" w:rsidR="00B03DB7" w:rsidRDefault="00B03DB7" w:rsidP="00406F1D">
            <w:pPr>
              <w:spacing w:after="0"/>
            </w:pPr>
            <w:r>
              <w:rPr>
                <w:sz w:val="13"/>
              </w:rPr>
              <w:t>Broad activity remains subdued</w:t>
            </w:r>
          </w:p>
        </w:tc>
      </w:tr>
      <w:tr w:rsidR="00B03DB7" w14:paraId="6343A8BE" w14:textId="77777777" w:rsidTr="00406F1D">
        <w:trPr>
          <w:jc w:val="center"/>
        </w:trPr>
        <w:tc>
          <w:tcPr>
            <w:tcW w:w="3523" w:type="dxa"/>
            <w:vAlign w:val="center"/>
          </w:tcPr>
          <w:p w14:paraId="65991351" w14:textId="77777777" w:rsidR="00B03DB7" w:rsidRDefault="00B03DB7" w:rsidP="00406F1D">
            <w:pPr>
              <w:spacing w:after="0"/>
            </w:pPr>
            <w:r>
              <w:rPr>
                <w:sz w:val="13"/>
              </w:rPr>
              <w:t>Capacity utilization</w:t>
            </w:r>
          </w:p>
        </w:tc>
        <w:tc>
          <w:tcPr>
            <w:tcW w:w="3523" w:type="dxa"/>
            <w:vAlign w:val="center"/>
          </w:tcPr>
          <w:p w14:paraId="3C86F87F" w14:textId="77777777" w:rsidR="00B03DB7" w:rsidRDefault="00B03DB7" w:rsidP="00406F1D">
            <w:pPr>
              <w:spacing w:after="0"/>
            </w:pPr>
            <w:r>
              <w:rPr>
                <w:sz w:val="13"/>
              </w:rPr>
              <w:t>76.7%</w:t>
            </w:r>
          </w:p>
        </w:tc>
        <w:tc>
          <w:tcPr>
            <w:tcW w:w="3523" w:type="dxa"/>
            <w:vAlign w:val="center"/>
          </w:tcPr>
          <w:p w14:paraId="20F7F376" w14:textId="77777777" w:rsidR="00B03DB7" w:rsidRDefault="00B03DB7" w:rsidP="00406F1D">
            <w:pPr>
              <w:spacing w:after="0"/>
            </w:pPr>
            <w:r>
              <w:rPr>
                <w:sz w:val="13"/>
              </w:rPr>
              <w:t>Below full-pressure conditions</w:t>
            </w:r>
          </w:p>
        </w:tc>
      </w:tr>
      <w:tr w:rsidR="00B03DB7" w14:paraId="45AD3C97" w14:textId="77777777" w:rsidTr="00406F1D">
        <w:trPr>
          <w:jc w:val="center"/>
        </w:trPr>
        <w:tc>
          <w:tcPr>
            <w:tcW w:w="3523" w:type="dxa"/>
            <w:vAlign w:val="center"/>
          </w:tcPr>
          <w:p w14:paraId="35AD67AD" w14:textId="77777777" w:rsidR="00B03DB7" w:rsidRDefault="00B03DB7" w:rsidP="00406F1D">
            <w:pPr>
              <w:spacing w:after="0"/>
            </w:pPr>
            <w:r>
              <w:rPr>
                <w:sz w:val="13"/>
              </w:rPr>
              <w:t>Technology-linked capex</w:t>
            </w:r>
          </w:p>
        </w:tc>
        <w:tc>
          <w:tcPr>
            <w:tcW w:w="3523" w:type="dxa"/>
            <w:vAlign w:val="center"/>
          </w:tcPr>
          <w:p w14:paraId="586F2BD7" w14:textId="77777777" w:rsidR="00B03DB7" w:rsidRDefault="00B03DB7" w:rsidP="00406F1D">
            <w:pPr>
              <w:spacing w:after="0"/>
            </w:pPr>
            <w:r>
              <w:rPr>
                <w:sz w:val="13"/>
              </w:rPr>
              <w:t>Strong</w:t>
            </w:r>
          </w:p>
        </w:tc>
        <w:tc>
          <w:tcPr>
            <w:tcW w:w="3523" w:type="dxa"/>
            <w:vAlign w:val="center"/>
          </w:tcPr>
          <w:p w14:paraId="3BF1C8B3" w14:textId="77777777" w:rsidR="00B03DB7" w:rsidRDefault="00B03DB7" w:rsidP="00406F1D">
            <w:pPr>
              <w:spacing w:after="0"/>
            </w:pPr>
            <w:r>
              <w:rPr>
                <w:sz w:val="13"/>
              </w:rPr>
              <w:t>Supports machinery/electronics demand</w:t>
            </w:r>
          </w:p>
        </w:tc>
      </w:tr>
      <w:tr w:rsidR="00B03DB7" w14:paraId="372B5663" w14:textId="77777777" w:rsidTr="00406F1D">
        <w:trPr>
          <w:jc w:val="center"/>
        </w:trPr>
        <w:tc>
          <w:tcPr>
            <w:tcW w:w="3523" w:type="dxa"/>
            <w:vAlign w:val="center"/>
          </w:tcPr>
          <w:p w14:paraId="21FA4439" w14:textId="77777777" w:rsidR="00B03DB7" w:rsidRDefault="00B03DB7" w:rsidP="00406F1D">
            <w:pPr>
              <w:spacing w:after="0"/>
            </w:pPr>
            <w:r>
              <w:rPr>
                <w:sz w:val="13"/>
              </w:rPr>
              <w:t>Durable-goods orders</w:t>
            </w:r>
          </w:p>
        </w:tc>
        <w:tc>
          <w:tcPr>
            <w:tcW w:w="3523" w:type="dxa"/>
            <w:vAlign w:val="center"/>
          </w:tcPr>
          <w:p w14:paraId="1918109B" w14:textId="77777777" w:rsidR="00B03DB7" w:rsidRDefault="00B03DB7" w:rsidP="00406F1D">
            <w:pPr>
              <w:spacing w:after="0"/>
            </w:pPr>
            <w:r>
              <w:rPr>
                <w:sz w:val="13"/>
              </w:rPr>
              <w:t>Volatile</w:t>
            </w:r>
          </w:p>
        </w:tc>
        <w:tc>
          <w:tcPr>
            <w:tcW w:w="3523" w:type="dxa"/>
            <w:vAlign w:val="center"/>
          </w:tcPr>
          <w:p w14:paraId="4B41D23D" w14:textId="77777777" w:rsidR="00B03DB7" w:rsidRDefault="00B03DB7" w:rsidP="00406F1D">
            <w:pPr>
              <w:spacing w:after="0"/>
            </w:pPr>
            <w:r>
              <w:rPr>
                <w:sz w:val="13"/>
              </w:rPr>
              <w:t>Aircraft can distort headline</w:t>
            </w:r>
          </w:p>
        </w:tc>
      </w:tr>
      <w:tr w:rsidR="00B03DB7" w14:paraId="0D439D8C" w14:textId="77777777" w:rsidTr="00406F1D">
        <w:trPr>
          <w:jc w:val="center"/>
        </w:trPr>
        <w:tc>
          <w:tcPr>
            <w:tcW w:w="3523" w:type="dxa"/>
            <w:vAlign w:val="center"/>
          </w:tcPr>
          <w:p w14:paraId="149DE0D8" w14:textId="77777777" w:rsidR="00B03DB7" w:rsidRDefault="00B03DB7" w:rsidP="00406F1D">
            <w:pPr>
              <w:spacing w:after="0"/>
            </w:pPr>
            <w:r>
              <w:rPr>
                <w:sz w:val="13"/>
              </w:rPr>
              <w:t>Core capital-goods orders</w:t>
            </w:r>
          </w:p>
        </w:tc>
        <w:tc>
          <w:tcPr>
            <w:tcW w:w="3523" w:type="dxa"/>
            <w:vAlign w:val="center"/>
          </w:tcPr>
          <w:p w14:paraId="07C77FE3" w14:textId="77777777" w:rsidR="00B03DB7" w:rsidRDefault="00B03DB7" w:rsidP="00406F1D">
            <w:pPr>
              <w:spacing w:after="0"/>
            </w:pPr>
            <w:r>
              <w:rPr>
                <w:sz w:val="13"/>
              </w:rPr>
              <w:t>Positive in July</w:t>
            </w:r>
          </w:p>
        </w:tc>
        <w:tc>
          <w:tcPr>
            <w:tcW w:w="3523" w:type="dxa"/>
            <w:vAlign w:val="center"/>
          </w:tcPr>
          <w:p w14:paraId="0B81CA89" w14:textId="77777777" w:rsidR="00B03DB7" w:rsidRDefault="00B03DB7" w:rsidP="00406F1D">
            <w:pPr>
              <w:spacing w:after="0"/>
            </w:pPr>
            <w:r>
              <w:rPr>
                <w:sz w:val="13"/>
              </w:rPr>
              <w:t>Better signal for business equipment demand</w:t>
            </w:r>
          </w:p>
        </w:tc>
      </w:tr>
    </w:tbl>
    <w:p w14:paraId="75FFCB0A" w14:textId="77777777" w:rsidR="00B03DB7" w:rsidRDefault="00B03DB7" w:rsidP="00B03DB7">
      <w:r>
        <w:rPr>
          <w:b/>
        </w:rPr>
        <w:t xml:space="preserve">Source: </w:t>
      </w:r>
      <w:r>
        <w:rPr>
          <w:i/>
          <w:sz w:val="14"/>
        </w:rPr>
        <w:t>Federal Reserve G.17; U.S. Census Bureau Manufacturers' Shipments, Inventories and Orders, July 2026.</w:t>
      </w:r>
    </w:p>
    <w:p w14:paraId="711D2DE6"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9   |   Page 28</w:t>
      </w:r>
    </w:p>
    <w:p w14:paraId="0776C6B8" w14:textId="77777777" w:rsidR="00B03DB7" w:rsidRDefault="00B03DB7" w:rsidP="00B03DB7">
      <w:r>
        <w:br w:type="page"/>
      </w:r>
    </w:p>
    <w:p w14:paraId="72B2458D" w14:textId="77777777" w:rsidR="00B03DB7" w:rsidRDefault="00B03DB7" w:rsidP="00B03DB7">
      <w:r>
        <w:rPr>
          <w:b/>
          <w:color w:val="555555"/>
          <w:sz w:val="15"/>
        </w:rPr>
        <w:lastRenderedPageBreak/>
        <w:t xml:space="preserve">CHAPTER </w:t>
      </w:r>
      <w:proofErr w:type="gramStart"/>
      <w:r>
        <w:rPr>
          <w:b/>
          <w:color w:val="555555"/>
          <w:sz w:val="15"/>
        </w:rPr>
        <w:t>09  /</w:t>
      </w:r>
      <w:proofErr w:type="gramEnd"/>
      <w:r>
        <w:rPr>
          <w:b/>
          <w:color w:val="555555"/>
          <w:sz w:val="15"/>
        </w:rPr>
        <w:t xml:space="preserve">  INDUSTRIAL &amp; MANUFACTURING ECONOMY</w:t>
      </w:r>
    </w:p>
    <w:p w14:paraId="3C2321B7" w14:textId="77777777" w:rsidR="00B03DB7" w:rsidRDefault="00B03DB7" w:rsidP="00B03DB7">
      <w:pPr>
        <w:pStyle w:val="Heading1"/>
      </w:pPr>
      <w:r>
        <w:t xml:space="preserve">29. Capacity </w:t>
      </w:r>
      <w:proofErr w:type="spellStart"/>
      <w:r>
        <w:t>Utilisation</w:t>
      </w:r>
      <w:proofErr w:type="spellEnd"/>
    </w:p>
    <w:p w14:paraId="2AD14E1C" w14:textId="77777777" w:rsidR="00B03DB7" w:rsidRDefault="00B03DB7" w:rsidP="00B03DB7">
      <w:r>
        <w:rPr>
          <w:i/>
          <w:color w:val="555555"/>
        </w:rPr>
        <w:t>Industrial Capacity | How Much Slack Remains</w:t>
      </w:r>
    </w:p>
    <w:p w14:paraId="3AAE5FD7" w14:textId="77777777" w:rsidR="00B03DB7" w:rsidRDefault="00B03DB7" w:rsidP="00B03DB7">
      <w:r>
        <w:t xml:space="preserve">Capacity </w:t>
      </w:r>
      <w:proofErr w:type="spellStart"/>
      <w:r>
        <w:t>utilisation</w:t>
      </w:r>
      <w:proofErr w:type="spellEnd"/>
      <w:r>
        <w:t xml:space="preserve"> remains below the levels normally associated with an overheated industrial sector. That gives manufacturers some room to increase output without immediately requiring a large new wave of physical capacity, although conditions differ significantly </w:t>
      </w:r>
      <w:proofErr w:type="gramStart"/>
      <w:r>
        <w:t>by</w:t>
      </w:r>
      <w:proofErr w:type="gramEnd"/>
      <w:r>
        <w:t xml:space="preserve"> industry.</w:t>
      </w:r>
    </w:p>
    <w:tbl>
      <w:tblPr>
        <w:tblW w:w="0" w:type="auto"/>
        <w:jc w:val="center"/>
        <w:tblLook w:val="04A0" w:firstRow="1" w:lastRow="0" w:firstColumn="1" w:lastColumn="0" w:noHBand="0" w:noVBand="1"/>
      </w:tblPr>
      <w:tblGrid>
        <w:gridCol w:w="5184"/>
        <w:gridCol w:w="5184"/>
      </w:tblGrid>
      <w:tr w:rsidR="00B03DB7" w14:paraId="44FB67C7" w14:textId="77777777" w:rsidTr="00406F1D">
        <w:trPr>
          <w:jc w:val="center"/>
        </w:trPr>
        <w:tc>
          <w:tcPr>
            <w:tcW w:w="5285" w:type="dxa"/>
          </w:tcPr>
          <w:p w14:paraId="4E9F8283" w14:textId="77777777" w:rsidR="00B03DB7" w:rsidRDefault="00B03DB7" w:rsidP="00406F1D">
            <w:pPr>
              <w:jc w:val="center"/>
            </w:pPr>
            <w:r>
              <w:rPr>
                <w:noProof/>
              </w:rPr>
              <w:drawing>
                <wp:inline distT="0" distB="0" distL="0" distR="0" wp14:anchorId="012D686E" wp14:editId="460C0081">
                  <wp:extent cx="2852928" cy="1358537"/>
                  <wp:effectExtent l="0" t="0" r="0" b="0"/>
                  <wp:docPr id="740332369" name="Picture 74033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ng"/>
                          <pic:cNvPicPr/>
                        </pic:nvPicPr>
                        <pic:blipFill>
                          <a:blip r:embed="rId61"/>
                          <a:stretch>
                            <a:fillRect/>
                          </a:stretch>
                        </pic:blipFill>
                        <pic:spPr>
                          <a:xfrm>
                            <a:off x="0" y="0"/>
                            <a:ext cx="2852928" cy="1358537"/>
                          </a:xfrm>
                          <a:prstGeom prst="rect">
                            <a:avLst/>
                          </a:prstGeom>
                        </pic:spPr>
                      </pic:pic>
                    </a:graphicData>
                  </a:graphic>
                </wp:inline>
              </w:drawing>
            </w:r>
          </w:p>
        </w:tc>
        <w:tc>
          <w:tcPr>
            <w:tcW w:w="5285" w:type="dxa"/>
          </w:tcPr>
          <w:p w14:paraId="585EB966" w14:textId="77777777" w:rsidR="00B03DB7" w:rsidRDefault="00B03DB7" w:rsidP="00406F1D">
            <w:pPr>
              <w:jc w:val="center"/>
            </w:pPr>
            <w:r>
              <w:rPr>
                <w:noProof/>
              </w:rPr>
              <w:drawing>
                <wp:inline distT="0" distB="0" distL="0" distR="0" wp14:anchorId="557C25B6" wp14:editId="16BF9C0C">
                  <wp:extent cx="2852928" cy="1358537"/>
                  <wp:effectExtent l="0" t="0" r="0" b="0"/>
                  <wp:docPr id="1962253639" name="Picture 196225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gcap.png"/>
                          <pic:cNvPicPr/>
                        </pic:nvPicPr>
                        <pic:blipFill>
                          <a:blip r:embed="rId62"/>
                          <a:stretch>
                            <a:fillRect/>
                          </a:stretch>
                        </pic:blipFill>
                        <pic:spPr>
                          <a:xfrm>
                            <a:off x="0" y="0"/>
                            <a:ext cx="2852928" cy="1358537"/>
                          </a:xfrm>
                          <a:prstGeom prst="rect">
                            <a:avLst/>
                          </a:prstGeom>
                        </pic:spPr>
                      </pic:pic>
                    </a:graphicData>
                  </a:graphic>
                </wp:inline>
              </w:drawing>
            </w:r>
          </w:p>
        </w:tc>
      </w:tr>
    </w:tbl>
    <w:p w14:paraId="7BC92271" w14:textId="77777777" w:rsidR="00B03DB7" w:rsidRDefault="00B03DB7" w:rsidP="00B03DB7">
      <w:r>
        <w:rPr>
          <w:b/>
          <w:color w:val="1F3756"/>
        </w:rPr>
      </w:r>
      <w:proofErr w:type="spellStart"/>
      <w:r>
        <w:t>Utilisation</w:t>
      </w:r>
      <w:proofErr w:type="spellEnd"/>
      <w:r>
        <w:t xml:space="preserve"> has been broadly stable and remains below 80% for total industry, with manufacturing lower still. This suggests the sector has spare capacity and limited near-term overheating pressure. It also explains why new investment is being directed selectively toward strategic bottlenecks rather than across the entire industrial base.</w:t>
      </w:r>
    </w:p>
    <w:tbl>
      <w:tblPr>
        <w:tblW w:w="0" w:type="auto"/>
        <w:jc w:val="center"/>
        <w:tblLook w:val="04A0" w:firstRow="1" w:lastRow="0" w:firstColumn="1" w:lastColumn="0" w:noHBand="0" w:noVBand="1"/>
      </w:tblPr>
      <w:tblGrid>
        <w:gridCol w:w="3460"/>
        <w:gridCol w:w="3453"/>
        <w:gridCol w:w="3455"/>
      </w:tblGrid>
      <w:tr w:rsidR="00B03DB7" w14:paraId="14373203" w14:textId="77777777" w:rsidTr="00406F1D">
        <w:trPr>
          <w:jc w:val="center"/>
        </w:trPr>
        <w:tc>
          <w:tcPr>
            <w:tcW w:w="3523" w:type="dxa"/>
            <w:shd w:val="clear" w:color="auto" w:fill="1F3756"/>
          </w:tcPr>
          <w:p w14:paraId="6E3B517E" w14:textId="77777777" w:rsidR="00B03DB7" w:rsidRDefault="00B03DB7" w:rsidP="00406F1D">
            <w:r>
              <w:rPr>
                <w:b/>
                <w:color w:val="FFFFFF"/>
                <w:sz w:val="13"/>
              </w:rPr>
              <w:t>Measure</w:t>
            </w:r>
          </w:p>
        </w:tc>
        <w:tc>
          <w:tcPr>
            <w:tcW w:w="3523" w:type="dxa"/>
            <w:shd w:val="clear" w:color="auto" w:fill="1F3756"/>
          </w:tcPr>
          <w:p w14:paraId="74B24622" w14:textId="77777777" w:rsidR="00B03DB7" w:rsidRDefault="00B03DB7" w:rsidP="00406F1D">
            <w:r>
              <w:rPr>
                <w:b/>
                <w:color w:val="FFFFFF"/>
                <w:sz w:val="13"/>
              </w:rPr>
              <w:t>Jul 2026</w:t>
            </w:r>
          </w:p>
        </w:tc>
        <w:tc>
          <w:tcPr>
            <w:tcW w:w="3523" w:type="dxa"/>
            <w:shd w:val="clear" w:color="auto" w:fill="1F3756"/>
          </w:tcPr>
          <w:p w14:paraId="76396DD3" w14:textId="77777777" w:rsidR="00B03DB7" w:rsidRDefault="00B03DB7" w:rsidP="00406F1D">
            <w:r>
              <w:rPr>
                <w:b/>
                <w:color w:val="FFFFFF"/>
                <w:sz w:val="13"/>
              </w:rPr>
              <w:t>What it means</w:t>
            </w:r>
          </w:p>
        </w:tc>
      </w:tr>
      <w:tr w:rsidR="00B03DB7" w14:paraId="480CB6E9" w14:textId="77777777" w:rsidTr="00406F1D">
        <w:trPr>
          <w:jc w:val="center"/>
        </w:trPr>
        <w:tc>
          <w:tcPr>
            <w:tcW w:w="3523" w:type="dxa"/>
            <w:vAlign w:val="center"/>
          </w:tcPr>
          <w:p w14:paraId="24866865" w14:textId="77777777" w:rsidR="00B03DB7" w:rsidRDefault="00B03DB7" w:rsidP="00406F1D">
            <w:pPr>
              <w:spacing w:after="0"/>
            </w:pPr>
            <w:r>
              <w:rPr>
                <w:sz w:val="13"/>
              </w:rPr>
              <w:t>Total industry utilization</w:t>
            </w:r>
          </w:p>
        </w:tc>
        <w:tc>
          <w:tcPr>
            <w:tcW w:w="3523" w:type="dxa"/>
            <w:vAlign w:val="center"/>
          </w:tcPr>
          <w:p w14:paraId="535FB339" w14:textId="77777777" w:rsidR="00B03DB7" w:rsidRDefault="00B03DB7" w:rsidP="00406F1D">
            <w:pPr>
              <w:spacing w:after="0"/>
            </w:pPr>
            <w:r>
              <w:rPr>
                <w:sz w:val="13"/>
              </w:rPr>
              <w:t>77.8%</w:t>
            </w:r>
          </w:p>
        </w:tc>
        <w:tc>
          <w:tcPr>
            <w:tcW w:w="3523" w:type="dxa"/>
            <w:vAlign w:val="center"/>
          </w:tcPr>
          <w:p w14:paraId="196B64F4" w14:textId="77777777" w:rsidR="00B03DB7" w:rsidRDefault="00B03DB7" w:rsidP="00406F1D">
            <w:pPr>
              <w:spacing w:after="0"/>
            </w:pPr>
            <w:r>
              <w:rPr>
                <w:sz w:val="13"/>
              </w:rPr>
              <w:t>Moderate spare capacity</w:t>
            </w:r>
          </w:p>
        </w:tc>
      </w:tr>
      <w:tr w:rsidR="00B03DB7" w14:paraId="0ACA55DA" w14:textId="77777777" w:rsidTr="00406F1D">
        <w:trPr>
          <w:jc w:val="center"/>
        </w:trPr>
        <w:tc>
          <w:tcPr>
            <w:tcW w:w="3523" w:type="dxa"/>
            <w:vAlign w:val="center"/>
          </w:tcPr>
          <w:p w14:paraId="2AD1F36B" w14:textId="77777777" w:rsidR="00B03DB7" w:rsidRDefault="00B03DB7" w:rsidP="00406F1D">
            <w:pPr>
              <w:spacing w:after="0"/>
            </w:pPr>
            <w:r>
              <w:rPr>
                <w:sz w:val="13"/>
              </w:rPr>
              <w:t>Manufacturing utilization</w:t>
            </w:r>
          </w:p>
        </w:tc>
        <w:tc>
          <w:tcPr>
            <w:tcW w:w="3523" w:type="dxa"/>
            <w:vAlign w:val="center"/>
          </w:tcPr>
          <w:p w14:paraId="5374237D" w14:textId="77777777" w:rsidR="00B03DB7" w:rsidRDefault="00B03DB7" w:rsidP="00406F1D">
            <w:pPr>
              <w:spacing w:after="0"/>
            </w:pPr>
            <w:r>
              <w:rPr>
                <w:sz w:val="13"/>
              </w:rPr>
              <w:t>76.7%</w:t>
            </w:r>
          </w:p>
        </w:tc>
        <w:tc>
          <w:tcPr>
            <w:tcW w:w="3523" w:type="dxa"/>
            <w:vAlign w:val="center"/>
          </w:tcPr>
          <w:p w14:paraId="29826786" w14:textId="77777777" w:rsidR="00B03DB7" w:rsidRDefault="00B03DB7" w:rsidP="00406F1D">
            <w:pPr>
              <w:spacing w:after="0"/>
            </w:pPr>
            <w:r>
              <w:rPr>
                <w:sz w:val="13"/>
              </w:rPr>
              <w:t>No broad capacity squeeze</w:t>
            </w:r>
          </w:p>
        </w:tc>
      </w:tr>
      <w:tr w:rsidR="00B03DB7" w14:paraId="7FE2AE45" w14:textId="77777777" w:rsidTr="00406F1D">
        <w:trPr>
          <w:jc w:val="center"/>
        </w:trPr>
        <w:tc>
          <w:tcPr>
            <w:tcW w:w="3523" w:type="dxa"/>
            <w:vAlign w:val="center"/>
          </w:tcPr>
          <w:p w14:paraId="0F4C3B54" w14:textId="77777777" w:rsidR="00B03DB7" w:rsidRDefault="00B03DB7" w:rsidP="00406F1D">
            <w:pPr>
              <w:spacing w:after="0"/>
            </w:pPr>
            <w:r>
              <w:rPr>
                <w:sz w:val="13"/>
              </w:rPr>
              <w:t>Investment implication</w:t>
            </w:r>
          </w:p>
        </w:tc>
        <w:tc>
          <w:tcPr>
            <w:tcW w:w="3523" w:type="dxa"/>
            <w:vAlign w:val="center"/>
          </w:tcPr>
          <w:p w14:paraId="7A8CC2A7" w14:textId="77777777" w:rsidR="00B03DB7" w:rsidRDefault="00B03DB7" w:rsidP="00406F1D">
            <w:pPr>
              <w:spacing w:after="0"/>
            </w:pPr>
            <w:r>
              <w:rPr>
                <w:sz w:val="13"/>
              </w:rPr>
              <w:t>Selective</w:t>
            </w:r>
          </w:p>
        </w:tc>
        <w:tc>
          <w:tcPr>
            <w:tcW w:w="3523" w:type="dxa"/>
            <w:vAlign w:val="center"/>
          </w:tcPr>
          <w:p w14:paraId="05148944" w14:textId="77777777" w:rsidR="00B03DB7" w:rsidRDefault="00B03DB7" w:rsidP="00406F1D">
            <w:pPr>
              <w:spacing w:after="0"/>
            </w:pPr>
            <w:r>
              <w:rPr>
                <w:sz w:val="13"/>
              </w:rPr>
              <w:t>New capacity most likely where demand is structural</w:t>
            </w:r>
          </w:p>
        </w:tc>
      </w:tr>
      <w:tr w:rsidR="00B03DB7" w14:paraId="6677F846" w14:textId="77777777" w:rsidTr="00406F1D">
        <w:trPr>
          <w:jc w:val="center"/>
        </w:trPr>
        <w:tc>
          <w:tcPr>
            <w:tcW w:w="3523" w:type="dxa"/>
            <w:vAlign w:val="center"/>
          </w:tcPr>
          <w:p w14:paraId="36449297" w14:textId="77777777" w:rsidR="00B03DB7" w:rsidRDefault="00B03DB7" w:rsidP="00406F1D">
            <w:pPr>
              <w:spacing w:after="0"/>
            </w:pPr>
            <w:r>
              <w:rPr>
                <w:sz w:val="13"/>
              </w:rPr>
              <w:t>Inflation implication</w:t>
            </w:r>
          </w:p>
        </w:tc>
        <w:tc>
          <w:tcPr>
            <w:tcW w:w="3523" w:type="dxa"/>
            <w:vAlign w:val="center"/>
          </w:tcPr>
          <w:p w14:paraId="7FB878B4" w14:textId="77777777" w:rsidR="00B03DB7" w:rsidRDefault="00B03DB7" w:rsidP="00406F1D">
            <w:pPr>
              <w:spacing w:after="0"/>
            </w:pPr>
            <w:r>
              <w:rPr>
                <w:sz w:val="13"/>
              </w:rPr>
              <w:t>Contained</w:t>
            </w:r>
          </w:p>
        </w:tc>
        <w:tc>
          <w:tcPr>
            <w:tcW w:w="3523" w:type="dxa"/>
            <w:vAlign w:val="center"/>
          </w:tcPr>
          <w:p w14:paraId="62FB8707" w14:textId="77777777" w:rsidR="00B03DB7" w:rsidRDefault="00B03DB7" w:rsidP="00406F1D">
            <w:pPr>
              <w:spacing w:after="0"/>
            </w:pPr>
            <w:r>
              <w:rPr>
                <w:sz w:val="13"/>
              </w:rPr>
              <w:t>Limited evidence of economy-wide industrial bottlenecks</w:t>
            </w:r>
          </w:p>
        </w:tc>
      </w:tr>
    </w:tbl>
    <w:p w14:paraId="237C8261" w14:textId="77777777" w:rsidR="00B03DB7" w:rsidRDefault="00B03DB7" w:rsidP="00B03DB7">
      <w:r>
        <w:rPr>
          <w:b/>
        </w:rPr>
        <w:t xml:space="preserve">Source: </w:t>
      </w:r>
      <w:r>
        <w:rPr>
          <w:i/>
          <w:sz w:val="14"/>
        </w:rPr>
        <w:t>Federal Reserve, Industrial Production and Capacity Utilization, July 2026.</w:t>
      </w:r>
    </w:p>
    <w:p w14:paraId="7AA27AC2"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9   |   Page 29</w:t>
      </w:r>
    </w:p>
    <w:p w14:paraId="464C552B" w14:textId="77777777" w:rsidR="00B03DB7" w:rsidRDefault="00B03DB7" w:rsidP="00B03DB7">
      <w:r>
        <w:br w:type="page"/>
      </w:r>
    </w:p>
    <w:p w14:paraId="796C33A6" w14:textId="77777777" w:rsidR="00B03DB7" w:rsidRDefault="00B03DB7" w:rsidP="00B03DB7">
      <w:r>
        <w:rPr>
          <w:b/>
          <w:color w:val="555555"/>
          <w:sz w:val="15"/>
        </w:rPr>
        <w:lastRenderedPageBreak/>
        <w:t xml:space="preserve">CHAPTER </w:t>
      </w:r>
      <w:proofErr w:type="gramStart"/>
      <w:r>
        <w:rPr>
          <w:b/>
          <w:color w:val="555555"/>
          <w:sz w:val="15"/>
        </w:rPr>
        <w:t>09  /</w:t>
      </w:r>
      <w:proofErr w:type="gramEnd"/>
      <w:r>
        <w:rPr>
          <w:b/>
          <w:color w:val="555555"/>
          <w:sz w:val="15"/>
        </w:rPr>
        <w:t xml:space="preserve">  INDUSTRIAL &amp; MANUFACTURING ECONOMY</w:t>
      </w:r>
    </w:p>
    <w:p w14:paraId="47067020" w14:textId="77777777" w:rsidR="00B03DB7" w:rsidRDefault="00B03DB7" w:rsidP="00B03DB7">
      <w:pPr>
        <w:pStyle w:val="Heading1"/>
      </w:pPr>
      <w:r>
        <w:t>30. Orders &amp; Capital Goods</w:t>
      </w:r>
    </w:p>
    <w:p w14:paraId="5D08492D" w14:textId="77777777" w:rsidR="00B03DB7" w:rsidRDefault="00B03DB7" w:rsidP="00B03DB7">
      <w:r>
        <w:rPr>
          <w:i/>
          <w:color w:val="555555"/>
        </w:rPr>
        <w:t>Durable Goods and Core Capital Goods | Forward Demand Signal</w:t>
      </w:r>
    </w:p>
    <w:p w14:paraId="21EC1D1D" w14:textId="77777777" w:rsidR="00B03DB7" w:rsidRDefault="00B03DB7" w:rsidP="00B03DB7">
      <w:r>
        <w:t xml:space="preserve">Headline </w:t>
      </w:r>
      <w:proofErr w:type="gramStart"/>
      <w:r>
        <w:t>durable-goods</w:t>
      </w:r>
      <w:proofErr w:type="gramEnd"/>
      <w:r>
        <w:t xml:space="preserve"> orders can move sharply from month to month because large aircraft orders distort the total. Core capital goods are therefore a better guide to underlying business-equipment demand. July's data showed a weaker headline but a firmer core signal.</w:t>
      </w:r>
    </w:p>
    <w:tbl>
      <w:tblPr>
        <w:tblW w:w="0" w:type="auto"/>
        <w:jc w:val="center"/>
        <w:tblLook w:val="04A0" w:firstRow="1" w:lastRow="0" w:firstColumn="1" w:lastColumn="0" w:noHBand="0" w:noVBand="1"/>
      </w:tblPr>
      <w:tblGrid>
        <w:gridCol w:w="5184"/>
        <w:gridCol w:w="5184"/>
      </w:tblGrid>
      <w:tr w:rsidR="00B03DB7" w14:paraId="41DAFD56" w14:textId="77777777" w:rsidTr="00406F1D">
        <w:trPr>
          <w:jc w:val="center"/>
        </w:trPr>
        <w:tc>
          <w:tcPr>
            <w:tcW w:w="5285" w:type="dxa"/>
          </w:tcPr>
          <w:p w14:paraId="7A25AC3C" w14:textId="77777777" w:rsidR="00B03DB7" w:rsidRDefault="00B03DB7" w:rsidP="00406F1D">
            <w:pPr>
              <w:jc w:val="center"/>
            </w:pPr>
            <w:r>
              <w:rPr>
                <w:noProof/>
              </w:rPr>
              <w:drawing>
                <wp:inline distT="0" distB="0" distL="0" distR="0" wp14:anchorId="4FD24589" wp14:editId="50C2760E">
                  <wp:extent cx="2852928" cy="1358537"/>
                  <wp:effectExtent l="0" t="0" r="0" b="0"/>
                  <wp:docPr id="413783492" name="Picture 41378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png"/>
                          <pic:cNvPicPr/>
                        </pic:nvPicPr>
                        <pic:blipFill>
                          <a:blip r:embed="rId63"/>
                          <a:stretch>
                            <a:fillRect/>
                          </a:stretch>
                        </pic:blipFill>
                        <pic:spPr>
                          <a:xfrm>
                            <a:off x="0" y="0"/>
                            <a:ext cx="2852928" cy="1358537"/>
                          </a:xfrm>
                          <a:prstGeom prst="rect">
                            <a:avLst/>
                          </a:prstGeom>
                        </pic:spPr>
                      </pic:pic>
                    </a:graphicData>
                  </a:graphic>
                </wp:inline>
              </w:drawing>
            </w:r>
          </w:p>
        </w:tc>
        <w:tc>
          <w:tcPr>
            <w:tcW w:w="5285" w:type="dxa"/>
          </w:tcPr>
          <w:p w14:paraId="124D7DAC" w14:textId="77777777" w:rsidR="00B03DB7" w:rsidRDefault="00B03DB7" w:rsidP="00406F1D">
            <w:pPr>
              <w:jc w:val="center"/>
            </w:pPr>
            <w:r>
              <w:rPr>
                <w:noProof/>
              </w:rPr>
              <w:drawing>
                <wp:inline distT="0" distB="0" distL="0" distR="0" wp14:anchorId="4F37D665" wp14:editId="2C28BC55">
                  <wp:extent cx="2852928" cy="1358537"/>
                  <wp:effectExtent l="0" t="0" r="0" b="0"/>
                  <wp:docPr id="644495838" name="Picture 64449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change.png"/>
                          <pic:cNvPicPr/>
                        </pic:nvPicPr>
                        <pic:blipFill>
                          <a:blip r:embed="rId64"/>
                          <a:stretch>
                            <a:fillRect/>
                          </a:stretch>
                        </pic:blipFill>
                        <pic:spPr>
                          <a:xfrm>
                            <a:off x="0" y="0"/>
                            <a:ext cx="2852928" cy="1358537"/>
                          </a:xfrm>
                          <a:prstGeom prst="rect">
                            <a:avLst/>
                          </a:prstGeom>
                        </pic:spPr>
                      </pic:pic>
                    </a:graphicData>
                  </a:graphic>
                </wp:inline>
              </w:drawing>
            </w:r>
          </w:p>
        </w:tc>
      </w:tr>
    </w:tbl>
    <w:p w14:paraId="09359B85" w14:textId="77777777" w:rsidR="00B03DB7" w:rsidRDefault="00B03DB7" w:rsidP="00B03DB7">
      <w:r>
        <w:rPr>
          <w:b/>
          <w:color w:val="1F3756"/>
        </w:rPr>
      </w:r>
      <w:proofErr w:type="gramStart"/>
      <w:r>
        <w:t>The headline</w:t>
      </w:r>
      <w:proofErr w:type="gramEnd"/>
      <w:r>
        <w:t xml:space="preserve"> decline in </w:t>
      </w:r>
      <w:proofErr w:type="gramStart"/>
      <w:r>
        <w:t>durable-goods</w:t>
      </w:r>
      <w:proofErr w:type="gramEnd"/>
      <w:r>
        <w:t xml:space="preserve"> orders looks weaker than the underlying investment signal because transport equipment is highly volatile. Core </w:t>
      </w:r>
      <w:proofErr w:type="gramStart"/>
      <w:r>
        <w:t>capital-goods</w:t>
      </w:r>
      <w:proofErr w:type="gramEnd"/>
      <w:r>
        <w:t xml:space="preserve"> orders increased, suggesting firms are still committing to equipment spending. This fits the broader picture of selective capex resilience.</w:t>
      </w:r>
    </w:p>
    <w:tbl>
      <w:tblPr>
        <w:tblW w:w="0" w:type="auto"/>
        <w:jc w:val="center"/>
        <w:tblLook w:val="04A0" w:firstRow="1" w:lastRow="0" w:firstColumn="1" w:lastColumn="0" w:noHBand="0" w:noVBand="1"/>
      </w:tblPr>
      <w:tblGrid>
        <w:gridCol w:w="3456"/>
        <w:gridCol w:w="3450"/>
        <w:gridCol w:w="3462"/>
      </w:tblGrid>
      <w:tr w:rsidR="00B03DB7" w14:paraId="597CB9D0" w14:textId="77777777" w:rsidTr="00406F1D">
        <w:trPr>
          <w:jc w:val="center"/>
        </w:trPr>
        <w:tc>
          <w:tcPr>
            <w:tcW w:w="3523" w:type="dxa"/>
            <w:shd w:val="clear" w:color="auto" w:fill="1F3756"/>
          </w:tcPr>
          <w:p w14:paraId="689BF789" w14:textId="77777777" w:rsidR="00B03DB7" w:rsidRDefault="00B03DB7" w:rsidP="00406F1D">
            <w:r>
              <w:rPr>
                <w:b/>
                <w:color w:val="FFFFFF"/>
                <w:sz w:val="13"/>
              </w:rPr>
              <w:t>Orders measure</w:t>
            </w:r>
          </w:p>
        </w:tc>
        <w:tc>
          <w:tcPr>
            <w:tcW w:w="3523" w:type="dxa"/>
            <w:shd w:val="clear" w:color="auto" w:fill="1F3756"/>
          </w:tcPr>
          <w:p w14:paraId="427421C7" w14:textId="77777777" w:rsidR="00B03DB7" w:rsidRDefault="00B03DB7" w:rsidP="00406F1D">
            <w:r>
              <w:rPr>
                <w:b/>
                <w:color w:val="FFFFFF"/>
                <w:sz w:val="13"/>
              </w:rPr>
              <w:t>Jul 2026</w:t>
            </w:r>
          </w:p>
        </w:tc>
        <w:tc>
          <w:tcPr>
            <w:tcW w:w="3523" w:type="dxa"/>
            <w:shd w:val="clear" w:color="auto" w:fill="1F3756"/>
          </w:tcPr>
          <w:p w14:paraId="7C40B56B" w14:textId="77777777" w:rsidR="00B03DB7" w:rsidRDefault="00B03DB7" w:rsidP="00406F1D">
            <w:r>
              <w:rPr>
                <w:b/>
                <w:color w:val="FFFFFF"/>
                <w:sz w:val="13"/>
              </w:rPr>
              <w:t>Monthly change</w:t>
            </w:r>
          </w:p>
        </w:tc>
      </w:tr>
      <w:tr w:rsidR="00B03DB7" w14:paraId="60A4FE8B" w14:textId="77777777" w:rsidTr="00406F1D">
        <w:trPr>
          <w:jc w:val="center"/>
        </w:trPr>
        <w:tc>
          <w:tcPr>
            <w:tcW w:w="3523" w:type="dxa"/>
            <w:vAlign w:val="center"/>
          </w:tcPr>
          <w:p w14:paraId="20F148CA" w14:textId="77777777" w:rsidR="00B03DB7" w:rsidRDefault="00B03DB7" w:rsidP="00406F1D">
            <w:pPr>
              <w:spacing w:after="0"/>
            </w:pPr>
            <w:proofErr w:type="gramStart"/>
            <w:r>
              <w:rPr>
                <w:sz w:val="13"/>
              </w:rPr>
              <w:t>Durable-goods</w:t>
            </w:r>
            <w:proofErr w:type="gramEnd"/>
            <w:r>
              <w:rPr>
                <w:sz w:val="13"/>
              </w:rPr>
              <w:t xml:space="preserve"> new orders</w:t>
            </w:r>
          </w:p>
        </w:tc>
        <w:tc>
          <w:tcPr>
            <w:tcW w:w="3523" w:type="dxa"/>
            <w:vAlign w:val="center"/>
          </w:tcPr>
          <w:p w14:paraId="63823A42" w14:textId="77777777" w:rsidR="00B03DB7" w:rsidRDefault="00B03DB7" w:rsidP="00406F1D">
            <w:pPr>
              <w:spacing w:after="0"/>
            </w:pPr>
            <w:r>
              <w:rPr>
                <w:sz w:val="13"/>
              </w:rPr>
              <w:t>~$322.6B</w:t>
            </w:r>
          </w:p>
        </w:tc>
        <w:tc>
          <w:tcPr>
            <w:tcW w:w="3523" w:type="dxa"/>
            <w:vAlign w:val="center"/>
          </w:tcPr>
          <w:p w14:paraId="1601DDC1" w14:textId="77777777" w:rsidR="00B03DB7" w:rsidRDefault="00B03DB7" w:rsidP="00406F1D">
            <w:pPr>
              <w:spacing w:after="0"/>
            </w:pPr>
            <w:r>
              <w:rPr>
                <w:sz w:val="13"/>
              </w:rPr>
              <w:t>-2.8%</w:t>
            </w:r>
          </w:p>
        </w:tc>
      </w:tr>
      <w:tr w:rsidR="00B03DB7" w14:paraId="7D017216" w14:textId="77777777" w:rsidTr="00406F1D">
        <w:trPr>
          <w:jc w:val="center"/>
        </w:trPr>
        <w:tc>
          <w:tcPr>
            <w:tcW w:w="3523" w:type="dxa"/>
            <w:vAlign w:val="center"/>
          </w:tcPr>
          <w:p w14:paraId="34C5F4A3" w14:textId="77777777" w:rsidR="00B03DB7" w:rsidRDefault="00B03DB7" w:rsidP="00406F1D">
            <w:pPr>
              <w:spacing w:after="0"/>
            </w:pPr>
            <w:r>
              <w:rPr>
                <w:sz w:val="13"/>
              </w:rPr>
              <w:t>Core capital-goods orders</w:t>
            </w:r>
          </w:p>
        </w:tc>
        <w:tc>
          <w:tcPr>
            <w:tcW w:w="3523" w:type="dxa"/>
            <w:vAlign w:val="center"/>
          </w:tcPr>
          <w:p w14:paraId="2946D866" w14:textId="77777777" w:rsidR="00B03DB7" w:rsidRDefault="00B03DB7" w:rsidP="00406F1D">
            <w:pPr>
              <w:spacing w:after="0"/>
            </w:pPr>
            <w:r>
              <w:rPr>
                <w:sz w:val="13"/>
              </w:rPr>
              <w:t>~$77.4B</w:t>
            </w:r>
          </w:p>
        </w:tc>
        <w:tc>
          <w:tcPr>
            <w:tcW w:w="3523" w:type="dxa"/>
            <w:vAlign w:val="center"/>
          </w:tcPr>
          <w:p w14:paraId="1DE889F6" w14:textId="77777777" w:rsidR="00B03DB7" w:rsidRDefault="00B03DB7" w:rsidP="00406F1D">
            <w:pPr>
              <w:spacing w:after="0"/>
            </w:pPr>
            <w:r>
              <w:rPr>
                <w:sz w:val="13"/>
              </w:rPr>
              <w:t>+0.6%</w:t>
            </w:r>
          </w:p>
        </w:tc>
      </w:tr>
      <w:tr w:rsidR="00B03DB7" w14:paraId="5018E00B" w14:textId="77777777" w:rsidTr="00406F1D">
        <w:trPr>
          <w:jc w:val="center"/>
        </w:trPr>
        <w:tc>
          <w:tcPr>
            <w:tcW w:w="3523" w:type="dxa"/>
            <w:vAlign w:val="center"/>
          </w:tcPr>
          <w:p w14:paraId="3B82C063" w14:textId="77777777" w:rsidR="00B03DB7" w:rsidRDefault="00B03DB7" w:rsidP="00406F1D">
            <w:pPr>
              <w:spacing w:after="0"/>
            </w:pPr>
            <w:r>
              <w:rPr>
                <w:sz w:val="13"/>
              </w:rPr>
              <w:t>Core capital-goods shipments</w:t>
            </w:r>
          </w:p>
        </w:tc>
        <w:tc>
          <w:tcPr>
            <w:tcW w:w="3523" w:type="dxa"/>
            <w:vAlign w:val="center"/>
          </w:tcPr>
          <w:p w14:paraId="221B5C53" w14:textId="77777777" w:rsidR="00B03DB7" w:rsidRDefault="00B03DB7" w:rsidP="00406F1D">
            <w:pPr>
              <w:spacing w:after="0"/>
            </w:pPr>
            <w:r>
              <w:rPr>
                <w:sz w:val="13"/>
              </w:rPr>
              <w:t>~$76.8B</w:t>
            </w:r>
          </w:p>
        </w:tc>
        <w:tc>
          <w:tcPr>
            <w:tcW w:w="3523" w:type="dxa"/>
            <w:vAlign w:val="center"/>
          </w:tcPr>
          <w:p w14:paraId="0EB1A523" w14:textId="77777777" w:rsidR="00B03DB7" w:rsidRDefault="00B03DB7" w:rsidP="00406F1D">
            <w:pPr>
              <w:spacing w:after="0"/>
            </w:pPr>
            <w:r>
              <w:rPr>
                <w:sz w:val="13"/>
              </w:rPr>
              <w:t>+0.4%</w:t>
            </w:r>
          </w:p>
        </w:tc>
      </w:tr>
      <w:tr w:rsidR="00B03DB7" w14:paraId="084B2B5C" w14:textId="77777777" w:rsidTr="00406F1D">
        <w:trPr>
          <w:jc w:val="center"/>
        </w:trPr>
        <w:tc>
          <w:tcPr>
            <w:tcW w:w="3523" w:type="dxa"/>
            <w:vAlign w:val="center"/>
          </w:tcPr>
          <w:p w14:paraId="6557E5E7" w14:textId="77777777" w:rsidR="00B03DB7" w:rsidRDefault="00B03DB7" w:rsidP="00406F1D">
            <w:pPr>
              <w:spacing w:after="0"/>
            </w:pPr>
            <w:r>
              <w:rPr>
                <w:sz w:val="13"/>
              </w:rPr>
              <w:t>Interpretation</w:t>
            </w:r>
          </w:p>
        </w:tc>
        <w:tc>
          <w:tcPr>
            <w:tcW w:w="3523" w:type="dxa"/>
            <w:vAlign w:val="center"/>
          </w:tcPr>
          <w:p w14:paraId="781BBBEF" w14:textId="77777777" w:rsidR="00B03DB7" w:rsidRDefault="00B03DB7" w:rsidP="00406F1D">
            <w:pPr>
              <w:spacing w:after="0"/>
            </w:pPr>
            <w:r>
              <w:rPr>
                <w:sz w:val="13"/>
              </w:rPr>
              <w:t>Core firmer than headline</w:t>
            </w:r>
          </w:p>
        </w:tc>
        <w:tc>
          <w:tcPr>
            <w:tcW w:w="3523" w:type="dxa"/>
            <w:vAlign w:val="center"/>
          </w:tcPr>
          <w:p w14:paraId="5B05CB0A" w14:textId="77777777" w:rsidR="00B03DB7" w:rsidRDefault="00B03DB7" w:rsidP="00406F1D">
            <w:pPr>
              <w:spacing w:after="0"/>
            </w:pPr>
            <w:r>
              <w:rPr>
                <w:sz w:val="13"/>
              </w:rPr>
              <w:t>Aircraft/transport volatility matters</w:t>
            </w:r>
          </w:p>
        </w:tc>
      </w:tr>
    </w:tbl>
    <w:p w14:paraId="46CB0B0A" w14:textId="77777777" w:rsidR="00B03DB7" w:rsidRDefault="00B03DB7" w:rsidP="00B03DB7">
      <w:r>
        <w:rPr>
          <w:b/>
        </w:rPr>
        <w:t xml:space="preserve">Source: </w:t>
      </w:r>
      <w:r>
        <w:rPr>
          <w:i/>
          <w:sz w:val="14"/>
        </w:rPr>
        <w:t>U.S. Census Bureau, Advance Report on Durable Goods / M3, July 2026. Rounded values shown.</w:t>
      </w:r>
    </w:p>
    <w:p w14:paraId="76735552"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9   |   Page 30</w:t>
      </w:r>
    </w:p>
    <w:p w14:paraId="419D3110" w14:textId="77777777" w:rsidR="00B03DB7" w:rsidRDefault="00B03DB7" w:rsidP="00B03DB7">
      <w:r>
        <w:br w:type="page"/>
      </w:r>
    </w:p>
    <w:p w14:paraId="466FF978" w14:textId="77777777" w:rsidR="00B03DB7" w:rsidRDefault="00B03DB7" w:rsidP="00B03DB7">
      <w:r>
        <w:rPr>
          <w:b/>
          <w:color w:val="555555"/>
          <w:sz w:val="15"/>
        </w:rPr>
        <w:lastRenderedPageBreak/>
        <w:t xml:space="preserve">CHAPTER </w:t>
      </w:r>
      <w:proofErr w:type="gramStart"/>
      <w:r>
        <w:rPr>
          <w:b/>
          <w:color w:val="555555"/>
          <w:sz w:val="15"/>
        </w:rPr>
        <w:t>09  /</w:t>
      </w:r>
      <w:proofErr w:type="gramEnd"/>
      <w:r>
        <w:rPr>
          <w:b/>
          <w:color w:val="555555"/>
          <w:sz w:val="15"/>
        </w:rPr>
        <w:t xml:space="preserve">  INDUSTRIAL &amp; MANUFACTURING ECONOMY</w:t>
      </w:r>
    </w:p>
    <w:p w14:paraId="50C25572" w14:textId="77777777" w:rsidR="00B03DB7" w:rsidRDefault="00B03DB7" w:rsidP="00B03DB7">
      <w:pPr>
        <w:pStyle w:val="Heading1"/>
      </w:pPr>
      <w:r>
        <w:t>31. Reshoring &amp; Industrial Policy</w:t>
      </w:r>
    </w:p>
    <w:p w14:paraId="4A54E2FC" w14:textId="77777777" w:rsidR="00B03DB7" w:rsidRDefault="00B03DB7" w:rsidP="00B03DB7">
      <w:r>
        <w:rPr>
          <w:i/>
          <w:color w:val="555555"/>
        </w:rPr>
        <w:t>Domestic Manufacturing | Supply-Chain and Capacity Strategy</w:t>
      </w:r>
    </w:p>
    <w:p w14:paraId="3594BEF4" w14:textId="77777777" w:rsidR="00B03DB7" w:rsidRDefault="00B03DB7" w:rsidP="00B03DB7">
      <w:r>
        <w:t xml:space="preserve">U.S. industrial policy is changing the geography and composition of investment. Semiconductor incentives, infrastructure spending, energy investment and supply-chain diversification are encouraging firms to place more strategic capacity inside the United States. This is not a complete reversal of </w:t>
      </w:r>
      <w:proofErr w:type="spellStart"/>
      <w:r>
        <w:t>globalisation</w:t>
      </w:r>
      <w:proofErr w:type="spellEnd"/>
      <w:r>
        <w:t xml:space="preserve">; it is a shift toward resilience in industries where disruption carries </w:t>
      </w:r>
      <w:proofErr w:type="gramStart"/>
      <w:r>
        <w:t>a high</w:t>
      </w:r>
      <w:proofErr w:type="gramEnd"/>
      <w:r>
        <w:t xml:space="preserve"> economic or security cost.</w:t>
      </w:r>
    </w:p>
    <w:p w14:paraId="266E7594" w14:textId="77777777" w:rsidR="00B03DB7" w:rsidRDefault="00B03DB7" w:rsidP="00B03DB7">
      <w:pPr>
        <w:jc w:val="center"/>
      </w:pPr>
      <w:r>
        <w:rPr>
          <w:noProof/>
        </w:rPr>
        <w:drawing>
          <wp:inline distT="0" distB="0" distL="0" distR="0" wp14:anchorId="31CDC1FA" wp14:editId="3D975708">
            <wp:extent cx="5669280" cy="1584064"/>
            <wp:effectExtent l="0" t="0" r="0" b="0"/>
            <wp:docPr id="635258580" name="Picture 63525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png"/>
                    <pic:cNvPicPr/>
                  </pic:nvPicPr>
                  <pic:blipFill>
                    <a:blip r:embed="rId65"/>
                    <a:stretch>
                      <a:fillRect/>
                    </a:stretch>
                  </pic:blipFill>
                  <pic:spPr>
                    <a:xfrm>
                      <a:off x="0" y="0"/>
                      <a:ext cx="5669280" cy="1584064"/>
                    </a:xfrm>
                    <a:prstGeom prst="rect">
                      <a:avLst/>
                    </a:prstGeom>
                  </pic:spPr>
                </pic:pic>
              </a:graphicData>
            </a:graphic>
          </wp:inline>
        </w:drawing>
      </w:r>
    </w:p>
    <w:p w14:paraId="76A1678F" w14:textId="77777777" w:rsidR="00B03DB7" w:rsidRDefault="00B03DB7" w:rsidP="00B03DB7">
      <w:pPr>
        <w:jc w:val="center"/>
      </w:pPr>
      <w:r>
        <w:rPr>
          <w:noProof/>
        </w:rPr>
        <w:drawing>
          <wp:inline distT="0" distB="0" distL="0" distR="0" wp14:anchorId="71F2A51F" wp14:editId="04B58097">
            <wp:extent cx="5577840" cy="1868306"/>
            <wp:effectExtent l="0" t="0" r="0" b="0"/>
            <wp:docPr id="1093590858" name="Picture 109359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horing_transmission.png"/>
                    <pic:cNvPicPr/>
                  </pic:nvPicPr>
                  <pic:blipFill>
                    <a:blip r:embed="rId66"/>
                    <a:stretch>
                      <a:fillRect/>
                    </a:stretch>
                  </pic:blipFill>
                  <pic:spPr>
                    <a:xfrm>
                      <a:off x="0" y="0"/>
                      <a:ext cx="5577840" cy="1868306"/>
                    </a:xfrm>
                    <a:prstGeom prst="rect">
                      <a:avLst/>
                    </a:prstGeom>
                  </pic:spPr>
                </pic:pic>
              </a:graphicData>
            </a:graphic>
          </wp:inline>
        </w:drawing>
      </w:r>
    </w:p>
    <w:p w14:paraId="290ECD04" w14:textId="77777777" w:rsidR="00B03DB7" w:rsidRDefault="00B03DB7" w:rsidP="00B03DB7">
      <w:r>
        <w:rPr>
          <w:b/>
          <w:color w:val="1F3756"/>
        </w:rPr>
      </w:r>
      <w:r>
        <w:t>The reshoring story works through investment before it shows up fully in industrial output. Policy incentives and supply-chain concerns first raise domestic capex, which then supports construction, equipment suppliers and local capacity. The economic effect is therefore gradual, but it can become persistent once new plants and supplier networks are operating.</w:t>
      </w:r>
    </w:p>
    <w:tbl>
      <w:tblPr>
        <w:tblW w:w="0" w:type="auto"/>
        <w:jc w:val="center"/>
        <w:tblLook w:val="04A0" w:firstRow="1" w:lastRow="0" w:firstColumn="1" w:lastColumn="0" w:noHBand="0" w:noVBand="1"/>
      </w:tblPr>
      <w:tblGrid>
        <w:gridCol w:w="3455"/>
        <w:gridCol w:w="3457"/>
        <w:gridCol w:w="3456"/>
      </w:tblGrid>
      <w:tr w:rsidR="00B03DB7" w14:paraId="50B64EF6" w14:textId="77777777" w:rsidTr="00406F1D">
        <w:trPr>
          <w:jc w:val="center"/>
        </w:trPr>
        <w:tc>
          <w:tcPr>
            <w:tcW w:w="3523" w:type="dxa"/>
            <w:shd w:val="clear" w:color="auto" w:fill="1F3756"/>
          </w:tcPr>
          <w:p w14:paraId="37DBD3DE" w14:textId="77777777" w:rsidR="00B03DB7" w:rsidRDefault="00B03DB7" w:rsidP="00406F1D">
            <w:r>
              <w:rPr>
                <w:b/>
                <w:color w:val="FFFFFF"/>
                <w:sz w:val="13"/>
              </w:rPr>
              <w:t>Policy / trend</w:t>
            </w:r>
          </w:p>
        </w:tc>
        <w:tc>
          <w:tcPr>
            <w:tcW w:w="3523" w:type="dxa"/>
            <w:shd w:val="clear" w:color="auto" w:fill="1F3756"/>
          </w:tcPr>
          <w:p w14:paraId="075BB515" w14:textId="77777777" w:rsidR="00B03DB7" w:rsidRDefault="00B03DB7" w:rsidP="00406F1D">
            <w:r>
              <w:rPr>
                <w:b/>
                <w:color w:val="FFFFFF"/>
                <w:sz w:val="13"/>
              </w:rPr>
              <w:t>Main industrial channel</w:t>
            </w:r>
          </w:p>
        </w:tc>
        <w:tc>
          <w:tcPr>
            <w:tcW w:w="3523" w:type="dxa"/>
            <w:shd w:val="clear" w:color="auto" w:fill="1F3756"/>
          </w:tcPr>
          <w:p w14:paraId="643E9A67" w14:textId="77777777" w:rsidR="00B03DB7" w:rsidRDefault="00B03DB7" w:rsidP="00406F1D">
            <w:r>
              <w:rPr>
                <w:b/>
                <w:color w:val="FFFFFF"/>
                <w:sz w:val="13"/>
              </w:rPr>
              <w:t>Likely beneficiaries</w:t>
            </w:r>
          </w:p>
        </w:tc>
      </w:tr>
      <w:tr w:rsidR="00B03DB7" w14:paraId="5F6F7FA0" w14:textId="77777777" w:rsidTr="00406F1D">
        <w:trPr>
          <w:jc w:val="center"/>
        </w:trPr>
        <w:tc>
          <w:tcPr>
            <w:tcW w:w="3523" w:type="dxa"/>
            <w:vAlign w:val="center"/>
          </w:tcPr>
          <w:p w14:paraId="7D0022A2" w14:textId="77777777" w:rsidR="00B03DB7" w:rsidRDefault="00B03DB7" w:rsidP="00406F1D">
            <w:pPr>
              <w:spacing w:after="0"/>
            </w:pPr>
            <w:r>
              <w:rPr>
                <w:sz w:val="13"/>
              </w:rPr>
              <w:t>CHIPS incentives</w:t>
            </w:r>
          </w:p>
        </w:tc>
        <w:tc>
          <w:tcPr>
            <w:tcW w:w="3523" w:type="dxa"/>
            <w:vAlign w:val="center"/>
          </w:tcPr>
          <w:p w14:paraId="093D96F1" w14:textId="77777777" w:rsidR="00B03DB7" w:rsidRDefault="00B03DB7" w:rsidP="00406F1D">
            <w:pPr>
              <w:spacing w:after="0"/>
            </w:pPr>
            <w:r>
              <w:rPr>
                <w:sz w:val="13"/>
              </w:rPr>
              <w:t>Semiconductor fabrication and supply chain</w:t>
            </w:r>
          </w:p>
        </w:tc>
        <w:tc>
          <w:tcPr>
            <w:tcW w:w="3523" w:type="dxa"/>
            <w:vAlign w:val="center"/>
          </w:tcPr>
          <w:p w14:paraId="1AD45938" w14:textId="77777777" w:rsidR="00B03DB7" w:rsidRDefault="00B03DB7" w:rsidP="00406F1D">
            <w:pPr>
              <w:spacing w:after="0"/>
            </w:pPr>
            <w:r>
              <w:rPr>
                <w:sz w:val="13"/>
              </w:rPr>
              <w:t>Chips, equipment, construction, power</w:t>
            </w:r>
          </w:p>
        </w:tc>
      </w:tr>
      <w:tr w:rsidR="00B03DB7" w14:paraId="1207CDD7" w14:textId="77777777" w:rsidTr="00406F1D">
        <w:trPr>
          <w:jc w:val="center"/>
        </w:trPr>
        <w:tc>
          <w:tcPr>
            <w:tcW w:w="3523" w:type="dxa"/>
            <w:vAlign w:val="center"/>
          </w:tcPr>
          <w:p w14:paraId="53800580" w14:textId="77777777" w:rsidR="00B03DB7" w:rsidRDefault="00B03DB7" w:rsidP="00406F1D">
            <w:pPr>
              <w:spacing w:after="0"/>
            </w:pPr>
            <w:r>
              <w:rPr>
                <w:sz w:val="13"/>
              </w:rPr>
              <w:t>Infrastructure investment</w:t>
            </w:r>
          </w:p>
        </w:tc>
        <w:tc>
          <w:tcPr>
            <w:tcW w:w="3523" w:type="dxa"/>
            <w:vAlign w:val="center"/>
          </w:tcPr>
          <w:p w14:paraId="715FDA4F" w14:textId="77777777" w:rsidR="00B03DB7" w:rsidRDefault="00B03DB7" w:rsidP="00406F1D">
            <w:pPr>
              <w:spacing w:after="0"/>
            </w:pPr>
            <w:r>
              <w:rPr>
                <w:sz w:val="13"/>
              </w:rPr>
              <w:t>Transport, utilities and public works</w:t>
            </w:r>
          </w:p>
        </w:tc>
        <w:tc>
          <w:tcPr>
            <w:tcW w:w="3523" w:type="dxa"/>
            <w:vAlign w:val="center"/>
          </w:tcPr>
          <w:p w14:paraId="05470E9A" w14:textId="77777777" w:rsidR="00B03DB7" w:rsidRDefault="00B03DB7" w:rsidP="00406F1D">
            <w:pPr>
              <w:spacing w:after="0"/>
            </w:pPr>
            <w:r>
              <w:rPr>
                <w:sz w:val="13"/>
              </w:rPr>
              <w:t>Materials, machinery, engineering</w:t>
            </w:r>
          </w:p>
        </w:tc>
      </w:tr>
      <w:tr w:rsidR="00B03DB7" w14:paraId="23A78B1F" w14:textId="77777777" w:rsidTr="00406F1D">
        <w:trPr>
          <w:jc w:val="center"/>
        </w:trPr>
        <w:tc>
          <w:tcPr>
            <w:tcW w:w="3523" w:type="dxa"/>
            <w:vAlign w:val="center"/>
          </w:tcPr>
          <w:p w14:paraId="507064CE" w14:textId="77777777" w:rsidR="00B03DB7" w:rsidRDefault="00B03DB7" w:rsidP="00406F1D">
            <w:pPr>
              <w:spacing w:after="0"/>
            </w:pPr>
            <w:r>
              <w:rPr>
                <w:sz w:val="13"/>
              </w:rPr>
              <w:t>Energy investment</w:t>
            </w:r>
          </w:p>
        </w:tc>
        <w:tc>
          <w:tcPr>
            <w:tcW w:w="3523" w:type="dxa"/>
            <w:vAlign w:val="center"/>
          </w:tcPr>
          <w:p w14:paraId="02D8196B" w14:textId="77777777" w:rsidR="00B03DB7" w:rsidRDefault="00B03DB7" w:rsidP="00406F1D">
            <w:pPr>
              <w:spacing w:after="0"/>
            </w:pPr>
            <w:r>
              <w:rPr>
                <w:sz w:val="13"/>
              </w:rPr>
              <w:t>Generation, grid and manufacturing</w:t>
            </w:r>
          </w:p>
        </w:tc>
        <w:tc>
          <w:tcPr>
            <w:tcW w:w="3523" w:type="dxa"/>
            <w:vAlign w:val="center"/>
          </w:tcPr>
          <w:p w14:paraId="3753C489" w14:textId="77777777" w:rsidR="00B03DB7" w:rsidRDefault="00B03DB7" w:rsidP="00406F1D">
            <w:pPr>
              <w:spacing w:after="0"/>
            </w:pPr>
            <w:r>
              <w:rPr>
                <w:sz w:val="13"/>
              </w:rPr>
              <w:t>Electrical equipment, storage, industrial suppliers</w:t>
            </w:r>
          </w:p>
        </w:tc>
      </w:tr>
      <w:tr w:rsidR="00B03DB7" w14:paraId="1F659DB9" w14:textId="77777777" w:rsidTr="00406F1D">
        <w:trPr>
          <w:jc w:val="center"/>
        </w:trPr>
        <w:tc>
          <w:tcPr>
            <w:tcW w:w="3523" w:type="dxa"/>
            <w:vAlign w:val="center"/>
          </w:tcPr>
          <w:p w14:paraId="6D90FC73" w14:textId="77777777" w:rsidR="00B03DB7" w:rsidRDefault="00B03DB7" w:rsidP="00406F1D">
            <w:pPr>
              <w:spacing w:after="0"/>
            </w:pPr>
            <w:r>
              <w:rPr>
                <w:sz w:val="13"/>
              </w:rPr>
              <w:t>Supply-chain diversification</w:t>
            </w:r>
          </w:p>
        </w:tc>
        <w:tc>
          <w:tcPr>
            <w:tcW w:w="3523" w:type="dxa"/>
            <w:vAlign w:val="center"/>
          </w:tcPr>
          <w:p w14:paraId="6E31BFF6" w14:textId="77777777" w:rsidR="00B03DB7" w:rsidRDefault="00B03DB7" w:rsidP="00406F1D">
            <w:pPr>
              <w:spacing w:after="0"/>
            </w:pPr>
            <w:r>
              <w:rPr>
                <w:sz w:val="13"/>
              </w:rPr>
              <w:t>More domestic / regional sourcing</w:t>
            </w:r>
          </w:p>
        </w:tc>
        <w:tc>
          <w:tcPr>
            <w:tcW w:w="3523" w:type="dxa"/>
            <w:vAlign w:val="center"/>
          </w:tcPr>
          <w:p w14:paraId="059E27B2" w14:textId="77777777" w:rsidR="00B03DB7" w:rsidRDefault="00B03DB7" w:rsidP="00406F1D">
            <w:pPr>
              <w:spacing w:after="0"/>
            </w:pPr>
            <w:r>
              <w:rPr>
                <w:sz w:val="13"/>
              </w:rPr>
              <w:t xml:space="preserve">Manufacturing, logistics, </w:t>
            </w:r>
            <w:proofErr w:type="spellStart"/>
            <w:r>
              <w:rPr>
                <w:sz w:val="13"/>
              </w:rPr>
              <w:t>specialised</w:t>
            </w:r>
            <w:proofErr w:type="spellEnd"/>
            <w:r>
              <w:rPr>
                <w:sz w:val="13"/>
              </w:rPr>
              <w:t xml:space="preserve"> suppliers</w:t>
            </w:r>
          </w:p>
        </w:tc>
      </w:tr>
      <w:tr w:rsidR="00B03DB7" w14:paraId="5F870699" w14:textId="77777777" w:rsidTr="00406F1D">
        <w:trPr>
          <w:jc w:val="center"/>
        </w:trPr>
        <w:tc>
          <w:tcPr>
            <w:tcW w:w="3523" w:type="dxa"/>
            <w:vAlign w:val="center"/>
          </w:tcPr>
          <w:p w14:paraId="186095AE" w14:textId="77777777" w:rsidR="00B03DB7" w:rsidRDefault="00B03DB7" w:rsidP="00406F1D">
            <w:pPr>
              <w:spacing w:after="0"/>
            </w:pPr>
            <w:r>
              <w:rPr>
                <w:sz w:val="13"/>
              </w:rPr>
              <w:t>Reshoring</w:t>
            </w:r>
          </w:p>
        </w:tc>
        <w:tc>
          <w:tcPr>
            <w:tcW w:w="3523" w:type="dxa"/>
            <w:vAlign w:val="center"/>
          </w:tcPr>
          <w:p w14:paraId="4C5AF506" w14:textId="77777777" w:rsidR="00B03DB7" w:rsidRDefault="00B03DB7" w:rsidP="00406F1D">
            <w:pPr>
              <w:spacing w:after="0"/>
            </w:pPr>
            <w:r>
              <w:rPr>
                <w:sz w:val="13"/>
              </w:rPr>
              <w:t>Strategic production closer to U.S. demand</w:t>
            </w:r>
          </w:p>
        </w:tc>
        <w:tc>
          <w:tcPr>
            <w:tcW w:w="3523" w:type="dxa"/>
            <w:vAlign w:val="center"/>
          </w:tcPr>
          <w:p w14:paraId="5876C597" w14:textId="77777777" w:rsidR="00B03DB7" w:rsidRDefault="00B03DB7" w:rsidP="00406F1D">
            <w:pPr>
              <w:spacing w:after="0"/>
            </w:pPr>
            <w:r>
              <w:rPr>
                <w:sz w:val="13"/>
              </w:rPr>
              <w:t>Selected high-value manufacturing clusters</w:t>
            </w:r>
          </w:p>
        </w:tc>
      </w:tr>
    </w:tbl>
    <w:p w14:paraId="5A150621" w14:textId="77777777" w:rsidR="00B03DB7" w:rsidRDefault="00B03DB7" w:rsidP="00B03DB7">
      <w:r>
        <w:t>Reshoring should not be measured with one headline number. Announced projects, construction spending, equipment investment, manufacturing employment and actual production all capture different stages of the process. The most useful approach is to follow these indicators together.</w:t>
      </w:r>
    </w:p>
    <w:p w14:paraId="73990510" w14:textId="77777777" w:rsidR="00B03DB7" w:rsidRDefault="00B03DB7" w:rsidP="00B03DB7">
      <w:r>
        <w:rPr>
          <w:b/>
        </w:rPr>
        <w:t xml:space="preserve">Source: </w:t>
      </w:r>
      <w:r>
        <w:rPr>
          <w:i/>
          <w:sz w:val="14"/>
        </w:rPr>
        <w:t xml:space="preserve">U.S. Department of Commerce / CHIPS for America; Infrastructure Investment and Jobs Act implementation; BEA/Census investment and manufacturing indicators. Interpretation is </w:t>
      </w:r>
      <w:proofErr w:type="spellStart"/>
      <w:r>
        <w:rPr>
          <w:i/>
          <w:sz w:val="14"/>
        </w:rPr>
        <w:t>BrandEssence</w:t>
      </w:r>
      <w:proofErr w:type="spellEnd"/>
      <w:r>
        <w:rPr>
          <w:i/>
          <w:sz w:val="14"/>
        </w:rPr>
        <w:t>.</w:t>
      </w:r>
    </w:p>
    <w:p w14:paraId="228FDFAE"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9   |   Page 31</w:t>
      </w:r>
    </w:p>
    <w:p w14:paraId="6BD139B9" w14:textId="3749BACB" w:rsidR="00A97E6F" w:rsidRDefault="00A97E6F" w:rsidP="00B03DB7">
      <w:pPr>
        <w:pStyle w:val="Kicker"/>
      </w:pPr>
    </w:p>
    <w:p w14:paraId="47BC2C80" w14:textId="77777777" w:rsidR="00B03DB7" w:rsidRDefault="00B03DB7" w:rsidP="00B03DB7">
      <w:pPr>
        <w:pStyle w:val="Kicker"/>
      </w:pPr>
    </w:p>
    <w:p w14:paraId="1B527487" w14:textId="77777777" w:rsidR="00B03DB7" w:rsidRDefault="00B03DB7" w:rsidP="00B03DB7">
      <w:pPr>
        <w:pStyle w:val="Kicker"/>
      </w:pPr>
    </w:p>
    <w:p w14:paraId="6E93E309" w14:textId="77777777" w:rsidR="00B03DB7" w:rsidRDefault="00B03DB7" w:rsidP="00B03DB7">
      <w:r>
        <w:rPr>
          <w:b/>
          <w:color w:val="555555"/>
          <w:sz w:val="15"/>
        </w:rPr>
        <w:lastRenderedPageBreak/>
        <w:t xml:space="preserve">CHAPTER </w:t>
      </w:r>
      <w:proofErr w:type="gramStart"/>
      <w:r>
        <w:rPr>
          <w:b/>
          <w:color w:val="555555"/>
          <w:sz w:val="15"/>
        </w:rPr>
        <w:t>10  /</w:t>
      </w:r>
      <w:proofErr w:type="gramEnd"/>
      <w:r>
        <w:rPr>
          <w:b/>
          <w:color w:val="555555"/>
          <w:sz w:val="15"/>
        </w:rPr>
        <w:t xml:space="preserve">  SERVICES ECONOMY</w:t>
      </w:r>
    </w:p>
    <w:p w14:paraId="3A79C515" w14:textId="77777777" w:rsidR="00B03DB7" w:rsidRDefault="00B03DB7" w:rsidP="00B03DB7">
      <w:pPr>
        <w:pStyle w:val="Heading1"/>
      </w:pPr>
      <w:r>
        <w:t>32. Services Economy</w:t>
      </w:r>
    </w:p>
    <w:p w14:paraId="6C8A975C" w14:textId="77777777" w:rsidR="00B03DB7" w:rsidRDefault="00B03DB7" w:rsidP="00B03DB7">
      <w:r>
        <w:rPr>
          <w:i/>
          <w:color w:val="555555"/>
        </w:rPr>
        <w:t>Services Activity | The Main Domestic Growth Engine</w:t>
      </w:r>
    </w:p>
    <w:p w14:paraId="1BDD915F" w14:textId="77777777" w:rsidR="00B03DB7" w:rsidRDefault="00B03DB7" w:rsidP="00B03DB7">
      <w:r>
        <w:t xml:space="preserve">Services remain the broadest part of the U.S. economy and continue to provide stability when goods-producing activity is uneven. The latest official industry accounts available before the September 30 update show private services value </w:t>
      </w:r>
      <w:proofErr w:type="gramStart"/>
      <w:r>
        <w:t>added</w:t>
      </w:r>
      <w:proofErr w:type="gramEnd"/>
      <w:r>
        <w:t xml:space="preserve"> still expanding in the first quarter, with information and professional, scientific and technical services among the strongest individual contributors to overall GDP growth.</w:t>
      </w:r>
    </w:p>
    <w:p w14:paraId="1E1EA130" w14:textId="77777777" w:rsidR="00B03DB7" w:rsidRDefault="00B03DB7" w:rsidP="00B03DB7">
      <w:pPr>
        <w:jc w:val="center"/>
      </w:pPr>
      <w:r>
        <w:rPr>
          <w:noProof/>
        </w:rPr>
        <w:drawing>
          <wp:inline distT="0" distB="0" distL="0" distR="0" wp14:anchorId="36FDA4DE" wp14:editId="3BAA97E3">
            <wp:extent cx="5623560" cy="1548517"/>
            <wp:effectExtent l="0" t="0" r="0" b="0"/>
            <wp:docPr id="208800756" name="Picture 2088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snapshot.png"/>
                    <pic:cNvPicPr/>
                  </pic:nvPicPr>
                  <pic:blipFill>
                    <a:blip r:embed="rId67"/>
                    <a:stretch>
                      <a:fillRect/>
                    </a:stretch>
                  </pic:blipFill>
                  <pic:spPr>
                    <a:xfrm>
                      <a:off x="0" y="0"/>
                      <a:ext cx="5623560" cy="1548517"/>
                    </a:xfrm>
                    <a:prstGeom prst="rect">
                      <a:avLst/>
                    </a:prstGeom>
                  </pic:spPr>
                </pic:pic>
              </a:graphicData>
            </a:graphic>
          </wp:inline>
        </w:drawing>
      </w:r>
    </w:p>
    <w:tbl>
      <w:tblPr>
        <w:tblW w:w="0" w:type="auto"/>
        <w:jc w:val="center"/>
        <w:tblLook w:val="04A0" w:firstRow="1" w:lastRow="0" w:firstColumn="1" w:lastColumn="0" w:noHBand="0" w:noVBand="1"/>
      </w:tblPr>
      <w:tblGrid>
        <w:gridCol w:w="5184"/>
        <w:gridCol w:w="5184"/>
      </w:tblGrid>
      <w:tr w:rsidR="00B03DB7" w14:paraId="50A47FE5" w14:textId="77777777" w:rsidTr="00406F1D">
        <w:trPr>
          <w:jc w:val="center"/>
        </w:trPr>
        <w:tc>
          <w:tcPr>
            <w:tcW w:w="5285" w:type="dxa"/>
          </w:tcPr>
          <w:p w14:paraId="181A6058" w14:textId="77777777" w:rsidR="00B03DB7" w:rsidRDefault="00B03DB7" w:rsidP="00406F1D">
            <w:pPr>
              <w:jc w:val="center"/>
            </w:pPr>
            <w:r>
              <w:rPr>
                <w:noProof/>
              </w:rPr>
              <w:drawing>
                <wp:inline distT="0" distB="0" distL="0" distR="0" wp14:anchorId="1A91C4FF" wp14:editId="653F22D5">
                  <wp:extent cx="2816352" cy="1320165"/>
                  <wp:effectExtent l="0" t="0" r="0" b="0"/>
                  <wp:docPr id="1474310643" name="Picture 14743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broad.png"/>
                          <pic:cNvPicPr/>
                        </pic:nvPicPr>
                        <pic:blipFill>
                          <a:blip r:embed="rId68"/>
                          <a:stretch>
                            <a:fillRect/>
                          </a:stretch>
                        </pic:blipFill>
                        <pic:spPr>
                          <a:xfrm>
                            <a:off x="0" y="0"/>
                            <a:ext cx="2816352" cy="1320165"/>
                          </a:xfrm>
                          <a:prstGeom prst="rect">
                            <a:avLst/>
                          </a:prstGeom>
                        </pic:spPr>
                      </pic:pic>
                    </a:graphicData>
                  </a:graphic>
                </wp:inline>
              </w:drawing>
            </w:r>
          </w:p>
        </w:tc>
        <w:tc>
          <w:tcPr>
            <w:tcW w:w="5285" w:type="dxa"/>
          </w:tcPr>
          <w:p w14:paraId="46EEC265" w14:textId="77777777" w:rsidR="00B03DB7" w:rsidRDefault="00B03DB7" w:rsidP="00406F1D">
            <w:pPr>
              <w:jc w:val="center"/>
            </w:pPr>
            <w:r>
              <w:rPr>
                <w:noProof/>
              </w:rPr>
              <w:drawing>
                <wp:inline distT="0" distB="0" distL="0" distR="0" wp14:anchorId="4228280F" wp14:editId="1995A9C2">
                  <wp:extent cx="2816352" cy="1320165"/>
                  <wp:effectExtent l="0" t="0" r="0" b="0"/>
                  <wp:docPr id="1509145670" name="Picture 150914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contrib.png"/>
                          <pic:cNvPicPr/>
                        </pic:nvPicPr>
                        <pic:blipFill>
                          <a:blip r:embed="rId69"/>
                          <a:stretch>
                            <a:fillRect/>
                          </a:stretch>
                        </pic:blipFill>
                        <pic:spPr>
                          <a:xfrm>
                            <a:off x="0" y="0"/>
                            <a:ext cx="2816352" cy="1320165"/>
                          </a:xfrm>
                          <a:prstGeom prst="rect">
                            <a:avLst/>
                          </a:prstGeom>
                        </pic:spPr>
                      </pic:pic>
                    </a:graphicData>
                  </a:graphic>
                </wp:inline>
              </w:drawing>
            </w:r>
          </w:p>
        </w:tc>
      </w:tr>
    </w:tbl>
    <w:p w14:paraId="51CB60E9" w14:textId="77777777" w:rsidR="00B03DB7" w:rsidRDefault="00B03DB7" w:rsidP="00B03DB7">
      <w:r>
        <w:rPr>
          <w:b/>
          <w:color w:val="1F3756"/>
        </w:rPr>
      </w:r>
      <w:r>
        <w:t xml:space="preserve">The services economy is not moving evenly across every industry. Aggregate </w:t>
      </w:r>
      <w:proofErr w:type="gramStart"/>
      <w:r>
        <w:t>services</w:t>
      </w:r>
      <w:proofErr w:type="gramEnd"/>
      <w:r>
        <w:t xml:space="preserve"> growth was modest in the first quarter, but information and professional services made unusually strong contributions. That mix suggests the strongest momentum is concentrated in higher-value, technology-linked activities rather than spread uniformly across the sector.</w:t>
      </w:r>
    </w:p>
    <w:tbl>
      <w:tblPr>
        <w:tblW w:w="0" w:type="auto"/>
        <w:jc w:val="center"/>
        <w:tblLook w:val="04A0" w:firstRow="1" w:lastRow="0" w:firstColumn="1" w:lastColumn="0" w:noHBand="0" w:noVBand="1"/>
      </w:tblPr>
      <w:tblGrid>
        <w:gridCol w:w="2595"/>
        <w:gridCol w:w="2591"/>
        <w:gridCol w:w="2585"/>
        <w:gridCol w:w="2597"/>
      </w:tblGrid>
      <w:tr w:rsidR="00B03DB7" w14:paraId="3D6D6722" w14:textId="77777777" w:rsidTr="00406F1D">
        <w:trPr>
          <w:jc w:val="center"/>
        </w:trPr>
        <w:tc>
          <w:tcPr>
            <w:tcW w:w="2642" w:type="dxa"/>
            <w:shd w:val="clear" w:color="auto" w:fill="1F3756"/>
          </w:tcPr>
          <w:p w14:paraId="0251B9FE" w14:textId="77777777" w:rsidR="00B03DB7" w:rsidRDefault="00B03DB7" w:rsidP="00406F1D">
            <w:r>
              <w:rPr>
                <w:b/>
                <w:color w:val="FFFFFF"/>
                <w:sz w:val="13"/>
              </w:rPr>
              <w:t>Signal</w:t>
            </w:r>
          </w:p>
        </w:tc>
        <w:tc>
          <w:tcPr>
            <w:tcW w:w="2642" w:type="dxa"/>
            <w:shd w:val="clear" w:color="auto" w:fill="1F3756"/>
          </w:tcPr>
          <w:p w14:paraId="1458F59B" w14:textId="77777777" w:rsidR="00B03DB7" w:rsidRDefault="00B03DB7" w:rsidP="00406F1D">
            <w:r>
              <w:rPr>
                <w:b/>
                <w:color w:val="FFFFFF"/>
                <w:sz w:val="13"/>
              </w:rPr>
              <w:t>Latest reading</w:t>
            </w:r>
          </w:p>
        </w:tc>
        <w:tc>
          <w:tcPr>
            <w:tcW w:w="2642" w:type="dxa"/>
            <w:shd w:val="clear" w:color="auto" w:fill="1F3756"/>
          </w:tcPr>
          <w:p w14:paraId="33D2F4DB" w14:textId="77777777" w:rsidR="00B03DB7" w:rsidRDefault="00B03DB7" w:rsidP="00406F1D">
            <w:r>
              <w:rPr>
                <w:b/>
                <w:color w:val="FFFFFF"/>
                <w:sz w:val="13"/>
              </w:rPr>
              <w:t>Period</w:t>
            </w:r>
          </w:p>
        </w:tc>
        <w:tc>
          <w:tcPr>
            <w:tcW w:w="2642" w:type="dxa"/>
            <w:shd w:val="clear" w:color="auto" w:fill="1F3756"/>
          </w:tcPr>
          <w:p w14:paraId="3F085338" w14:textId="77777777" w:rsidR="00B03DB7" w:rsidRDefault="00B03DB7" w:rsidP="00406F1D">
            <w:r>
              <w:rPr>
                <w:b/>
                <w:color w:val="FFFFFF"/>
                <w:sz w:val="13"/>
              </w:rPr>
              <w:t>Interpretation</w:t>
            </w:r>
          </w:p>
        </w:tc>
      </w:tr>
      <w:tr w:rsidR="00B03DB7" w14:paraId="214BB0E7" w14:textId="77777777" w:rsidTr="00406F1D">
        <w:trPr>
          <w:jc w:val="center"/>
        </w:trPr>
        <w:tc>
          <w:tcPr>
            <w:tcW w:w="2642" w:type="dxa"/>
            <w:vAlign w:val="center"/>
          </w:tcPr>
          <w:p w14:paraId="291A4A63" w14:textId="77777777" w:rsidR="00B03DB7" w:rsidRDefault="00B03DB7" w:rsidP="00406F1D">
            <w:pPr>
              <w:spacing w:after="0"/>
            </w:pPr>
            <w:r>
              <w:rPr>
                <w:sz w:val="13"/>
              </w:rPr>
              <w:t xml:space="preserve">Private services </w:t>
            </w:r>
            <w:proofErr w:type="gramStart"/>
            <w:r>
              <w:rPr>
                <w:sz w:val="13"/>
              </w:rPr>
              <w:t>real</w:t>
            </w:r>
            <w:proofErr w:type="gramEnd"/>
            <w:r>
              <w:rPr>
                <w:sz w:val="13"/>
              </w:rPr>
              <w:t xml:space="preserve"> value added</w:t>
            </w:r>
          </w:p>
        </w:tc>
        <w:tc>
          <w:tcPr>
            <w:tcW w:w="2642" w:type="dxa"/>
            <w:vAlign w:val="center"/>
          </w:tcPr>
          <w:p w14:paraId="70A472EE" w14:textId="77777777" w:rsidR="00B03DB7" w:rsidRDefault="00B03DB7" w:rsidP="00406F1D">
            <w:pPr>
              <w:spacing w:after="0"/>
            </w:pPr>
            <w:r>
              <w:rPr>
                <w:sz w:val="13"/>
              </w:rPr>
              <w:t>+0.8% annualized</w:t>
            </w:r>
          </w:p>
        </w:tc>
        <w:tc>
          <w:tcPr>
            <w:tcW w:w="2642" w:type="dxa"/>
            <w:vAlign w:val="center"/>
          </w:tcPr>
          <w:p w14:paraId="6FDA12CA" w14:textId="77777777" w:rsidR="00B03DB7" w:rsidRDefault="00B03DB7" w:rsidP="00406F1D">
            <w:pPr>
              <w:spacing w:after="0"/>
            </w:pPr>
            <w:r>
              <w:rPr>
                <w:sz w:val="13"/>
              </w:rPr>
              <w:t>Q1 2026</w:t>
            </w:r>
          </w:p>
        </w:tc>
        <w:tc>
          <w:tcPr>
            <w:tcW w:w="2642" w:type="dxa"/>
            <w:vAlign w:val="center"/>
          </w:tcPr>
          <w:p w14:paraId="1C0FB2D1" w14:textId="77777777" w:rsidR="00B03DB7" w:rsidRDefault="00B03DB7" w:rsidP="00406F1D">
            <w:pPr>
              <w:spacing w:after="0"/>
            </w:pPr>
            <w:r>
              <w:rPr>
                <w:sz w:val="13"/>
              </w:rPr>
              <w:t>Positive, but slower than goods and government</w:t>
            </w:r>
          </w:p>
        </w:tc>
      </w:tr>
      <w:tr w:rsidR="00B03DB7" w14:paraId="3A829F61" w14:textId="77777777" w:rsidTr="00406F1D">
        <w:trPr>
          <w:jc w:val="center"/>
        </w:trPr>
        <w:tc>
          <w:tcPr>
            <w:tcW w:w="2642" w:type="dxa"/>
            <w:vAlign w:val="center"/>
          </w:tcPr>
          <w:p w14:paraId="6FCE5180" w14:textId="77777777" w:rsidR="00B03DB7" w:rsidRDefault="00B03DB7" w:rsidP="00406F1D">
            <w:pPr>
              <w:spacing w:after="0"/>
            </w:pPr>
            <w:r>
              <w:rPr>
                <w:sz w:val="13"/>
              </w:rPr>
              <w:t>Information contribution</w:t>
            </w:r>
          </w:p>
        </w:tc>
        <w:tc>
          <w:tcPr>
            <w:tcW w:w="2642" w:type="dxa"/>
            <w:vAlign w:val="center"/>
          </w:tcPr>
          <w:p w14:paraId="5919958F" w14:textId="77777777" w:rsidR="00B03DB7" w:rsidRDefault="00B03DB7" w:rsidP="00406F1D">
            <w:pPr>
              <w:spacing w:after="0"/>
            </w:pPr>
            <w:r>
              <w:rPr>
                <w:sz w:val="13"/>
              </w:rPr>
              <w:t>+0.69 pp to GDP growth</w:t>
            </w:r>
          </w:p>
        </w:tc>
        <w:tc>
          <w:tcPr>
            <w:tcW w:w="2642" w:type="dxa"/>
            <w:vAlign w:val="center"/>
          </w:tcPr>
          <w:p w14:paraId="458B64BE" w14:textId="77777777" w:rsidR="00B03DB7" w:rsidRDefault="00B03DB7" w:rsidP="00406F1D">
            <w:pPr>
              <w:spacing w:after="0"/>
            </w:pPr>
            <w:r>
              <w:rPr>
                <w:sz w:val="13"/>
              </w:rPr>
              <w:t>Q1 2026</w:t>
            </w:r>
          </w:p>
        </w:tc>
        <w:tc>
          <w:tcPr>
            <w:tcW w:w="2642" w:type="dxa"/>
            <w:vAlign w:val="center"/>
          </w:tcPr>
          <w:p w14:paraId="0FA4A60B" w14:textId="77777777" w:rsidR="00B03DB7" w:rsidRDefault="00B03DB7" w:rsidP="00406F1D">
            <w:pPr>
              <w:spacing w:after="0"/>
            </w:pPr>
            <w:r>
              <w:rPr>
                <w:sz w:val="13"/>
              </w:rPr>
              <w:t>Largest industry contribution</w:t>
            </w:r>
          </w:p>
        </w:tc>
      </w:tr>
      <w:tr w:rsidR="00B03DB7" w14:paraId="7D67A220" w14:textId="77777777" w:rsidTr="00406F1D">
        <w:trPr>
          <w:jc w:val="center"/>
        </w:trPr>
        <w:tc>
          <w:tcPr>
            <w:tcW w:w="2642" w:type="dxa"/>
            <w:vAlign w:val="center"/>
          </w:tcPr>
          <w:p w14:paraId="40292C99" w14:textId="77777777" w:rsidR="00B03DB7" w:rsidRDefault="00B03DB7" w:rsidP="00406F1D">
            <w:pPr>
              <w:spacing w:after="0"/>
            </w:pPr>
            <w:r>
              <w:rPr>
                <w:sz w:val="13"/>
              </w:rPr>
              <w:t>Professional, scientific &amp; technical</w:t>
            </w:r>
          </w:p>
        </w:tc>
        <w:tc>
          <w:tcPr>
            <w:tcW w:w="2642" w:type="dxa"/>
            <w:vAlign w:val="center"/>
          </w:tcPr>
          <w:p w14:paraId="06A0B3B1" w14:textId="77777777" w:rsidR="00B03DB7" w:rsidRDefault="00B03DB7" w:rsidP="00406F1D">
            <w:pPr>
              <w:spacing w:after="0"/>
            </w:pPr>
            <w:r>
              <w:rPr>
                <w:sz w:val="13"/>
              </w:rPr>
              <w:t>+0.40 pp</w:t>
            </w:r>
          </w:p>
        </w:tc>
        <w:tc>
          <w:tcPr>
            <w:tcW w:w="2642" w:type="dxa"/>
            <w:vAlign w:val="center"/>
          </w:tcPr>
          <w:p w14:paraId="5E1A3310" w14:textId="77777777" w:rsidR="00B03DB7" w:rsidRDefault="00B03DB7" w:rsidP="00406F1D">
            <w:pPr>
              <w:spacing w:after="0"/>
            </w:pPr>
            <w:r>
              <w:rPr>
                <w:sz w:val="13"/>
              </w:rPr>
              <w:t>Q1 2026</w:t>
            </w:r>
          </w:p>
        </w:tc>
        <w:tc>
          <w:tcPr>
            <w:tcW w:w="2642" w:type="dxa"/>
            <w:vAlign w:val="center"/>
          </w:tcPr>
          <w:p w14:paraId="2E25DBA2" w14:textId="77777777" w:rsidR="00B03DB7" w:rsidRDefault="00B03DB7" w:rsidP="00406F1D">
            <w:pPr>
              <w:spacing w:after="0"/>
            </w:pPr>
            <w:r>
              <w:rPr>
                <w:sz w:val="13"/>
              </w:rPr>
              <w:t>Strong high-value services contribution</w:t>
            </w:r>
          </w:p>
        </w:tc>
      </w:tr>
      <w:tr w:rsidR="00B03DB7" w14:paraId="49AC9A01" w14:textId="77777777" w:rsidTr="00406F1D">
        <w:trPr>
          <w:jc w:val="center"/>
        </w:trPr>
        <w:tc>
          <w:tcPr>
            <w:tcW w:w="2642" w:type="dxa"/>
            <w:vAlign w:val="center"/>
          </w:tcPr>
          <w:p w14:paraId="0BC3A262" w14:textId="77777777" w:rsidR="00B03DB7" w:rsidRDefault="00B03DB7" w:rsidP="00406F1D">
            <w:pPr>
              <w:spacing w:after="0"/>
            </w:pPr>
            <w:r>
              <w:rPr>
                <w:sz w:val="13"/>
              </w:rPr>
              <w:t>ISM Services PMI</w:t>
            </w:r>
          </w:p>
        </w:tc>
        <w:tc>
          <w:tcPr>
            <w:tcW w:w="2642" w:type="dxa"/>
            <w:vAlign w:val="center"/>
          </w:tcPr>
          <w:p w14:paraId="6B394DB6" w14:textId="77777777" w:rsidR="00B03DB7" w:rsidRDefault="00B03DB7" w:rsidP="00406F1D">
            <w:pPr>
              <w:spacing w:after="0"/>
            </w:pPr>
            <w:r>
              <w:rPr>
                <w:sz w:val="13"/>
              </w:rPr>
              <w:t>55.4</w:t>
            </w:r>
          </w:p>
        </w:tc>
        <w:tc>
          <w:tcPr>
            <w:tcW w:w="2642" w:type="dxa"/>
            <w:vAlign w:val="center"/>
          </w:tcPr>
          <w:p w14:paraId="10671D3B" w14:textId="77777777" w:rsidR="00B03DB7" w:rsidRDefault="00B03DB7" w:rsidP="00406F1D">
            <w:pPr>
              <w:spacing w:after="0"/>
            </w:pPr>
            <w:r>
              <w:rPr>
                <w:sz w:val="13"/>
              </w:rPr>
              <w:t>Aug 2026</w:t>
            </w:r>
          </w:p>
        </w:tc>
        <w:tc>
          <w:tcPr>
            <w:tcW w:w="2642" w:type="dxa"/>
            <w:vAlign w:val="center"/>
          </w:tcPr>
          <w:p w14:paraId="5ED9194D" w14:textId="77777777" w:rsidR="00B03DB7" w:rsidRDefault="00B03DB7" w:rsidP="00406F1D">
            <w:pPr>
              <w:spacing w:after="0"/>
            </w:pPr>
            <w:r>
              <w:rPr>
                <w:sz w:val="13"/>
              </w:rPr>
              <w:t>Services activity expanding</w:t>
            </w:r>
          </w:p>
        </w:tc>
      </w:tr>
    </w:tbl>
    <w:p w14:paraId="7D9CFBF1" w14:textId="77777777" w:rsidR="00B03DB7" w:rsidRDefault="00B03DB7" w:rsidP="00B03DB7">
      <w:r>
        <w:rPr>
          <w:b/>
        </w:rPr>
        <w:t xml:space="preserve">Source: </w:t>
      </w:r>
      <w:r>
        <w:rPr>
          <w:i/>
          <w:sz w:val="14"/>
        </w:rPr>
        <w:t>BEA GDP by Industry, Q1 2026; ISM Services PMI, August 2026. BEA Q2 industry data are scheduled for September 30, 2026.</w:t>
      </w:r>
    </w:p>
    <w:p w14:paraId="0A7A35C1"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10   |   Page 32</w:t>
      </w:r>
    </w:p>
    <w:p w14:paraId="0D6CE17E" w14:textId="77777777" w:rsidR="00B03DB7" w:rsidRDefault="00B03DB7" w:rsidP="00B03DB7">
      <w:r>
        <w:br w:type="page"/>
      </w:r>
    </w:p>
    <w:p w14:paraId="251350FA" w14:textId="77777777" w:rsidR="00B03DB7" w:rsidRDefault="00B03DB7" w:rsidP="00B03DB7">
      <w:r>
        <w:rPr>
          <w:b/>
          <w:color w:val="555555"/>
          <w:sz w:val="15"/>
        </w:rPr>
        <w:lastRenderedPageBreak/>
        <w:t xml:space="preserve">CHAPTER </w:t>
      </w:r>
      <w:proofErr w:type="gramStart"/>
      <w:r>
        <w:rPr>
          <w:b/>
          <w:color w:val="555555"/>
          <w:sz w:val="15"/>
        </w:rPr>
        <w:t>10  /</w:t>
      </w:r>
      <w:proofErr w:type="gramEnd"/>
      <w:r>
        <w:rPr>
          <w:b/>
          <w:color w:val="555555"/>
          <w:sz w:val="15"/>
        </w:rPr>
        <w:t xml:space="preserve">  SERVICES ECONOMY</w:t>
      </w:r>
    </w:p>
    <w:p w14:paraId="7116551E" w14:textId="77777777" w:rsidR="00B03DB7" w:rsidRDefault="00B03DB7" w:rsidP="00B03DB7">
      <w:pPr>
        <w:pStyle w:val="Heading1"/>
      </w:pPr>
      <w:r>
        <w:t>33. Services PMI &amp; Business Activity</w:t>
      </w:r>
    </w:p>
    <w:p w14:paraId="00CC58FD" w14:textId="77777777" w:rsidR="00B03DB7" w:rsidRDefault="00B03DB7" w:rsidP="00B03DB7">
      <w:r>
        <w:rPr>
          <w:i/>
          <w:color w:val="555555"/>
        </w:rPr>
        <w:t>ISM Services PMI | Demand, Activity, Employment and Prices</w:t>
      </w:r>
    </w:p>
    <w:p w14:paraId="3A7E8367" w14:textId="77777777" w:rsidR="00B03DB7" w:rsidRDefault="00B03DB7" w:rsidP="00B03DB7">
      <w:r>
        <w:t xml:space="preserve">Survey data strengthened during the summer. The ISM Services PMI rose to 55.4 in August, while business activity and new orders </w:t>
      </w:r>
      <w:proofErr w:type="gramStart"/>
      <w:r>
        <w:t>moved</w:t>
      </w:r>
      <w:proofErr w:type="gramEnd"/>
      <w:r>
        <w:t xml:space="preserve"> above 60. The one clear weak spot was employment, which remained below the </w:t>
      </w:r>
      <w:proofErr w:type="gramStart"/>
      <w:r>
        <w:t>50 expansion</w:t>
      </w:r>
      <w:proofErr w:type="gramEnd"/>
      <w:r>
        <w:t xml:space="preserve"> threshold. At the same time, the prices index climbed further, showing that stronger activity is still coming with meaningful cost pressure.</w:t>
      </w:r>
    </w:p>
    <w:tbl>
      <w:tblPr>
        <w:tblW w:w="0" w:type="auto"/>
        <w:jc w:val="center"/>
        <w:tblLook w:val="04A0" w:firstRow="1" w:lastRow="0" w:firstColumn="1" w:lastColumn="0" w:noHBand="0" w:noVBand="1"/>
      </w:tblPr>
      <w:tblGrid>
        <w:gridCol w:w="5184"/>
        <w:gridCol w:w="5184"/>
      </w:tblGrid>
      <w:tr w:rsidR="00B03DB7" w14:paraId="0E211A16" w14:textId="77777777" w:rsidTr="00406F1D">
        <w:trPr>
          <w:jc w:val="center"/>
        </w:trPr>
        <w:tc>
          <w:tcPr>
            <w:tcW w:w="5285" w:type="dxa"/>
          </w:tcPr>
          <w:p w14:paraId="2283E7AE" w14:textId="77777777" w:rsidR="00B03DB7" w:rsidRDefault="00B03DB7" w:rsidP="00406F1D">
            <w:pPr>
              <w:jc w:val="center"/>
            </w:pPr>
            <w:r>
              <w:rPr>
                <w:noProof/>
              </w:rPr>
              <w:drawing>
                <wp:inline distT="0" distB="0" distL="0" distR="0" wp14:anchorId="1D9E36F1" wp14:editId="59AE8F9E">
                  <wp:extent cx="2834640" cy="1328738"/>
                  <wp:effectExtent l="0" t="0" r="0" b="0"/>
                  <wp:docPr id="298565764" name="Picture 29856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pmi.png"/>
                          <pic:cNvPicPr/>
                        </pic:nvPicPr>
                        <pic:blipFill>
                          <a:blip r:embed="rId70"/>
                          <a:stretch>
                            <a:fillRect/>
                          </a:stretch>
                        </pic:blipFill>
                        <pic:spPr>
                          <a:xfrm>
                            <a:off x="0" y="0"/>
                            <a:ext cx="2834640" cy="1328738"/>
                          </a:xfrm>
                          <a:prstGeom prst="rect">
                            <a:avLst/>
                          </a:prstGeom>
                        </pic:spPr>
                      </pic:pic>
                    </a:graphicData>
                  </a:graphic>
                </wp:inline>
              </w:drawing>
            </w:r>
          </w:p>
        </w:tc>
        <w:tc>
          <w:tcPr>
            <w:tcW w:w="5285" w:type="dxa"/>
          </w:tcPr>
          <w:p w14:paraId="395BB44F" w14:textId="77777777" w:rsidR="00B03DB7" w:rsidRDefault="00B03DB7" w:rsidP="00406F1D">
            <w:pPr>
              <w:jc w:val="center"/>
            </w:pPr>
            <w:r>
              <w:rPr>
                <w:noProof/>
              </w:rPr>
              <w:drawing>
                <wp:inline distT="0" distB="0" distL="0" distR="0" wp14:anchorId="18C898F6" wp14:editId="62A0D2CE">
                  <wp:extent cx="2834640" cy="1351905"/>
                  <wp:effectExtent l="0" t="0" r="0" b="0"/>
                  <wp:docPr id="1008058198" name="Picture 100805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components.png"/>
                          <pic:cNvPicPr/>
                        </pic:nvPicPr>
                        <pic:blipFill>
                          <a:blip r:embed="rId71"/>
                          <a:stretch>
                            <a:fillRect/>
                          </a:stretch>
                        </pic:blipFill>
                        <pic:spPr>
                          <a:xfrm>
                            <a:off x="0" y="0"/>
                            <a:ext cx="2834640" cy="1351905"/>
                          </a:xfrm>
                          <a:prstGeom prst="rect">
                            <a:avLst/>
                          </a:prstGeom>
                        </pic:spPr>
                      </pic:pic>
                    </a:graphicData>
                  </a:graphic>
                </wp:inline>
              </w:drawing>
            </w:r>
          </w:p>
        </w:tc>
      </w:tr>
    </w:tbl>
    <w:p w14:paraId="26F27A3D" w14:textId="77777777" w:rsidR="00B03DB7" w:rsidRDefault="00B03DB7" w:rsidP="00B03DB7">
      <w:r>
        <w:rPr>
          <w:b/>
          <w:color w:val="1F3756"/>
        </w:rPr>
      </w:r>
      <w:r>
        <w:t>The August survey points to a clear acceleration in service-sector demand. Business activity and new orders are running well above the expansion line, but hiring has not followed the same pattern. The combination of strong demand, weak employment and high prices suggests firms are trying to meet activity with existing capacity while still facing cost pressure.</w:t>
      </w:r>
    </w:p>
    <w:tbl>
      <w:tblPr>
        <w:tblW w:w="0" w:type="auto"/>
        <w:jc w:val="center"/>
        <w:tblLook w:val="04A0" w:firstRow="1" w:lastRow="0" w:firstColumn="1" w:lastColumn="0" w:noHBand="0" w:noVBand="1"/>
      </w:tblPr>
      <w:tblGrid>
        <w:gridCol w:w="2598"/>
        <w:gridCol w:w="2586"/>
        <w:gridCol w:w="2586"/>
        <w:gridCol w:w="2598"/>
      </w:tblGrid>
      <w:tr w:rsidR="00B03DB7" w14:paraId="256FB527" w14:textId="77777777" w:rsidTr="00406F1D">
        <w:trPr>
          <w:jc w:val="center"/>
        </w:trPr>
        <w:tc>
          <w:tcPr>
            <w:tcW w:w="2642" w:type="dxa"/>
            <w:shd w:val="clear" w:color="auto" w:fill="1F3756"/>
          </w:tcPr>
          <w:p w14:paraId="3F482B23" w14:textId="77777777" w:rsidR="00B03DB7" w:rsidRDefault="00B03DB7" w:rsidP="00406F1D">
            <w:r>
              <w:rPr>
                <w:b/>
                <w:color w:val="FFFFFF"/>
                <w:sz w:val="13"/>
              </w:rPr>
              <w:t>ISM index</w:t>
            </w:r>
          </w:p>
        </w:tc>
        <w:tc>
          <w:tcPr>
            <w:tcW w:w="2642" w:type="dxa"/>
            <w:shd w:val="clear" w:color="auto" w:fill="1F3756"/>
          </w:tcPr>
          <w:p w14:paraId="4EABA14D" w14:textId="77777777" w:rsidR="00B03DB7" w:rsidRDefault="00B03DB7" w:rsidP="00406F1D">
            <w:r>
              <w:rPr>
                <w:b/>
                <w:color w:val="FFFFFF"/>
                <w:sz w:val="13"/>
              </w:rPr>
              <w:t>Jul 2026</w:t>
            </w:r>
          </w:p>
        </w:tc>
        <w:tc>
          <w:tcPr>
            <w:tcW w:w="2642" w:type="dxa"/>
            <w:shd w:val="clear" w:color="auto" w:fill="1F3756"/>
          </w:tcPr>
          <w:p w14:paraId="2957DAAB" w14:textId="77777777" w:rsidR="00B03DB7" w:rsidRDefault="00B03DB7" w:rsidP="00406F1D">
            <w:r>
              <w:rPr>
                <w:b/>
                <w:color w:val="FFFFFF"/>
                <w:sz w:val="13"/>
              </w:rPr>
              <w:t>Aug 2026</w:t>
            </w:r>
          </w:p>
        </w:tc>
        <w:tc>
          <w:tcPr>
            <w:tcW w:w="2642" w:type="dxa"/>
            <w:shd w:val="clear" w:color="auto" w:fill="1F3756"/>
          </w:tcPr>
          <w:p w14:paraId="2A6CA7D7" w14:textId="77777777" w:rsidR="00B03DB7" w:rsidRDefault="00B03DB7" w:rsidP="00406F1D">
            <w:r>
              <w:rPr>
                <w:b/>
                <w:color w:val="FFFFFF"/>
                <w:sz w:val="13"/>
              </w:rPr>
              <w:t>Direction</w:t>
            </w:r>
          </w:p>
        </w:tc>
      </w:tr>
      <w:tr w:rsidR="00B03DB7" w14:paraId="09806AC7" w14:textId="77777777" w:rsidTr="00406F1D">
        <w:trPr>
          <w:jc w:val="center"/>
        </w:trPr>
        <w:tc>
          <w:tcPr>
            <w:tcW w:w="2642" w:type="dxa"/>
            <w:vAlign w:val="center"/>
          </w:tcPr>
          <w:p w14:paraId="49856F09" w14:textId="77777777" w:rsidR="00B03DB7" w:rsidRDefault="00B03DB7" w:rsidP="00406F1D">
            <w:pPr>
              <w:spacing w:after="0"/>
            </w:pPr>
            <w:r>
              <w:rPr>
                <w:sz w:val="13"/>
              </w:rPr>
              <w:t>Services PMI</w:t>
            </w:r>
          </w:p>
        </w:tc>
        <w:tc>
          <w:tcPr>
            <w:tcW w:w="2642" w:type="dxa"/>
            <w:vAlign w:val="center"/>
          </w:tcPr>
          <w:p w14:paraId="1F018C41" w14:textId="77777777" w:rsidR="00B03DB7" w:rsidRDefault="00B03DB7" w:rsidP="00406F1D">
            <w:pPr>
              <w:spacing w:after="0"/>
            </w:pPr>
            <w:r>
              <w:rPr>
                <w:sz w:val="13"/>
              </w:rPr>
              <w:t>54.1</w:t>
            </w:r>
          </w:p>
        </w:tc>
        <w:tc>
          <w:tcPr>
            <w:tcW w:w="2642" w:type="dxa"/>
            <w:vAlign w:val="center"/>
          </w:tcPr>
          <w:p w14:paraId="196E673E" w14:textId="77777777" w:rsidR="00B03DB7" w:rsidRDefault="00B03DB7" w:rsidP="00406F1D">
            <w:pPr>
              <w:spacing w:after="0"/>
            </w:pPr>
            <w:r>
              <w:rPr>
                <w:sz w:val="13"/>
              </w:rPr>
              <w:t>55.4</w:t>
            </w:r>
          </w:p>
        </w:tc>
        <w:tc>
          <w:tcPr>
            <w:tcW w:w="2642" w:type="dxa"/>
            <w:vAlign w:val="center"/>
          </w:tcPr>
          <w:p w14:paraId="3B7B6FE5" w14:textId="77777777" w:rsidR="00B03DB7" w:rsidRDefault="00B03DB7" w:rsidP="00406F1D">
            <w:pPr>
              <w:spacing w:after="0"/>
            </w:pPr>
            <w:r>
              <w:rPr>
                <w:sz w:val="13"/>
              </w:rPr>
              <w:t>Faster expansion</w:t>
            </w:r>
          </w:p>
        </w:tc>
      </w:tr>
      <w:tr w:rsidR="00B03DB7" w14:paraId="08A55776" w14:textId="77777777" w:rsidTr="00406F1D">
        <w:trPr>
          <w:jc w:val="center"/>
        </w:trPr>
        <w:tc>
          <w:tcPr>
            <w:tcW w:w="2642" w:type="dxa"/>
            <w:vAlign w:val="center"/>
          </w:tcPr>
          <w:p w14:paraId="1E8D0BD1" w14:textId="77777777" w:rsidR="00B03DB7" w:rsidRDefault="00B03DB7" w:rsidP="00406F1D">
            <w:pPr>
              <w:spacing w:after="0"/>
            </w:pPr>
            <w:r>
              <w:rPr>
                <w:sz w:val="13"/>
              </w:rPr>
              <w:t>Business Activity</w:t>
            </w:r>
          </w:p>
        </w:tc>
        <w:tc>
          <w:tcPr>
            <w:tcW w:w="2642" w:type="dxa"/>
            <w:vAlign w:val="center"/>
          </w:tcPr>
          <w:p w14:paraId="240B1B42" w14:textId="77777777" w:rsidR="00B03DB7" w:rsidRDefault="00B03DB7" w:rsidP="00406F1D">
            <w:pPr>
              <w:spacing w:after="0"/>
            </w:pPr>
            <w:r>
              <w:rPr>
                <w:sz w:val="13"/>
              </w:rPr>
              <w:t>59.1</w:t>
            </w:r>
          </w:p>
        </w:tc>
        <w:tc>
          <w:tcPr>
            <w:tcW w:w="2642" w:type="dxa"/>
            <w:vAlign w:val="center"/>
          </w:tcPr>
          <w:p w14:paraId="59216DA5" w14:textId="77777777" w:rsidR="00B03DB7" w:rsidRDefault="00B03DB7" w:rsidP="00406F1D">
            <w:pPr>
              <w:spacing w:after="0"/>
            </w:pPr>
            <w:r>
              <w:rPr>
                <w:sz w:val="13"/>
              </w:rPr>
              <w:t>61.7</w:t>
            </w:r>
          </w:p>
        </w:tc>
        <w:tc>
          <w:tcPr>
            <w:tcW w:w="2642" w:type="dxa"/>
            <w:vAlign w:val="center"/>
          </w:tcPr>
          <w:p w14:paraId="72783565" w14:textId="77777777" w:rsidR="00B03DB7" w:rsidRDefault="00B03DB7" w:rsidP="00406F1D">
            <w:pPr>
              <w:spacing w:after="0"/>
            </w:pPr>
            <w:r>
              <w:rPr>
                <w:sz w:val="13"/>
              </w:rPr>
              <w:t>Strong acceleration</w:t>
            </w:r>
          </w:p>
        </w:tc>
      </w:tr>
      <w:tr w:rsidR="00B03DB7" w14:paraId="72CD10E8" w14:textId="77777777" w:rsidTr="00406F1D">
        <w:trPr>
          <w:jc w:val="center"/>
        </w:trPr>
        <w:tc>
          <w:tcPr>
            <w:tcW w:w="2642" w:type="dxa"/>
            <w:vAlign w:val="center"/>
          </w:tcPr>
          <w:p w14:paraId="4A18EF68" w14:textId="77777777" w:rsidR="00B03DB7" w:rsidRDefault="00B03DB7" w:rsidP="00406F1D">
            <w:pPr>
              <w:spacing w:after="0"/>
            </w:pPr>
            <w:r>
              <w:rPr>
                <w:sz w:val="13"/>
              </w:rPr>
              <w:t>New Orders</w:t>
            </w:r>
          </w:p>
        </w:tc>
        <w:tc>
          <w:tcPr>
            <w:tcW w:w="2642" w:type="dxa"/>
            <w:vAlign w:val="center"/>
          </w:tcPr>
          <w:p w14:paraId="39A542B2" w14:textId="77777777" w:rsidR="00B03DB7" w:rsidRDefault="00B03DB7" w:rsidP="00406F1D">
            <w:pPr>
              <w:spacing w:after="0"/>
            </w:pPr>
            <w:r>
              <w:rPr>
                <w:sz w:val="13"/>
              </w:rPr>
              <w:t>57.2</w:t>
            </w:r>
          </w:p>
        </w:tc>
        <w:tc>
          <w:tcPr>
            <w:tcW w:w="2642" w:type="dxa"/>
            <w:vAlign w:val="center"/>
          </w:tcPr>
          <w:p w14:paraId="13FC7F4F" w14:textId="77777777" w:rsidR="00B03DB7" w:rsidRDefault="00B03DB7" w:rsidP="00406F1D">
            <w:pPr>
              <w:spacing w:after="0"/>
            </w:pPr>
            <w:r>
              <w:rPr>
                <w:sz w:val="13"/>
              </w:rPr>
              <w:t>60.9</w:t>
            </w:r>
          </w:p>
        </w:tc>
        <w:tc>
          <w:tcPr>
            <w:tcW w:w="2642" w:type="dxa"/>
            <w:vAlign w:val="center"/>
          </w:tcPr>
          <w:p w14:paraId="58ACA89A" w14:textId="77777777" w:rsidR="00B03DB7" w:rsidRDefault="00B03DB7" w:rsidP="00406F1D">
            <w:pPr>
              <w:spacing w:after="0"/>
            </w:pPr>
            <w:r>
              <w:rPr>
                <w:sz w:val="13"/>
              </w:rPr>
              <w:t>Demand strengthened</w:t>
            </w:r>
          </w:p>
        </w:tc>
      </w:tr>
      <w:tr w:rsidR="00B03DB7" w14:paraId="21D3B838" w14:textId="77777777" w:rsidTr="00406F1D">
        <w:trPr>
          <w:jc w:val="center"/>
        </w:trPr>
        <w:tc>
          <w:tcPr>
            <w:tcW w:w="2642" w:type="dxa"/>
            <w:vAlign w:val="center"/>
          </w:tcPr>
          <w:p w14:paraId="400E82E0" w14:textId="77777777" w:rsidR="00B03DB7" w:rsidRDefault="00B03DB7" w:rsidP="00406F1D">
            <w:pPr>
              <w:spacing w:after="0"/>
            </w:pPr>
            <w:r>
              <w:rPr>
                <w:sz w:val="13"/>
              </w:rPr>
              <w:t>Employment</w:t>
            </w:r>
          </w:p>
        </w:tc>
        <w:tc>
          <w:tcPr>
            <w:tcW w:w="2642" w:type="dxa"/>
            <w:vAlign w:val="center"/>
          </w:tcPr>
          <w:p w14:paraId="07BFA91D" w14:textId="77777777" w:rsidR="00B03DB7" w:rsidRDefault="00B03DB7" w:rsidP="00406F1D">
            <w:pPr>
              <w:spacing w:after="0"/>
            </w:pPr>
            <w:r>
              <w:rPr>
                <w:sz w:val="13"/>
              </w:rPr>
              <w:t>47.4</w:t>
            </w:r>
          </w:p>
        </w:tc>
        <w:tc>
          <w:tcPr>
            <w:tcW w:w="2642" w:type="dxa"/>
            <w:vAlign w:val="center"/>
          </w:tcPr>
          <w:p w14:paraId="5EC779ED" w14:textId="77777777" w:rsidR="00B03DB7" w:rsidRDefault="00B03DB7" w:rsidP="00406F1D">
            <w:pPr>
              <w:spacing w:after="0"/>
            </w:pPr>
            <w:r>
              <w:rPr>
                <w:sz w:val="13"/>
              </w:rPr>
              <w:t>47.8</w:t>
            </w:r>
          </w:p>
        </w:tc>
        <w:tc>
          <w:tcPr>
            <w:tcW w:w="2642" w:type="dxa"/>
            <w:vAlign w:val="center"/>
          </w:tcPr>
          <w:p w14:paraId="259D6260" w14:textId="77777777" w:rsidR="00B03DB7" w:rsidRDefault="00B03DB7" w:rsidP="00406F1D">
            <w:pPr>
              <w:spacing w:after="0"/>
            </w:pPr>
            <w:r>
              <w:rPr>
                <w:sz w:val="13"/>
              </w:rPr>
              <w:t>Still contracting</w:t>
            </w:r>
          </w:p>
        </w:tc>
      </w:tr>
      <w:tr w:rsidR="00B03DB7" w14:paraId="0CF5C181" w14:textId="77777777" w:rsidTr="00406F1D">
        <w:trPr>
          <w:jc w:val="center"/>
        </w:trPr>
        <w:tc>
          <w:tcPr>
            <w:tcW w:w="2642" w:type="dxa"/>
            <w:vAlign w:val="center"/>
          </w:tcPr>
          <w:p w14:paraId="524F10CA" w14:textId="77777777" w:rsidR="00B03DB7" w:rsidRDefault="00B03DB7" w:rsidP="00406F1D">
            <w:pPr>
              <w:spacing w:after="0"/>
            </w:pPr>
            <w:r>
              <w:rPr>
                <w:sz w:val="13"/>
              </w:rPr>
              <w:t>Prices</w:t>
            </w:r>
          </w:p>
        </w:tc>
        <w:tc>
          <w:tcPr>
            <w:tcW w:w="2642" w:type="dxa"/>
            <w:vAlign w:val="center"/>
          </w:tcPr>
          <w:p w14:paraId="3E43E40F" w14:textId="77777777" w:rsidR="00B03DB7" w:rsidRDefault="00B03DB7" w:rsidP="00406F1D">
            <w:pPr>
              <w:spacing w:after="0"/>
            </w:pPr>
            <w:r>
              <w:rPr>
                <w:sz w:val="13"/>
              </w:rPr>
              <w:t>70.3</w:t>
            </w:r>
          </w:p>
        </w:tc>
        <w:tc>
          <w:tcPr>
            <w:tcW w:w="2642" w:type="dxa"/>
            <w:vAlign w:val="center"/>
          </w:tcPr>
          <w:p w14:paraId="4D90E2A6" w14:textId="77777777" w:rsidR="00B03DB7" w:rsidRDefault="00B03DB7" w:rsidP="00406F1D">
            <w:pPr>
              <w:spacing w:after="0"/>
            </w:pPr>
            <w:r>
              <w:rPr>
                <w:sz w:val="13"/>
              </w:rPr>
              <w:t>72.6</w:t>
            </w:r>
          </w:p>
        </w:tc>
        <w:tc>
          <w:tcPr>
            <w:tcW w:w="2642" w:type="dxa"/>
            <w:vAlign w:val="center"/>
          </w:tcPr>
          <w:p w14:paraId="4A53D3EB" w14:textId="77777777" w:rsidR="00B03DB7" w:rsidRDefault="00B03DB7" w:rsidP="00406F1D">
            <w:pPr>
              <w:spacing w:after="0"/>
            </w:pPr>
            <w:r>
              <w:rPr>
                <w:sz w:val="13"/>
              </w:rPr>
              <w:t>Cost pressure increased</w:t>
            </w:r>
          </w:p>
        </w:tc>
      </w:tr>
      <w:tr w:rsidR="00B03DB7" w14:paraId="4C5B8F65" w14:textId="77777777" w:rsidTr="00406F1D">
        <w:trPr>
          <w:jc w:val="center"/>
        </w:trPr>
        <w:tc>
          <w:tcPr>
            <w:tcW w:w="2642" w:type="dxa"/>
            <w:vAlign w:val="center"/>
          </w:tcPr>
          <w:p w14:paraId="4B0D3141" w14:textId="77777777" w:rsidR="00B03DB7" w:rsidRDefault="00B03DB7" w:rsidP="00406F1D">
            <w:pPr>
              <w:spacing w:after="0"/>
            </w:pPr>
            <w:r>
              <w:rPr>
                <w:sz w:val="13"/>
              </w:rPr>
              <w:t>Backlog of Orders</w:t>
            </w:r>
          </w:p>
        </w:tc>
        <w:tc>
          <w:tcPr>
            <w:tcW w:w="2642" w:type="dxa"/>
            <w:vAlign w:val="center"/>
          </w:tcPr>
          <w:p w14:paraId="542757B7" w14:textId="77777777" w:rsidR="00B03DB7" w:rsidRDefault="00B03DB7" w:rsidP="00406F1D">
            <w:pPr>
              <w:spacing w:after="0"/>
            </w:pPr>
            <w:r>
              <w:rPr>
                <w:sz w:val="13"/>
              </w:rPr>
              <w:t>50.9</w:t>
            </w:r>
          </w:p>
        </w:tc>
        <w:tc>
          <w:tcPr>
            <w:tcW w:w="2642" w:type="dxa"/>
            <w:vAlign w:val="center"/>
          </w:tcPr>
          <w:p w14:paraId="045CDDCD" w14:textId="77777777" w:rsidR="00B03DB7" w:rsidRDefault="00B03DB7" w:rsidP="00406F1D">
            <w:pPr>
              <w:spacing w:after="0"/>
            </w:pPr>
            <w:r>
              <w:rPr>
                <w:sz w:val="13"/>
              </w:rPr>
              <w:t>55.6</w:t>
            </w:r>
          </w:p>
        </w:tc>
        <w:tc>
          <w:tcPr>
            <w:tcW w:w="2642" w:type="dxa"/>
            <w:vAlign w:val="center"/>
          </w:tcPr>
          <w:p w14:paraId="79B5BE89" w14:textId="77777777" w:rsidR="00B03DB7" w:rsidRDefault="00B03DB7" w:rsidP="00406F1D">
            <w:pPr>
              <w:spacing w:after="0"/>
            </w:pPr>
            <w:r>
              <w:rPr>
                <w:sz w:val="13"/>
              </w:rPr>
              <w:t>Backlogs building</w:t>
            </w:r>
          </w:p>
        </w:tc>
      </w:tr>
    </w:tbl>
    <w:p w14:paraId="6F98F8D2" w14:textId="77777777" w:rsidR="00B03DB7" w:rsidRDefault="00B03DB7" w:rsidP="00B03DB7">
      <w:r>
        <w:rPr>
          <w:b/>
        </w:rPr>
        <w:t xml:space="preserve">Source: </w:t>
      </w:r>
      <w:r>
        <w:rPr>
          <w:i/>
          <w:sz w:val="14"/>
        </w:rPr>
        <w:t>Institute for Supply Management, August 2026 Services PMI Report.</w:t>
      </w:r>
    </w:p>
    <w:p w14:paraId="5A8E760A"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10   |   Page 33</w:t>
      </w:r>
    </w:p>
    <w:p w14:paraId="26535140" w14:textId="77777777" w:rsidR="00B03DB7" w:rsidRDefault="00B03DB7" w:rsidP="00B03DB7">
      <w:r>
        <w:br w:type="page"/>
      </w:r>
    </w:p>
    <w:p w14:paraId="6560C224" w14:textId="77777777" w:rsidR="00B03DB7" w:rsidRDefault="00B03DB7" w:rsidP="00B03DB7">
      <w:r>
        <w:rPr>
          <w:b/>
          <w:color w:val="555555"/>
          <w:sz w:val="15"/>
        </w:rPr>
        <w:lastRenderedPageBreak/>
        <w:t xml:space="preserve">CHAPTER </w:t>
      </w:r>
      <w:proofErr w:type="gramStart"/>
      <w:r>
        <w:rPr>
          <w:b/>
          <w:color w:val="555555"/>
          <w:sz w:val="15"/>
        </w:rPr>
        <w:t>10  /</w:t>
      </w:r>
      <w:proofErr w:type="gramEnd"/>
      <w:r>
        <w:rPr>
          <w:b/>
          <w:color w:val="555555"/>
          <w:sz w:val="15"/>
        </w:rPr>
        <w:t xml:space="preserve">  SERVICES ECONOMY</w:t>
      </w:r>
    </w:p>
    <w:p w14:paraId="4C04BA44" w14:textId="77777777" w:rsidR="00B03DB7" w:rsidRDefault="00B03DB7" w:rsidP="00B03DB7">
      <w:pPr>
        <w:pStyle w:val="Heading1"/>
      </w:pPr>
      <w:r>
        <w:t>34. Technology &amp; Professional Services</w:t>
      </w:r>
    </w:p>
    <w:p w14:paraId="6C6A9EB6" w14:textId="77777777" w:rsidR="00B03DB7" w:rsidRDefault="00B03DB7" w:rsidP="00B03DB7">
      <w:r>
        <w:rPr>
          <w:i/>
          <w:color w:val="555555"/>
        </w:rPr>
        <w:t>High-Value Services | Information, Professional and Knowledge-Based Activity</w:t>
      </w:r>
    </w:p>
    <w:p w14:paraId="5157AE6B" w14:textId="77777777" w:rsidR="00B03DB7" w:rsidRDefault="00B03DB7" w:rsidP="00B03DB7">
      <w:r>
        <w:t xml:space="preserve">High-value services are becoming increasingly important to the quality of U.S. growth. Information and professional, scientific and technical services benefit directly from spending on software, cloud infrastructure, AI, research, consulting and </w:t>
      </w:r>
      <w:proofErr w:type="spellStart"/>
      <w:r>
        <w:t>specialised</w:t>
      </w:r>
      <w:proofErr w:type="spellEnd"/>
      <w:r>
        <w:t xml:space="preserve"> business functions. These industries also have strong links to corporate investment, which gives them a different cycle from consumer-facing services.</w:t>
      </w:r>
    </w:p>
    <w:p w14:paraId="2BCB13EB" w14:textId="77777777" w:rsidR="00B03DB7" w:rsidRDefault="00B03DB7" w:rsidP="00B03DB7">
      <w:pPr>
        <w:jc w:val="center"/>
      </w:pPr>
      <w:r>
        <w:rPr>
          <w:noProof/>
        </w:rPr>
        <w:drawing>
          <wp:inline distT="0" distB="0" distL="0" distR="0" wp14:anchorId="4EC426F1" wp14:editId="5616B9ED">
            <wp:extent cx="5623560" cy="1548517"/>
            <wp:effectExtent l="0" t="0" r="0" b="0"/>
            <wp:docPr id="1335804091" name="Picture 133580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value.png"/>
                    <pic:cNvPicPr/>
                  </pic:nvPicPr>
                  <pic:blipFill>
                    <a:blip r:embed="rId72"/>
                    <a:stretch>
                      <a:fillRect/>
                    </a:stretch>
                  </pic:blipFill>
                  <pic:spPr>
                    <a:xfrm>
                      <a:off x="0" y="0"/>
                      <a:ext cx="5623560" cy="1548517"/>
                    </a:xfrm>
                    <a:prstGeom prst="rect">
                      <a:avLst/>
                    </a:prstGeom>
                  </pic:spPr>
                </pic:pic>
              </a:graphicData>
            </a:graphic>
          </wp:inline>
        </w:drawing>
      </w:r>
    </w:p>
    <w:p w14:paraId="28C7D811" w14:textId="77777777" w:rsidR="00B03DB7" w:rsidRDefault="00B03DB7" w:rsidP="00B03DB7">
      <w:pPr>
        <w:jc w:val="center"/>
      </w:pPr>
      <w:r>
        <w:rPr>
          <w:noProof/>
        </w:rPr>
        <w:drawing>
          <wp:inline distT="0" distB="0" distL="0" distR="0" wp14:anchorId="40E792C9" wp14:editId="0EF7131F">
            <wp:extent cx="5623560" cy="2119023"/>
            <wp:effectExtent l="0" t="0" r="0" b="0"/>
            <wp:docPr id="2139267124" name="Picture 213926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matrix.png"/>
                    <pic:cNvPicPr/>
                  </pic:nvPicPr>
                  <pic:blipFill>
                    <a:blip r:embed="rId73"/>
                    <a:stretch>
                      <a:fillRect/>
                    </a:stretch>
                  </pic:blipFill>
                  <pic:spPr>
                    <a:xfrm>
                      <a:off x="0" y="0"/>
                      <a:ext cx="5623560" cy="2119023"/>
                    </a:xfrm>
                    <a:prstGeom prst="rect">
                      <a:avLst/>
                    </a:prstGeom>
                  </pic:spPr>
                </pic:pic>
              </a:graphicData>
            </a:graphic>
          </wp:inline>
        </w:drawing>
      </w:r>
    </w:p>
    <w:p w14:paraId="15B8D8C6" w14:textId="77777777" w:rsidR="00B03DB7" w:rsidRDefault="00B03DB7" w:rsidP="00B03DB7">
      <w:r>
        <w:rPr>
          <w:b/>
          <w:color w:val="1F3756"/>
        </w:rPr>
      </w:r>
      <w:r>
        <w:t xml:space="preserve">The strongest service-sector contribution is coming from industries tied to knowledge, technology and business investment. Information led </w:t>
      </w:r>
      <w:proofErr w:type="gramStart"/>
      <w:r>
        <w:t>industry</w:t>
      </w:r>
      <w:proofErr w:type="gramEnd"/>
      <w:r>
        <w:t xml:space="preserve"> contributions to GDP growth in the first quarter, with professional and technical services also making a substantial contribution. This supports the view that the U.S. services advantage is increasingly concentrated in high-productivity, high-skill activities.</w:t>
      </w:r>
    </w:p>
    <w:p w14:paraId="6F60DA2D" w14:textId="77777777" w:rsidR="00B03DB7" w:rsidRDefault="00B03DB7" w:rsidP="00B03DB7">
      <w:r>
        <w:t xml:space="preserve">The sector is not without constraints. ISM's August survey reported GPUs, memory components and </w:t>
      </w:r>
      <w:proofErr w:type="spellStart"/>
      <w:r>
        <w:t>labour</w:t>
      </w:r>
      <w:proofErr w:type="spellEnd"/>
      <w:r>
        <w:t xml:space="preserve"> among items in short supply, while software licensing was among the items rising in price. For technology and professional services, the next phase of growth therefore depends not only on demand, but also on access to computing capacity, </w:t>
      </w:r>
      <w:proofErr w:type="spellStart"/>
      <w:r>
        <w:t>specialised</w:t>
      </w:r>
      <w:proofErr w:type="spellEnd"/>
      <w:r>
        <w:t xml:space="preserve"> workers and supporting infrastructure.</w:t>
      </w:r>
    </w:p>
    <w:tbl>
      <w:tblPr>
        <w:tblW w:w="0" w:type="auto"/>
        <w:jc w:val="center"/>
        <w:tblLook w:val="04A0" w:firstRow="1" w:lastRow="0" w:firstColumn="1" w:lastColumn="0" w:noHBand="0" w:noVBand="1"/>
      </w:tblPr>
      <w:tblGrid>
        <w:gridCol w:w="2593"/>
        <w:gridCol w:w="2587"/>
        <w:gridCol w:w="2596"/>
        <w:gridCol w:w="2592"/>
      </w:tblGrid>
      <w:tr w:rsidR="00B03DB7" w14:paraId="514105CA" w14:textId="77777777" w:rsidTr="00406F1D">
        <w:trPr>
          <w:jc w:val="center"/>
        </w:trPr>
        <w:tc>
          <w:tcPr>
            <w:tcW w:w="2642" w:type="dxa"/>
            <w:shd w:val="clear" w:color="auto" w:fill="1F3756"/>
          </w:tcPr>
          <w:p w14:paraId="719EDDAA" w14:textId="77777777" w:rsidR="00B03DB7" w:rsidRDefault="00B03DB7" w:rsidP="00406F1D">
            <w:r>
              <w:rPr>
                <w:b/>
                <w:color w:val="FFFFFF"/>
                <w:sz w:val="13"/>
              </w:rPr>
              <w:t>Sector</w:t>
            </w:r>
          </w:p>
        </w:tc>
        <w:tc>
          <w:tcPr>
            <w:tcW w:w="2642" w:type="dxa"/>
            <w:shd w:val="clear" w:color="auto" w:fill="1F3756"/>
          </w:tcPr>
          <w:p w14:paraId="76AAC38E" w14:textId="77777777" w:rsidR="00B03DB7" w:rsidRDefault="00B03DB7" w:rsidP="00406F1D">
            <w:r>
              <w:rPr>
                <w:b/>
                <w:color w:val="FFFFFF"/>
                <w:sz w:val="13"/>
              </w:rPr>
              <w:t>Current position</w:t>
            </w:r>
          </w:p>
        </w:tc>
        <w:tc>
          <w:tcPr>
            <w:tcW w:w="2642" w:type="dxa"/>
            <w:shd w:val="clear" w:color="auto" w:fill="1F3756"/>
          </w:tcPr>
          <w:p w14:paraId="101D2815" w14:textId="77777777" w:rsidR="00B03DB7" w:rsidRDefault="00B03DB7" w:rsidP="00406F1D">
            <w:r>
              <w:rPr>
                <w:b/>
                <w:color w:val="FFFFFF"/>
                <w:sz w:val="13"/>
              </w:rPr>
              <w:t>Opportunity</w:t>
            </w:r>
          </w:p>
        </w:tc>
        <w:tc>
          <w:tcPr>
            <w:tcW w:w="2642" w:type="dxa"/>
            <w:shd w:val="clear" w:color="auto" w:fill="1F3756"/>
          </w:tcPr>
          <w:p w14:paraId="49976D18" w14:textId="77777777" w:rsidR="00B03DB7" w:rsidRDefault="00B03DB7" w:rsidP="00406F1D">
            <w:r>
              <w:rPr>
                <w:b/>
                <w:color w:val="FFFFFF"/>
                <w:sz w:val="13"/>
              </w:rPr>
              <w:t>Main constraint</w:t>
            </w:r>
          </w:p>
        </w:tc>
      </w:tr>
      <w:tr w:rsidR="00B03DB7" w14:paraId="3E808CBF" w14:textId="77777777" w:rsidTr="00406F1D">
        <w:trPr>
          <w:jc w:val="center"/>
        </w:trPr>
        <w:tc>
          <w:tcPr>
            <w:tcW w:w="2642" w:type="dxa"/>
            <w:vAlign w:val="center"/>
          </w:tcPr>
          <w:p w14:paraId="4687E894" w14:textId="77777777" w:rsidR="00B03DB7" w:rsidRDefault="00B03DB7" w:rsidP="00406F1D">
            <w:pPr>
              <w:spacing w:after="0"/>
            </w:pPr>
            <w:r>
              <w:rPr>
                <w:sz w:val="13"/>
              </w:rPr>
              <w:t>Information</w:t>
            </w:r>
          </w:p>
        </w:tc>
        <w:tc>
          <w:tcPr>
            <w:tcW w:w="2642" w:type="dxa"/>
            <w:vAlign w:val="center"/>
          </w:tcPr>
          <w:p w14:paraId="66F25991" w14:textId="77777777" w:rsidR="00B03DB7" w:rsidRDefault="00B03DB7" w:rsidP="00406F1D">
            <w:pPr>
              <w:spacing w:after="0"/>
            </w:pPr>
            <w:r>
              <w:rPr>
                <w:sz w:val="13"/>
              </w:rPr>
              <w:t>Strong</w:t>
            </w:r>
          </w:p>
        </w:tc>
        <w:tc>
          <w:tcPr>
            <w:tcW w:w="2642" w:type="dxa"/>
            <w:vAlign w:val="center"/>
          </w:tcPr>
          <w:p w14:paraId="7A630DC7" w14:textId="77777777" w:rsidR="00B03DB7" w:rsidRDefault="00B03DB7" w:rsidP="00406F1D">
            <w:pPr>
              <w:spacing w:after="0"/>
            </w:pPr>
            <w:r>
              <w:rPr>
                <w:sz w:val="13"/>
              </w:rPr>
              <w:t>AI, cloud, digital content</w:t>
            </w:r>
          </w:p>
        </w:tc>
        <w:tc>
          <w:tcPr>
            <w:tcW w:w="2642" w:type="dxa"/>
            <w:vAlign w:val="center"/>
          </w:tcPr>
          <w:p w14:paraId="45148008" w14:textId="77777777" w:rsidR="00B03DB7" w:rsidRDefault="00B03DB7" w:rsidP="00406F1D">
            <w:pPr>
              <w:spacing w:after="0"/>
            </w:pPr>
            <w:r>
              <w:rPr>
                <w:sz w:val="13"/>
              </w:rPr>
              <w:t>Compute and power capacity</w:t>
            </w:r>
          </w:p>
        </w:tc>
      </w:tr>
      <w:tr w:rsidR="00B03DB7" w14:paraId="4A8C85E7" w14:textId="77777777" w:rsidTr="00406F1D">
        <w:trPr>
          <w:jc w:val="center"/>
        </w:trPr>
        <w:tc>
          <w:tcPr>
            <w:tcW w:w="2642" w:type="dxa"/>
            <w:vAlign w:val="center"/>
          </w:tcPr>
          <w:p w14:paraId="64A44D0F" w14:textId="77777777" w:rsidR="00B03DB7" w:rsidRDefault="00B03DB7" w:rsidP="00406F1D">
            <w:pPr>
              <w:spacing w:after="0"/>
            </w:pPr>
            <w:r>
              <w:rPr>
                <w:sz w:val="13"/>
              </w:rPr>
              <w:t>Professional / technical</w:t>
            </w:r>
          </w:p>
        </w:tc>
        <w:tc>
          <w:tcPr>
            <w:tcW w:w="2642" w:type="dxa"/>
            <w:vAlign w:val="center"/>
          </w:tcPr>
          <w:p w14:paraId="0E2D11D8" w14:textId="77777777" w:rsidR="00B03DB7" w:rsidRDefault="00B03DB7" w:rsidP="00406F1D">
            <w:pPr>
              <w:spacing w:after="0"/>
            </w:pPr>
            <w:r>
              <w:rPr>
                <w:sz w:val="13"/>
              </w:rPr>
              <w:t>Strong</w:t>
            </w:r>
          </w:p>
        </w:tc>
        <w:tc>
          <w:tcPr>
            <w:tcW w:w="2642" w:type="dxa"/>
            <w:vAlign w:val="center"/>
          </w:tcPr>
          <w:p w14:paraId="72123354" w14:textId="77777777" w:rsidR="00B03DB7" w:rsidRDefault="00B03DB7" w:rsidP="00406F1D">
            <w:pPr>
              <w:spacing w:after="0"/>
            </w:pPr>
            <w:r>
              <w:rPr>
                <w:sz w:val="13"/>
              </w:rPr>
              <w:t>Consulting, engineering, R&amp;D</w:t>
            </w:r>
          </w:p>
        </w:tc>
        <w:tc>
          <w:tcPr>
            <w:tcW w:w="2642" w:type="dxa"/>
            <w:vAlign w:val="center"/>
          </w:tcPr>
          <w:p w14:paraId="3F480FA2" w14:textId="77777777" w:rsidR="00B03DB7" w:rsidRDefault="00B03DB7" w:rsidP="00406F1D">
            <w:pPr>
              <w:spacing w:after="0"/>
            </w:pPr>
            <w:proofErr w:type="spellStart"/>
            <w:r>
              <w:rPr>
                <w:sz w:val="13"/>
              </w:rPr>
              <w:t>Specialised</w:t>
            </w:r>
            <w:proofErr w:type="spellEnd"/>
            <w:r>
              <w:rPr>
                <w:sz w:val="13"/>
              </w:rPr>
              <w:t xml:space="preserve"> </w:t>
            </w:r>
            <w:proofErr w:type="spellStart"/>
            <w:r>
              <w:rPr>
                <w:sz w:val="13"/>
              </w:rPr>
              <w:t>labour</w:t>
            </w:r>
            <w:proofErr w:type="spellEnd"/>
          </w:p>
        </w:tc>
      </w:tr>
      <w:tr w:rsidR="00B03DB7" w14:paraId="67C49515" w14:textId="77777777" w:rsidTr="00406F1D">
        <w:trPr>
          <w:jc w:val="center"/>
        </w:trPr>
        <w:tc>
          <w:tcPr>
            <w:tcW w:w="2642" w:type="dxa"/>
            <w:vAlign w:val="center"/>
          </w:tcPr>
          <w:p w14:paraId="0BF9D6C6" w14:textId="77777777" w:rsidR="00B03DB7" w:rsidRDefault="00B03DB7" w:rsidP="00406F1D">
            <w:pPr>
              <w:spacing w:after="0"/>
            </w:pPr>
            <w:r>
              <w:rPr>
                <w:sz w:val="13"/>
              </w:rPr>
              <w:t>Health care</w:t>
            </w:r>
          </w:p>
        </w:tc>
        <w:tc>
          <w:tcPr>
            <w:tcW w:w="2642" w:type="dxa"/>
            <w:vAlign w:val="center"/>
          </w:tcPr>
          <w:p w14:paraId="0AB113F8" w14:textId="77777777" w:rsidR="00B03DB7" w:rsidRDefault="00B03DB7" w:rsidP="00406F1D">
            <w:pPr>
              <w:spacing w:after="0"/>
            </w:pPr>
            <w:r>
              <w:rPr>
                <w:sz w:val="13"/>
              </w:rPr>
              <w:t>Positive</w:t>
            </w:r>
          </w:p>
        </w:tc>
        <w:tc>
          <w:tcPr>
            <w:tcW w:w="2642" w:type="dxa"/>
            <w:vAlign w:val="center"/>
          </w:tcPr>
          <w:p w14:paraId="4657C0C0" w14:textId="77777777" w:rsidR="00B03DB7" w:rsidRDefault="00B03DB7" w:rsidP="00406F1D">
            <w:pPr>
              <w:spacing w:after="0"/>
            </w:pPr>
            <w:r>
              <w:rPr>
                <w:sz w:val="13"/>
              </w:rPr>
              <w:t>Defensive demand, demographics</w:t>
            </w:r>
          </w:p>
        </w:tc>
        <w:tc>
          <w:tcPr>
            <w:tcW w:w="2642" w:type="dxa"/>
            <w:vAlign w:val="center"/>
          </w:tcPr>
          <w:p w14:paraId="2F8A4D4F" w14:textId="77777777" w:rsidR="00B03DB7" w:rsidRDefault="00B03DB7" w:rsidP="00406F1D">
            <w:pPr>
              <w:spacing w:after="0"/>
            </w:pPr>
            <w:proofErr w:type="spellStart"/>
            <w:r>
              <w:rPr>
                <w:sz w:val="13"/>
              </w:rPr>
              <w:t>Labour</w:t>
            </w:r>
            <w:proofErr w:type="spellEnd"/>
            <w:r>
              <w:rPr>
                <w:sz w:val="13"/>
              </w:rPr>
              <w:t xml:space="preserve"> and cost pressure</w:t>
            </w:r>
          </w:p>
        </w:tc>
      </w:tr>
      <w:tr w:rsidR="00B03DB7" w14:paraId="6BACE84D" w14:textId="77777777" w:rsidTr="00406F1D">
        <w:trPr>
          <w:jc w:val="center"/>
        </w:trPr>
        <w:tc>
          <w:tcPr>
            <w:tcW w:w="2642" w:type="dxa"/>
            <w:vAlign w:val="center"/>
          </w:tcPr>
          <w:p w14:paraId="7B98281B" w14:textId="77777777" w:rsidR="00B03DB7" w:rsidRDefault="00B03DB7" w:rsidP="00406F1D">
            <w:pPr>
              <w:spacing w:after="0"/>
            </w:pPr>
            <w:r>
              <w:rPr>
                <w:sz w:val="13"/>
              </w:rPr>
              <w:t>Finance &amp; insurance</w:t>
            </w:r>
          </w:p>
        </w:tc>
        <w:tc>
          <w:tcPr>
            <w:tcW w:w="2642" w:type="dxa"/>
            <w:vAlign w:val="center"/>
          </w:tcPr>
          <w:p w14:paraId="1747A014" w14:textId="77777777" w:rsidR="00B03DB7" w:rsidRDefault="00B03DB7" w:rsidP="00406F1D">
            <w:pPr>
              <w:spacing w:after="0"/>
            </w:pPr>
            <w:r>
              <w:rPr>
                <w:sz w:val="13"/>
              </w:rPr>
              <w:t>Mixed</w:t>
            </w:r>
          </w:p>
        </w:tc>
        <w:tc>
          <w:tcPr>
            <w:tcW w:w="2642" w:type="dxa"/>
            <w:vAlign w:val="center"/>
          </w:tcPr>
          <w:p w14:paraId="31D4D3F1" w14:textId="77777777" w:rsidR="00B03DB7" w:rsidRDefault="00B03DB7" w:rsidP="00406F1D">
            <w:pPr>
              <w:spacing w:after="0"/>
            </w:pPr>
            <w:r>
              <w:rPr>
                <w:sz w:val="13"/>
              </w:rPr>
              <w:t>Capital markets, asset management</w:t>
            </w:r>
          </w:p>
        </w:tc>
        <w:tc>
          <w:tcPr>
            <w:tcW w:w="2642" w:type="dxa"/>
            <w:vAlign w:val="center"/>
          </w:tcPr>
          <w:p w14:paraId="4CD392A0" w14:textId="77777777" w:rsidR="00B03DB7" w:rsidRDefault="00B03DB7" w:rsidP="00406F1D">
            <w:pPr>
              <w:spacing w:after="0"/>
            </w:pPr>
            <w:r>
              <w:rPr>
                <w:sz w:val="13"/>
              </w:rPr>
              <w:t>Rates and credit quality</w:t>
            </w:r>
          </w:p>
        </w:tc>
      </w:tr>
      <w:tr w:rsidR="00B03DB7" w14:paraId="1B68E7C4" w14:textId="77777777" w:rsidTr="00406F1D">
        <w:trPr>
          <w:jc w:val="center"/>
        </w:trPr>
        <w:tc>
          <w:tcPr>
            <w:tcW w:w="2642" w:type="dxa"/>
            <w:vAlign w:val="center"/>
          </w:tcPr>
          <w:p w14:paraId="6358CC8E" w14:textId="77777777" w:rsidR="00B03DB7" w:rsidRDefault="00B03DB7" w:rsidP="00406F1D">
            <w:pPr>
              <w:spacing w:after="0"/>
            </w:pPr>
            <w:r>
              <w:rPr>
                <w:sz w:val="13"/>
              </w:rPr>
              <w:t>Real estate / leasing</w:t>
            </w:r>
          </w:p>
        </w:tc>
        <w:tc>
          <w:tcPr>
            <w:tcW w:w="2642" w:type="dxa"/>
            <w:vAlign w:val="center"/>
          </w:tcPr>
          <w:p w14:paraId="60AC43B8" w14:textId="77777777" w:rsidR="00B03DB7" w:rsidRDefault="00B03DB7" w:rsidP="00406F1D">
            <w:pPr>
              <w:spacing w:after="0"/>
            </w:pPr>
            <w:r>
              <w:rPr>
                <w:sz w:val="13"/>
              </w:rPr>
              <w:t>Positive but rate-sensitive</w:t>
            </w:r>
          </w:p>
        </w:tc>
        <w:tc>
          <w:tcPr>
            <w:tcW w:w="2642" w:type="dxa"/>
            <w:vAlign w:val="center"/>
          </w:tcPr>
          <w:p w14:paraId="4BAEC568" w14:textId="77777777" w:rsidR="00B03DB7" w:rsidRDefault="00B03DB7" w:rsidP="00406F1D">
            <w:pPr>
              <w:spacing w:after="0"/>
            </w:pPr>
            <w:r>
              <w:rPr>
                <w:sz w:val="13"/>
              </w:rPr>
              <w:t>Rental and property services</w:t>
            </w:r>
          </w:p>
        </w:tc>
        <w:tc>
          <w:tcPr>
            <w:tcW w:w="2642" w:type="dxa"/>
            <w:vAlign w:val="center"/>
          </w:tcPr>
          <w:p w14:paraId="0AD7FF46" w14:textId="77777777" w:rsidR="00B03DB7" w:rsidRDefault="00B03DB7" w:rsidP="00406F1D">
            <w:pPr>
              <w:spacing w:after="0"/>
            </w:pPr>
            <w:r>
              <w:rPr>
                <w:sz w:val="13"/>
              </w:rPr>
              <w:t>Financing costs</w:t>
            </w:r>
          </w:p>
        </w:tc>
      </w:tr>
    </w:tbl>
    <w:p w14:paraId="228FFAAF" w14:textId="77777777" w:rsidR="00B03DB7" w:rsidRDefault="00B03DB7" w:rsidP="00B03DB7">
      <w:r>
        <w:rPr>
          <w:b/>
        </w:rPr>
        <w:t xml:space="preserve">Source: </w:t>
      </w:r>
      <w:r>
        <w:rPr>
          <w:i/>
          <w:sz w:val="14"/>
        </w:rPr>
        <w:t xml:space="preserve">BEA GDP by Industry, Q1 2026; ISM Services PMI, August 2026. Sector matrix is </w:t>
      </w:r>
      <w:proofErr w:type="spellStart"/>
      <w:r>
        <w:rPr>
          <w:i/>
          <w:sz w:val="14"/>
        </w:rPr>
        <w:t>BrandEssence</w:t>
      </w:r>
      <w:proofErr w:type="spellEnd"/>
      <w:r>
        <w:rPr>
          <w:i/>
          <w:sz w:val="14"/>
        </w:rPr>
        <w:t xml:space="preserve"> interpretation of official industry and survey evidence.</w:t>
      </w:r>
    </w:p>
    <w:p w14:paraId="0890D30F" w14:textId="77777777" w:rsidR="00B03DB7" w:rsidRDefault="00B03DB7" w:rsidP="00B03DB7">
      <w:pPr>
        <w:jc w:val="right"/>
      </w:pPr>
      <w:proofErr w:type="spellStart"/>
      <w:r>
        <w:rPr>
          <w:color w:val="555555"/>
          <w:sz w:val="13"/>
        </w:rPr>
        <w:t>BrandEssence</w:t>
      </w:r>
      <w:proofErr w:type="spellEnd"/>
      <w:r>
        <w:rPr>
          <w:color w:val="555555"/>
          <w:sz w:val="13"/>
        </w:rPr>
        <w:t xml:space="preserve"> Economic Intelligence   |   Chapter 10   |   Page 34</w:t>
      </w:r>
    </w:p>
    <w:p w14:paraId="39F45CAB" w14:textId="77777777" w:rsidR="00B03DB7" w:rsidRDefault="00B03DB7" w:rsidP="00B03DB7">
      <w:pPr>
        <w:pStyle w:val="Kicker"/>
      </w:pPr>
    </w:p>
    <w:p w14:paraId="727C2B5F"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2098CDC8" w14:textId="77777777" w:rsidR="002240BE" w:rsidRDefault="002240BE" w:rsidP="002240BE">
      <w:pPr>
        <w:pStyle w:val="Heading1"/>
      </w:pPr>
      <w:r>
        <w:t>35. Inflation: Current Starting Point</w:t>
      </w:r>
    </w:p>
    <w:p w14:paraId="211B2549" w14:textId="77777777" w:rsidR="002240BE" w:rsidRDefault="002240BE" w:rsidP="002240BE">
      <w:r>
        <w:rPr>
          <w:i/>
          <w:color w:val="555555"/>
        </w:rPr>
        <w:t>PCE and CPI | Where Inflation Stands Now</w:t>
      </w:r>
    </w:p>
    <w:p w14:paraId="29721AC4" w14:textId="77777777" w:rsidR="002240BE" w:rsidRDefault="002240BE" w:rsidP="002240BE">
      <w:r>
        <w:t>Inflation has moved well below the extreme rates seen earlier in the decade, but the final stretch back to price stability remains difficult. The latest readings show headline PCE inflation at 3.7% and CPI inflation at 3.4%. Core measures are lower than headline inflation, yet both remain above the Federal Reserve's 2% objective when judged by PCE.</w:t>
      </w:r>
    </w:p>
    <w:p w14:paraId="1979A25A" w14:textId="77777777" w:rsidR="002240BE" w:rsidRDefault="002240BE" w:rsidP="002240BE">
      <w:pPr>
        <w:jc w:val="center"/>
      </w:pPr>
      <w:r>
        <w:rPr>
          <w:noProof/>
        </w:rPr>
        <w:drawing>
          <wp:inline distT="0" distB="0" distL="0" distR="0" wp14:anchorId="532D1591" wp14:editId="03A1415C">
            <wp:extent cx="5669280" cy="1561106"/>
            <wp:effectExtent l="0" t="0" r="0" b="0"/>
            <wp:docPr id="750738212" name="Picture 75073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png"/>
                    <pic:cNvPicPr/>
                  </pic:nvPicPr>
                  <pic:blipFill>
                    <a:blip r:embed="rId74"/>
                    <a:stretch>
                      <a:fillRect/>
                    </a:stretch>
                  </pic:blipFill>
                  <pic:spPr>
                    <a:xfrm>
                      <a:off x="0" y="0"/>
                      <a:ext cx="5669280" cy="1561106"/>
                    </a:xfrm>
                    <a:prstGeom prst="rect">
                      <a:avLst/>
                    </a:prstGeom>
                  </pic:spPr>
                </pic:pic>
              </a:graphicData>
            </a:graphic>
          </wp:inline>
        </w:drawing>
      </w:r>
    </w:p>
    <w:tbl>
      <w:tblPr>
        <w:tblW w:w="0" w:type="auto"/>
        <w:jc w:val="center"/>
        <w:tblLook w:val="04A0" w:firstRow="1" w:lastRow="0" w:firstColumn="1" w:lastColumn="0" w:noHBand="0" w:noVBand="1"/>
      </w:tblPr>
      <w:tblGrid>
        <w:gridCol w:w="5184"/>
        <w:gridCol w:w="5184"/>
      </w:tblGrid>
      <w:tr w:rsidR="002240BE" w14:paraId="62AAD34B" w14:textId="77777777" w:rsidTr="00406F1D">
        <w:trPr>
          <w:jc w:val="center"/>
        </w:trPr>
        <w:tc>
          <w:tcPr>
            <w:tcW w:w="5285" w:type="dxa"/>
          </w:tcPr>
          <w:p w14:paraId="6A5625AB" w14:textId="77777777" w:rsidR="002240BE" w:rsidRDefault="002240BE" w:rsidP="00406F1D">
            <w:pPr>
              <w:jc w:val="center"/>
            </w:pPr>
            <w:r>
              <w:rPr>
                <w:noProof/>
              </w:rPr>
              <w:drawing>
                <wp:inline distT="0" distB="0" distL="0" distR="0" wp14:anchorId="5C550631" wp14:editId="44DB603D">
                  <wp:extent cx="2788920" cy="1307306"/>
                  <wp:effectExtent l="0" t="0" r="0" b="0"/>
                  <wp:docPr id="2048893929" name="Picture 204889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e_yoy.png"/>
                          <pic:cNvPicPr/>
                        </pic:nvPicPr>
                        <pic:blipFill>
                          <a:blip r:embed="rId75"/>
                          <a:stretch>
                            <a:fillRect/>
                          </a:stretch>
                        </pic:blipFill>
                        <pic:spPr>
                          <a:xfrm>
                            <a:off x="0" y="0"/>
                            <a:ext cx="2788920" cy="1307306"/>
                          </a:xfrm>
                          <a:prstGeom prst="rect">
                            <a:avLst/>
                          </a:prstGeom>
                        </pic:spPr>
                      </pic:pic>
                    </a:graphicData>
                  </a:graphic>
                </wp:inline>
              </w:drawing>
            </w:r>
          </w:p>
        </w:tc>
        <w:tc>
          <w:tcPr>
            <w:tcW w:w="5285" w:type="dxa"/>
          </w:tcPr>
          <w:p w14:paraId="05EFFC33" w14:textId="77777777" w:rsidR="002240BE" w:rsidRDefault="002240BE" w:rsidP="00406F1D">
            <w:pPr>
              <w:jc w:val="center"/>
            </w:pPr>
            <w:r>
              <w:rPr>
                <w:noProof/>
              </w:rPr>
              <w:drawing>
                <wp:inline distT="0" distB="0" distL="0" distR="0" wp14:anchorId="2F07E737" wp14:editId="5D3E07C3">
                  <wp:extent cx="2788920" cy="1307306"/>
                  <wp:effectExtent l="0" t="0" r="0" b="0"/>
                  <wp:docPr id="603701954" name="Picture 60370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i_yoy.png"/>
                          <pic:cNvPicPr/>
                        </pic:nvPicPr>
                        <pic:blipFill>
                          <a:blip r:embed="rId76"/>
                          <a:stretch>
                            <a:fillRect/>
                          </a:stretch>
                        </pic:blipFill>
                        <pic:spPr>
                          <a:xfrm>
                            <a:off x="0" y="0"/>
                            <a:ext cx="2788920" cy="1307306"/>
                          </a:xfrm>
                          <a:prstGeom prst="rect">
                            <a:avLst/>
                          </a:prstGeom>
                        </pic:spPr>
                      </pic:pic>
                    </a:graphicData>
                  </a:graphic>
                </wp:inline>
              </w:drawing>
            </w:r>
          </w:p>
        </w:tc>
      </w:tr>
    </w:tbl>
    <w:p w14:paraId="4E78C8E0" w14:textId="77777777" w:rsidR="002240BE" w:rsidRDefault="002240BE" w:rsidP="002240BE">
      <w:r>
        <w:rPr>
          <w:b/>
          <w:color w:val="1F3756"/>
        </w:rPr>
      </w:r>
      <w:r>
        <w:t>The latest data show disinflation has not stopped, but it has become uneven. CPI eased slightly in July, while PCE inflation remained at 3.7%. The gap between headline and core measures also shows that energy is currently adding more volatility than underlying consumer-price categories.</w:t>
      </w:r>
    </w:p>
    <w:tbl>
      <w:tblPr>
        <w:tblW w:w="0" w:type="auto"/>
        <w:jc w:val="center"/>
        <w:tblLook w:val="04A0" w:firstRow="1" w:lastRow="0" w:firstColumn="1" w:lastColumn="0" w:noHBand="0" w:noVBand="1"/>
      </w:tblPr>
      <w:tblGrid>
        <w:gridCol w:w="2595"/>
        <w:gridCol w:w="2591"/>
        <w:gridCol w:w="2591"/>
        <w:gridCol w:w="2591"/>
      </w:tblGrid>
      <w:tr w:rsidR="002240BE" w14:paraId="3135B9E7" w14:textId="77777777" w:rsidTr="00406F1D">
        <w:trPr>
          <w:jc w:val="center"/>
        </w:trPr>
        <w:tc>
          <w:tcPr>
            <w:tcW w:w="2642" w:type="dxa"/>
            <w:shd w:val="clear" w:color="auto" w:fill="1F3756"/>
          </w:tcPr>
          <w:p w14:paraId="0ABF110B" w14:textId="77777777" w:rsidR="002240BE" w:rsidRDefault="002240BE" w:rsidP="00406F1D">
            <w:r>
              <w:rPr>
                <w:b/>
                <w:color w:val="FFFFFF"/>
                <w:sz w:val="13"/>
              </w:rPr>
              <w:t>Measure</w:t>
            </w:r>
          </w:p>
        </w:tc>
        <w:tc>
          <w:tcPr>
            <w:tcW w:w="2642" w:type="dxa"/>
            <w:shd w:val="clear" w:color="auto" w:fill="1F3756"/>
          </w:tcPr>
          <w:p w14:paraId="5EFD9A67" w14:textId="77777777" w:rsidR="002240BE" w:rsidRDefault="002240BE" w:rsidP="00406F1D">
            <w:r>
              <w:rPr>
                <w:b/>
                <w:color w:val="FFFFFF"/>
                <w:sz w:val="13"/>
              </w:rPr>
              <w:t>Latest y/y</w:t>
            </w:r>
          </w:p>
        </w:tc>
        <w:tc>
          <w:tcPr>
            <w:tcW w:w="2642" w:type="dxa"/>
            <w:shd w:val="clear" w:color="auto" w:fill="1F3756"/>
          </w:tcPr>
          <w:p w14:paraId="42193F3A" w14:textId="77777777" w:rsidR="002240BE" w:rsidRDefault="002240BE" w:rsidP="00406F1D">
            <w:r>
              <w:rPr>
                <w:b/>
                <w:color w:val="FFFFFF"/>
                <w:sz w:val="13"/>
              </w:rPr>
              <w:t>Latest m/m</w:t>
            </w:r>
          </w:p>
        </w:tc>
        <w:tc>
          <w:tcPr>
            <w:tcW w:w="2642" w:type="dxa"/>
            <w:shd w:val="clear" w:color="auto" w:fill="1F3756"/>
          </w:tcPr>
          <w:p w14:paraId="5D9B7DCB" w14:textId="77777777" w:rsidR="002240BE" w:rsidRDefault="002240BE" w:rsidP="00406F1D">
            <w:r>
              <w:rPr>
                <w:b/>
                <w:color w:val="FFFFFF"/>
                <w:sz w:val="13"/>
              </w:rPr>
              <w:t>Period</w:t>
            </w:r>
          </w:p>
        </w:tc>
      </w:tr>
      <w:tr w:rsidR="002240BE" w14:paraId="4C8A34BE" w14:textId="77777777" w:rsidTr="00406F1D">
        <w:trPr>
          <w:jc w:val="center"/>
        </w:trPr>
        <w:tc>
          <w:tcPr>
            <w:tcW w:w="2642" w:type="dxa"/>
          </w:tcPr>
          <w:p w14:paraId="75298EA2" w14:textId="77777777" w:rsidR="002240BE" w:rsidRDefault="002240BE" w:rsidP="00406F1D">
            <w:pPr>
              <w:spacing w:after="0"/>
            </w:pPr>
            <w:r>
              <w:rPr>
                <w:sz w:val="12"/>
              </w:rPr>
              <w:t>Headline PCE</w:t>
            </w:r>
          </w:p>
        </w:tc>
        <w:tc>
          <w:tcPr>
            <w:tcW w:w="2642" w:type="dxa"/>
          </w:tcPr>
          <w:p w14:paraId="5651D423" w14:textId="77777777" w:rsidR="002240BE" w:rsidRDefault="002240BE" w:rsidP="00406F1D">
            <w:pPr>
              <w:spacing w:after="0"/>
            </w:pPr>
            <w:r>
              <w:rPr>
                <w:sz w:val="12"/>
              </w:rPr>
              <w:t>3.7%</w:t>
            </w:r>
          </w:p>
        </w:tc>
        <w:tc>
          <w:tcPr>
            <w:tcW w:w="2642" w:type="dxa"/>
          </w:tcPr>
          <w:p w14:paraId="1C442326" w14:textId="77777777" w:rsidR="002240BE" w:rsidRDefault="002240BE" w:rsidP="00406F1D">
            <w:pPr>
              <w:spacing w:after="0"/>
            </w:pPr>
            <w:r>
              <w:rPr>
                <w:sz w:val="12"/>
              </w:rPr>
              <w:t>+0.2%</w:t>
            </w:r>
          </w:p>
        </w:tc>
        <w:tc>
          <w:tcPr>
            <w:tcW w:w="2642" w:type="dxa"/>
          </w:tcPr>
          <w:p w14:paraId="7D0539E0" w14:textId="77777777" w:rsidR="002240BE" w:rsidRDefault="002240BE" w:rsidP="00406F1D">
            <w:pPr>
              <w:spacing w:after="0"/>
            </w:pPr>
            <w:r>
              <w:rPr>
                <w:sz w:val="12"/>
              </w:rPr>
              <w:t>Jul 2026</w:t>
            </w:r>
          </w:p>
        </w:tc>
      </w:tr>
      <w:tr w:rsidR="002240BE" w14:paraId="095A9FA9" w14:textId="77777777" w:rsidTr="00406F1D">
        <w:trPr>
          <w:jc w:val="center"/>
        </w:trPr>
        <w:tc>
          <w:tcPr>
            <w:tcW w:w="2642" w:type="dxa"/>
          </w:tcPr>
          <w:p w14:paraId="6D164C4A" w14:textId="77777777" w:rsidR="002240BE" w:rsidRDefault="002240BE" w:rsidP="00406F1D">
            <w:pPr>
              <w:spacing w:after="0"/>
            </w:pPr>
            <w:r>
              <w:rPr>
                <w:sz w:val="12"/>
              </w:rPr>
              <w:t>Core PCE</w:t>
            </w:r>
          </w:p>
        </w:tc>
        <w:tc>
          <w:tcPr>
            <w:tcW w:w="2642" w:type="dxa"/>
          </w:tcPr>
          <w:p w14:paraId="0B79A8F9" w14:textId="77777777" w:rsidR="002240BE" w:rsidRDefault="002240BE" w:rsidP="00406F1D">
            <w:pPr>
              <w:spacing w:after="0"/>
            </w:pPr>
            <w:r>
              <w:rPr>
                <w:sz w:val="12"/>
              </w:rPr>
              <w:t>3.3%</w:t>
            </w:r>
          </w:p>
        </w:tc>
        <w:tc>
          <w:tcPr>
            <w:tcW w:w="2642" w:type="dxa"/>
          </w:tcPr>
          <w:p w14:paraId="5554161F" w14:textId="77777777" w:rsidR="002240BE" w:rsidRDefault="002240BE" w:rsidP="00406F1D">
            <w:pPr>
              <w:spacing w:after="0"/>
            </w:pPr>
            <w:r>
              <w:rPr>
                <w:sz w:val="12"/>
              </w:rPr>
              <w:t>+0.2%</w:t>
            </w:r>
          </w:p>
        </w:tc>
        <w:tc>
          <w:tcPr>
            <w:tcW w:w="2642" w:type="dxa"/>
          </w:tcPr>
          <w:p w14:paraId="15E18FE9" w14:textId="77777777" w:rsidR="002240BE" w:rsidRDefault="002240BE" w:rsidP="00406F1D">
            <w:pPr>
              <w:spacing w:after="0"/>
            </w:pPr>
            <w:r>
              <w:rPr>
                <w:sz w:val="12"/>
              </w:rPr>
              <w:t>Jul 2026</w:t>
            </w:r>
          </w:p>
        </w:tc>
      </w:tr>
      <w:tr w:rsidR="002240BE" w14:paraId="56A11050" w14:textId="77777777" w:rsidTr="00406F1D">
        <w:trPr>
          <w:jc w:val="center"/>
        </w:trPr>
        <w:tc>
          <w:tcPr>
            <w:tcW w:w="2642" w:type="dxa"/>
          </w:tcPr>
          <w:p w14:paraId="74ABCAD7" w14:textId="77777777" w:rsidR="002240BE" w:rsidRDefault="002240BE" w:rsidP="00406F1D">
            <w:pPr>
              <w:spacing w:after="0"/>
            </w:pPr>
            <w:r>
              <w:rPr>
                <w:sz w:val="12"/>
              </w:rPr>
              <w:t>Headline CPI</w:t>
            </w:r>
          </w:p>
        </w:tc>
        <w:tc>
          <w:tcPr>
            <w:tcW w:w="2642" w:type="dxa"/>
          </w:tcPr>
          <w:p w14:paraId="7D91A000" w14:textId="77777777" w:rsidR="002240BE" w:rsidRDefault="002240BE" w:rsidP="00406F1D">
            <w:pPr>
              <w:spacing w:after="0"/>
            </w:pPr>
            <w:r>
              <w:rPr>
                <w:sz w:val="12"/>
              </w:rPr>
              <w:t>3.4%</w:t>
            </w:r>
          </w:p>
        </w:tc>
        <w:tc>
          <w:tcPr>
            <w:tcW w:w="2642" w:type="dxa"/>
          </w:tcPr>
          <w:p w14:paraId="56B4109E" w14:textId="77777777" w:rsidR="002240BE" w:rsidRDefault="002240BE" w:rsidP="00406F1D">
            <w:pPr>
              <w:spacing w:after="0"/>
            </w:pPr>
            <w:r>
              <w:rPr>
                <w:sz w:val="12"/>
              </w:rPr>
              <w:t>+0.1%</w:t>
            </w:r>
          </w:p>
        </w:tc>
        <w:tc>
          <w:tcPr>
            <w:tcW w:w="2642" w:type="dxa"/>
          </w:tcPr>
          <w:p w14:paraId="54EE5789" w14:textId="77777777" w:rsidR="002240BE" w:rsidRDefault="002240BE" w:rsidP="00406F1D">
            <w:pPr>
              <w:spacing w:after="0"/>
            </w:pPr>
            <w:r>
              <w:rPr>
                <w:sz w:val="12"/>
              </w:rPr>
              <w:t>Jul 2026</w:t>
            </w:r>
          </w:p>
        </w:tc>
      </w:tr>
      <w:tr w:rsidR="002240BE" w14:paraId="78FF1DD1" w14:textId="77777777" w:rsidTr="00406F1D">
        <w:trPr>
          <w:jc w:val="center"/>
        </w:trPr>
        <w:tc>
          <w:tcPr>
            <w:tcW w:w="2642" w:type="dxa"/>
          </w:tcPr>
          <w:p w14:paraId="7BFBBC54" w14:textId="77777777" w:rsidR="002240BE" w:rsidRDefault="002240BE" w:rsidP="00406F1D">
            <w:pPr>
              <w:spacing w:after="0"/>
            </w:pPr>
            <w:r>
              <w:rPr>
                <w:sz w:val="12"/>
              </w:rPr>
              <w:t>Core CPI</w:t>
            </w:r>
          </w:p>
        </w:tc>
        <w:tc>
          <w:tcPr>
            <w:tcW w:w="2642" w:type="dxa"/>
          </w:tcPr>
          <w:p w14:paraId="0374D89B" w14:textId="77777777" w:rsidR="002240BE" w:rsidRDefault="002240BE" w:rsidP="00406F1D">
            <w:pPr>
              <w:spacing w:after="0"/>
            </w:pPr>
            <w:r>
              <w:rPr>
                <w:sz w:val="12"/>
              </w:rPr>
              <w:t>2.5%</w:t>
            </w:r>
          </w:p>
        </w:tc>
        <w:tc>
          <w:tcPr>
            <w:tcW w:w="2642" w:type="dxa"/>
          </w:tcPr>
          <w:p w14:paraId="34A66FFA" w14:textId="77777777" w:rsidR="002240BE" w:rsidRDefault="002240BE" w:rsidP="00406F1D">
            <w:pPr>
              <w:spacing w:after="0"/>
            </w:pPr>
            <w:r>
              <w:rPr>
                <w:sz w:val="12"/>
              </w:rPr>
              <w:t>+0.2%</w:t>
            </w:r>
          </w:p>
        </w:tc>
        <w:tc>
          <w:tcPr>
            <w:tcW w:w="2642" w:type="dxa"/>
          </w:tcPr>
          <w:p w14:paraId="7022901A" w14:textId="77777777" w:rsidR="002240BE" w:rsidRDefault="002240BE" w:rsidP="00406F1D">
            <w:pPr>
              <w:spacing w:after="0"/>
            </w:pPr>
            <w:r>
              <w:rPr>
                <w:sz w:val="12"/>
              </w:rPr>
              <w:t>Jul 2026</w:t>
            </w:r>
          </w:p>
        </w:tc>
      </w:tr>
    </w:tbl>
    <w:p w14:paraId="6E27DC2D" w14:textId="77777777" w:rsidR="002240BE" w:rsidRDefault="002240BE" w:rsidP="002240BE">
      <w:r>
        <w:rPr>
          <w:b/>
        </w:rPr>
        <w:t xml:space="preserve">Source: </w:t>
      </w:r>
      <w:r>
        <w:rPr>
          <w:i/>
          <w:sz w:val="14"/>
        </w:rPr>
        <w:t>BEA Personal Income and Outlays, July 2026; BLS Consumer Price Index, July 2026.</w:t>
      </w:r>
    </w:p>
    <w:p w14:paraId="0A3690EE"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35</w:t>
      </w:r>
    </w:p>
    <w:p w14:paraId="6A62A132" w14:textId="77777777" w:rsidR="002240BE" w:rsidRDefault="002240BE" w:rsidP="002240BE">
      <w:r>
        <w:br w:type="page"/>
      </w:r>
    </w:p>
    <w:p w14:paraId="64CEF7D8"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7306FCE5" w14:textId="77777777" w:rsidR="002240BE" w:rsidRDefault="002240BE" w:rsidP="002240BE">
      <w:pPr>
        <w:pStyle w:val="Heading1"/>
      </w:pPr>
      <w:r>
        <w:t>36. PCE Inflation</w:t>
      </w:r>
    </w:p>
    <w:p w14:paraId="6E20DED1" w14:textId="77777777" w:rsidR="002240BE" w:rsidRDefault="002240BE" w:rsidP="002240BE">
      <w:r>
        <w:rPr>
          <w:i/>
          <w:color w:val="555555"/>
        </w:rPr>
        <w:t>Federal Reserve's Preferred Measure | Headline PCE</w:t>
      </w:r>
    </w:p>
    <w:p w14:paraId="7E10DB0D" w14:textId="77777777" w:rsidR="002240BE" w:rsidRDefault="002240BE" w:rsidP="002240BE">
      <w:r>
        <w:t xml:space="preserve">The PCE price index is the Federal Reserve's preferred inflation gauge because it covers a broad range of household spending and allows expenditure weights to adjust as consumer </w:t>
      </w:r>
      <w:proofErr w:type="spellStart"/>
      <w:r>
        <w:t>behaviour</w:t>
      </w:r>
      <w:proofErr w:type="spellEnd"/>
      <w:r>
        <w:t xml:space="preserve"> changes. Headline PCE inflation was 3.7% year over year in July, unchanged from June and below the 4.1% reading in May.</w:t>
      </w:r>
    </w:p>
    <w:p w14:paraId="67B08DE9" w14:textId="77777777" w:rsidR="002240BE" w:rsidRDefault="002240BE" w:rsidP="002240BE">
      <w:pPr>
        <w:jc w:val="center"/>
      </w:pPr>
      <w:r>
        <w:rPr>
          <w:noProof/>
        </w:rPr>
        <w:drawing>
          <wp:inline distT="0" distB="0" distL="0" distR="0" wp14:anchorId="2FBCBB6D" wp14:editId="766F1A8A">
            <wp:extent cx="5486400" cy="2571750"/>
            <wp:effectExtent l="0" t="0" r="0" b="0"/>
            <wp:docPr id="787560291" name="Picture 78756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e_yoy.png"/>
                    <pic:cNvPicPr/>
                  </pic:nvPicPr>
                  <pic:blipFill>
                    <a:blip r:embed="rId75"/>
                    <a:stretch>
                      <a:fillRect/>
                    </a:stretch>
                  </pic:blipFill>
                  <pic:spPr>
                    <a:xfrm>
                      <a:off x="0" y="0"/>
                      <a:ext cx="5486400" cy="2571750"/>
                    </a:xfrm>
                    <a:prstGeom prst="rect">
                      <a:avLst/>
                    </a:prstGeom>
                  </pic:spPr>
                </pic:pic>
              </a:graphicData>
            </a:graphic>
          </wp:inline>
        </w:drawing>
      </w:r>
    </w:p>
    <w:p w14:paraId="7B411E26" w14:textId="77777777" w:rsidR="002240BE" w:rsidRDefault="002240BE" w:rsidP="002240BE">
      <w:r>
        <w:rPr>
          <w:b/>
          <w:color w:val="1F3756"/>
        </w:rPr>
      </w:r>
      <w:r>
        <w:t>Headline PCE cooled from its May increase but has not yet resumed a smooth path toward 2%. The flat 3.7% readings in June and July suggest that the easy part of disinflation has passed. Further improvement will require softer services inflation and less pressure from volatile energy-related categories.</w:t>
      </w:r>
    </w:p>
    <w:tbl>
      <w:tblPr>
        <w:tblW w:w="0" w:type="auto"/>
        <w:jc w:val="center"/>
        <w:tblLook w:val="04A0" w:firstRow="1" w:lastRow="0" w:firstColumn="1" w:lastColumn="0" w:noHBand="0" w:noVBand="1"/>
      </w:tblPr>
      <w:tblGrid>
        <w:gridCol w:w="3454"/>
        <w:gridCol w:w="3457"/>
        <w:gridCol w:w="3457"/>
      </w:tblGrid>
      <w:tr w:rsidR="002240BE" w14:paraId="1A5BC5C0" w14:textId="77777777" w:rsidTr="00406F1D">
        <w:trPr>
          <w:jc w:val="center"/>
        </w:trPr>
        <w:tc>
          <w:tcPr>
            <w:tcW w:w="3523" w:type="dxa"/>
            <w:shd w:val="clear" w:color="auto" w:fill="1F3756"/>
          </w:tcPr>
          <w:p w14:paraId="0C2E9756" w14:textId="77777777" w:rsidR="002240BE" w:rsidRDefault="002240BE" w:rsidP="00406F1D">
            <w:r>
              <w:rPr>
                <w:b/>
                <w:color w:val="FFFFFF"/>
                <w:sz w:val="13"/>
              </w:rPr>
              <w:t>Month</w:t>
            </w:r>
          </w:p>
        </w:tc>
        <w:tc>
          <w:tcPr>
            <w:tcW w:w="3523" w:type="dxa"/>
            <w:shd w:val="clear" w:color="auto" w:fill="1F3756"/>
          </w:tcPr>
          <w:p w14:paraId="727077B6" w14:textId="77777777" w:rsidR="002240BE" w:rsidRDefault="002240BE" w:rsidP="00406F1D">
            <w:r>
              <w:rPr>
                <w:b/>
                <w:color w:val="FFFFFF"/>
                <w:sz w:val="13"/>
              </w:rPr>
              <w:t>PCE inflation y/y</w:t>
            </w:r>
          </w:p>
        </w:tc>
        <w:tc>
          <w:tcPr>
            <w:tcW w:w="3523" w:type="dxa"/>
            <w:shd w:val="clear" w:color="auto" w:fill="1F3756"/>
          </w:tcPr>
          <w:p w14:paraId="5FAD672B" w14:textId="77777777" w:rsidR="002240BE" w:rsidRDefault="002240BE" w:rsidP="00406F1D">
            <w:r>
              <w:rPr>
                <w:b/>
                <w:color w:val="FFFFFF"/>
                <w:sz w:val="13"/>
              </w:rPr>
              <w:t>Monthly price change</w:t>
            </w:r>
          </w:p>
        </w:tc>
      </w:tr>
      <w:tr w:rsidR="002240BE" w14:paraId="6D895E4E" w14:textId="77777777" w:rsidTr="00406F1D">
        <w:trPr>
          <w:jc w:val="center"/>
        </w:trPr>
        <w:tc>
          <w:tcPr>
            <w:tcW w:w="3523" w:type="dxa"/>
          </w:tcPr>
          <w:p w14:paraId="4DBE0428" w14:textId="77777777" w:rsidR="002240BE" w:rsidRDefault="002240BE" w:rsidP="00406F1D">
            <w:pPr>
              <w:spacing w:after="0"/>
            </w:pPr>
            <w:r>
              <w:rPr>
                <w:sz w:val="12"/>
              </w:rPr>
              <w:t>Apr 2026</w:t>
            </w:r>
          </w:p>
        </w:tc>
        <w:tc>
          <w:tcPr>
            <w:tcW w:w="3523" w:type="dxa"/>
          </w:tcPr>
          <w:p w14:paraId="0DB24F39" w14:textId="77777777" w:rsidR="002240BE" w:rsidRDefault="002240BE" w:rsidP="00406F1D">
            <w:pPr>
              <w:spacing w:after="0"/>
            </w:pPr>
            <w:r>
              <w:rPr>
                <w:sz w:val="12"/>
              </w:rPr>
              <w:t>3.8%</w:t>
            </w:r>
          </w:p>
        </w:tc>
        <w:tc>
          <w:tcPr>
            <w:tcW w:w="3523" w:type="dxa"/>
          </w:tcPr>
          <w:p w14:paraId="0C95E546" w14:textId="77777777" w:rsidR="002240BE" w:rsidRDefault="002240BE" w:rsidP="00406F1D">
            <w:pPr>
              <w:spacing w:after="0"/>
            </w:pPr>
            <w:r>
              <w:rPr>
                <w:sz w:val="12"/>
              </w:rPr>
              <w:t>+0.4%</w:t>
            </w:r>
          </w:p>
        </w:tc>
      </w:tr>
      <w:tr w:rsidR="002240BE" w14:paraId="6346072C" w14:textId="77777777" w:rsidTr="00406F1D">
        <w:trPr>
          <w:jc w:val="center"/>
        </w:trPr>
        <w:tc>
          <w:tcPr>
            <w:tcW w:w="3523" w:type="dxa"/>
          </w:tcPr>
          <w:p w14:paraId="49F3D929" w14:textId="77777777" w:rsidR="002240BE" w:rsidRDefault="002240BE" w:rsidP="00406F1D">
            <w:pPr>
              <w:spacing w:after="0"/>
            </w:pPr>
            <w:r>
              <w:rPr>
                <w:sz w:val="12"/>
              </w:rPr>
              <w:t>May 2026</w:t>
            </w:r>
          </w:p>
        </w:tc>
        <w:tc>
          <w:tcPr>
            <w:tcW w:w="3523" w:type="dxa"/>
          </w:tcPr>
          <w:p w14:paraId="2ADED96E" w14:textId="77777777" w:rsidR="002240BE" w:rsidRDefault="002240BE" w:rsidP="00406F1D">
            <w:pPr>
              <w:spacing w:after="0"/>
            </w:pPr>
            <w:r>
              <w:rPr>
                <w:sz w:val="12"/>
              </w:rPr>
              <w:t>4.1%</w:t>
            </w:r>
          </w:p>
        </w:tc>
        <w:tc>
          <w:tcPr>
            <w:tcW w:w="3523" w:type="dxa"/>
          </w:tcPr>
          <w:p w14:paraId="42481B24" w14:textId="77777777" w:rsidR="002240BE" w:rsidRDefault="002240BE" w:rsidP="00406F1D">
            <w:pPr>
              <w:spacing w:after="0"/>
            </w:pPr>
            <w:r>
              <w:rPr>
                <w:sz w:val="12"/>
              </w:rPr>
              <w:t>+0.4%</w:t>
            </w:r>
          </w:p>
        </w:tc>
      </w:tr>
      <w:tr w:rsidR="002240BE" w14:paraId="42738158" w14:textId="77777777" w:rsidTr="00406F1D">
        <w:trPr>
          <w:jc w:val="center"/>
        </w:trPr>
        <w:tc>
          <w:tcPr>
            <w:tcW w:w="3523" w:type="dxa"/>
          </w:tcPr>
          <w:p w14:paraId="108E0DAF" w14:textId="77777777" w:rsidR="002240BE" w:rsidRDefault="002240BE" w:rsidP="00406F1D">
            <w:pPr>
              <w:spacing w:after="0"/>
            </w:pPr>
            <w:r>
              <w:rPr>
                <w:sz w:val="12"/>
              </w:rPr>
              <w:t>Jun 2026</w:t>
            </w:r>
          </w:p>
        </w:tc>
        <w:tc>
          <w:tcPr>
            <w:tcW w:w="3523" w:type="dxa"/>
          </w:tcPr>
          <w:p w14:paraId="34AFBF3A" w14:textId="77777777" w:rsidR="002240BE" w:rsidRDefault="002240BE" w:rsidP="00406F1D">
            <w:pPr>
              <w:spacing w:after="0"/>
            </w:pPr>
            <w:r>
              <w:rPr>
                <w:sz w:val="12"/>
              </w:rPr>
              <w:t>3.7%</w:t>
            </w:r>
          </w:p>
        </w:tc>
        <w:tc>
          <w:tcPr>
            <w:tcW w:w="3523" w:type="dxa"/>
          </w:tcPr>
          <w:p w14:paraId="5547E6F1" w14:textId="77777777" w:rsidR="002240BE" w:rsidRDefault="002240BE" w:rsidP="00406F1D">
            <w:pPr>
              <w:spacing w:after="0"/>
            </w:pPr>
            <w:r>
              <w:rPr>
                <w:sz w:val="12"/>
              </w:rPr>
              <w:t>-0.1%</w:t>
            </w:r>
          </w:p>
        </w:tc>
      </w:tr>
      <w:tr w:rsidR="002240BE" w14:paraId="33E2036B" w14:textId="77777777" w:rsidTr="00406F1D">
        <w:trPr>
          <w:jc w:val="center"/>
        </w:trPr>
        <w:tc>
          <w:tcPr>
            <w:tcW w:w="3523" w:type="dxa"/>
          </w:tcPr>
          <w:p w14:paraId="6435E5FB" w14:textId="77777777" w:rsidR="002240BE" w:rsidRDefault="002240BE" w:rsidP="00406F1D">
            <w:pPr>
              <w:spacing w:after="0"/>
            </w:pPr>
            <w:r>
              <w:rPr>
                <w:sz w:val="12"/>
              </w:rPr>
              <w:t>Jul 2026</w:t>
            </w:r>
          </w:p>
        </w:tc>
        <w:tc>
          <w:tcPr>
            <w:tcW w:w="3523" w:type="dxa"/>
          </w:tcPr>
          <w:p w14:paraId="02C4C64C" w14:textId="77777777" w:rsidR="002240BE" w:rsidRDefault="002240BE" w:rsidP="00406F1D">
            <w:pPr>
              <w:spacing w:after="0"/>
            </w:pPr>
            <w:r>
              <w:rPr>
                <w:sz w:val="12"/>
              </w:rPr>
              <w:t>3.7%</w:t>
            </w:r>
          </w:p>
        </w:tc>
        <w:tc>
          <w:tcPr>
            <w:tcW w:w="3523" w:type="dxa"/>
          </w:tcPr>
          <w:p w14:paraId="51F80B9A" w14:textId="77777777" w:rsidR="002240BE" w:rsidRDefault="002240BE" w:rsidP="00406F1D">
            <w:pPr>
              <w:spacing w:after="0"/>
            </w:pPr>
            <w:r>
              <w:rPr>
                <w:sz w:val="12"/>
              </w:rPr>
              <w:t>+0.2%</w:t>
            </w:r>
          </w:p>
        </w:tc>
      </w:tr>
    </w:tbl>
    <w:p w14:paraId="00A9DCA4" w14:textId="77777777" w:rsidR="002240BE" w:rsidRDefault="002240BE" w:rsidP="002240BE">
      <w:r>
        <w:rPr>
          <w:b/>
        </w:rPr>
        <w:t xml:space="preserve">Source: </w:t>
      </w:r>
      <w:r>
        <w:rPr>
          <w:i/>
          <w:sz w:val="14"/>
        </w:rPr>
        <w:t>U.S. Bureau of Economic Analysis, Personal Consumption Expenditures Price Index and monthly Personal Income and Outlays releases.</w:t>
      </w:r>
    </w:p>
    <w:p w14:paraId="0F823EF9"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36</w:t>
      </w:r>
    </w:p>
    <w:p w14:paraId="12B67D33" w14:textId="77777777" w:rsidR="002240BE" w:rsidRDefault="002240BE" w:rsidP="002240BE">
      <w:r>
        <w:br w:type="page"/>
      </w:r>
    </w:p>
    <w:p w14:paraId="7DEDC8FB"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26443744" w14:textId="77777777" w:rsidR="002240BE" w:rsidRDefault="002240BE" w:rsidP="002240BE">
      <w:pPr>
        <w:pStyle w:val="Heading1"/>
      </w:pPr>
      <w:r>
        <w:t>37. Core PCE Inflation</w:t>
      </w:r>
    </w:p>
    <w:p w14:paraId="2208E121" w14:textId="77777777" w:rsidR="002240BE" w:rsidRDefault="002240BE" w:rsidP="002240BE">
      <w:r>
        <w:rPr>
          <w:i/>
          <w:color w:val="555555"/>
        </w:rPr>
        <w:t>Underlying Price Pressure | Excluding Food and Energy</w:t>
      </w:r>
    </w:p>
    <w:p w14:paraId="49B17605" w14:textId="77777777" w:rsidR="002240BE" w:rsidRDefault="002240BE" w:rsidP="002240BE">
      <w:r>
        <w:t xml:space="preserve">Core PCE strips out food and energy to give a clearer view of persistent price pressure. It </w:t>
      </w:r>
      <w:proofErr w:type="gramStart"/>
      <w:r>
        <w:t>eased</w:t>
      </w:r>
      <w:proofErr w:type="gramEnd"/>
      <w:r>
        <w:t xml:space="preserve"> from 3.4% in May to 3.3% in June and remained at 3.3% in July. The direction is encouraging, but the level is still too high to describe underlying inflation as fully </w:t>
      </w:r>
      <w:proofErr w:type="spellStart"/>
      <w:r>
        <w:t>normalised</w:t>
      </w:r>
      <w:proofErr w:type="spellEnd"/>
      <w:r>
        <w:t>.</w:t>
      </w:r>
    </w:p>
    <w:p w14:paraId="38097F26" w14:textId="77777777" w:rsidR="002240BE" w:rsidRDefault="002240BE" w:rsidP="002240BE">
      <w:pPr>
        <w:jc w:val="center"/>
      </w:pPr>
      <w:r>
        <w:rPr>
          <w:noProof/>
        </w:rPr>
        <w:drawing>
          <wp:inline distT="0" distB="0" distL="0" distR="0" wp14:anchorId="1F5A0716" wp14:editId="5BCEA0A5">
            <wp:extent cx="5486400" cy="2571750"/>
            <wp:effectExtent l="0" t="0" r="0" b="0"/>
            <wp:docPr id="1159124972" name="Picture 115912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pce.png"/>
                    <pic:cNvPicPr/>
                  </pic:nvPicPr>
                  <pic:blipFill>
                    <a:blip r:embed="rId77"/>
                    <a:stretch>
                      <a:fillRect/>
                    </a:stretch>
                  </pic:blipFill>
                  <pic:spPr>
                    <a:xfrm>
                      <a:off x="0" y="0"/>
                      <a:ext cx="5486400" cy="2571750"/>
                    </a:xfrm>
                    <a:prstGeom prst="rect">
                      <a:avLst/>
                    </a:prstGeom>
                  </pic:spPr>
                </pic:pic>
              </a:graphicData>
            </a:graphic>
          </wp:inline>
        </w:drawing>
      </w:r>
    </w:p>
    <w:p w14:paraId="5F5FACC5" w14:textId="77777777" w:rsidR="002240BE" w:rsidRDefault="002240BE" w:rsidP="002240BE">
      <w:r>
        <w:rPr>
          <w:b/>
          <w:color w:val="1F3756"/>
        </w:rPr>
      </w:r>
      <w:r>
        <w:t xml:space="preserve">Core PCE is moving in the right direction, but only gradually. The lack of further improvement in July shows why the inflation outlook remains sensitive to services, wages and housing-related costs. A sustained move closer to 2% will probably require several months of softer underlying readings rather than one </w:t>
      </w:r>
      <w:proofErr w:type="spellStart"/>
      <w:r>
        <w:t>favourable</w:t>
      </w:r>
      <w:proofErr w:type="spellEnd"/>
      <w:r>
        <w:t xml:space="preserve"> report.</w:t>
      </w:r>
    </w:p>
    <w:tbl>
      <w:tblPr>
        <w:tblW w:w="0" w:type="auto"/>
        <w:jc w:val="center"/>
        <w:tblLook w:val="04A0" w:firstRow="1" w:lastRow="0" w:firstColumn="1" w:lastColumn="0" w:noHBand="0" w:noVBand="1"/>
      </w:tblPr>
      <w:tblGrid>
        <w:gridCol w:w="3457"/>
        <w:gridCol w:w="3455"/>
        <w:gridCol w:w="3456"/>
      </w:tblGrid>
      <w:tr w:rsidR="002240BE" w14:paraId="76213E2D" w14:textId="77777777" w:rsidTr="00406F1D">
        <w:trPr>
          <w:jc w:val="center"/>
        </w:trPr>
        <w:tc>
          <w:tcPr>
            <w:tcW w:w="3523" w:type="dxa"/>
            <w:shd w:val="clear" w:color="auto" w:fill="1F3756"/>
          </w:tcPr>
          <w:p w14:paraId="7473E4D8" w14:textId="77777777" w:rsidR="002240BE" w:rsidRDefault="002240BE" w:rsidP="00406F1D">
            <w:r>
              <w:rPr>
                <w:b/>
                <w:color w:val="FFFFFF"/>
                <w:sz w:val="13"/>
              </w:rPr>
              <w:t>Month</w:t>
            </w:r>
          </w:p>
        </w:tc>
        <w:tc>
          <w:tcPr>
            <w:tcW w:w="3523" w:type="dxa"/>
            <w:shd w:val="clear" w:color="auto" w:fill="1F3756"/>
          </w:tcPr>
          <w:p w14:paraId="1D1F2629" w14:textId="77777777" w:rsidR="002240BE" w:rsidRDefault="002240BE" w:rsidP="00406F1D">
            <w:r>
              <w:rPr>
                <w:b/>
                <w:color w:val="FFFFFF"/>
                <w:sz w:val="13"/>
              </w:rPr>
              <w:t>Core PCE y/y</w:t>
            </w:r>
          </w:p>
        </w:tc>
        <w:tc>
          <w:tcPr>
            <w:tcW w:w="3523" w:type="dxa"/>
            <w:shd w:val="clear" w:color="auto" w:fill="1F3756"/>
          </w:tcPr>
          <w:p w14:paraId="4F07B7C1" w14:textId="77777777" w:rsidR="002240BE" w:rsidRDefault="002240BE" w:rsidP="00406F1D">
            <w:r>
              <w:rPr>
                <w:b/>
                <w:color w:val="FFFFFF"/>
                <w:sz w:val="13"/>
              </w:rPr>
              <w:t>Core PCE m/m</w:t>
            </w:r>
          </w:p>
        </w:tc>
      </w:tr>
      <w:tr w:rsidR="002240BE" w14:paraId="6426AB15" w14:textId="77777777" w:rsidTr="00406F1D">
        <w:trPr>
          <w:jc w:val="center"/>
        </w:trPr>
        <w:tc>
          <w:tcPr>
            <w:tcW w:w="3523" w:type="dxa"/>
          </w:tcPr>
          <w:p w14:paraId="745B4718" w14:textId="77777777" w:rsidR="002240BE" w:rsidRDefault="002240BE" w:rsidP="00406F1D">
            <w:pPr>
              <w:spacing w:after="0"/>
            </w:pPr>
            <w:r>
              <w:rPr>
                <w:sz w:val="12"/>
              </w:rPr>
              <w:t>May 2026</w:t>
            </w:r>
          </w:p>
        </w:tc>
        <w:tc>
          <w:tcPr>
            <w:tcW w:w="3523" w:type="dxa"/>
          </w:tcPr>
          <w:p w14:paraId="6CC36292" w14:textId="77777777" w:rsidR="002240BE" w:rsidRDefault="002240BE" w:rsidP="00406F1D">
            <w:pPr>
              <w:spacing w:after="0"/>
            </w:pPr>
            <w:r>
              <w:rPr>
                <w:sz w:val="12"/>
              </w:rPr>
              <w:t>3.4%</w:t>
            </w:r>
          </w:p>
        </w:tc>
        <w:tc>
          <w:tcPr>
            <w:tcW w:w="3523" w:type="dxa"/>
          </w:tcPr>
          <w:p w14:paraId="1EA968D0" w14:textId="77777777" w:rsidR="002240BE" w:rsidRDefault="002240BE" w:rsidP="00406F1D">
            <w:pPr>
              <w:spacing w:after="0"/>
            </w:pPr>
            <w:r>
              <w:rPr>
                <w:sz w:val="12"/>
              </w:rPr>
              <w:t>+0.3%</w:t>
            </w:r>
          </w:p>
        </w:tc>
      </w:tr>
      <w:tr w:rsidR="002240BE" w14:paraId="2D4521CA" w14:textId="77777777" w:rsidTr="00406F1D">
        <w:trPr>
          <w:jc w:val="center"/>
        </w:trPr>
        <w:tc>
          <w:tcPr>
            <w:tcW w:w="3523" w:type="dxa"/>
          </w:tcPr>
          <w:p w14:paraId="3A7E3552" w14:textId="77777777" w:rsidR="002240BE" w:rsidRDefault="002240BE" w:rsidP="00406F1D">
            <w:pPr>
              <w:spacing w:after="0"/>
            </w:pPr>
            <w:r>
              <w:rPr>
                <w:sz w:val="12"/>
              </w:rPr>
              <w:t>Jun 2026</w:t>
            </w:r>
          </w:p>
        </w:tc>
        <w:tc>
          <w:tcPr>
            <w:tcW w:w="3523" w:type="dxa"/>
          </w:tcPr>
          <w:p w14:paraId="16D06BD3" w14:textId="77777777" w:rsidR="002240BE" w:rsidRDefault="002240BE" w:rsidP="00406F1D">
            <w:pPr>
              <w:spacing w:after="0"/>
            </w:pPr>
            <w:r>
              <w:rPr>
                <w:sz w:val="12"/>
              </w:rPr>
              <w:t>3.3%</w:t>
            </w:r>
          </w:p>
        </w:tc>
        <w:tc>
          <w:tcPr>
            <w:tcW w:w="3523" w:type="dxa"/>
          </w:tcPr>
          <w:p w14:paraId="54C539BE" w14:textId="77777777" w:rsidR="002240BE" w:rsidRDefault="002240BE" w:rsidP="00406F1D">
            <w:pPr>
              <w:spacing w:after="0"/>
            </w:pPr>
            <w:r>
              <w:rPr>
                <w:sz w:val="12"/>
              </w:rPr>
              <w:t>+0.1%</w:t>
            </w:r>
          </w:p>
        </w:tc>
      </w:tr>
      <w:tr w:rsidR="002240BE" w14:paraId="735CBACB" w14:textId="77777777" w:rsidTr="00406F1D">
        <w:trPr>
          <w:jc w:val="center"/>
        </w:trPr>
        <w:tc>
          <w:tcPr>
            <w:tcW w:w="3523" w:type="dxa"/>
          </w:tcPr>
          <w:p w14:paraId="502E0E36" w14:textId="77777777" w:rsidR="002240BE" w:rsidRDefault="002240BE" w:rsidP="00406F1D">
            <w:pPr>
              <w:spacing w:after="0"/>
            </w:pPr>
            <w:r>
              <w:rPr>
                <w:sz w:val="12"/>
              </w:rPr>
              <w:t>Jul 2026</w:t>
            </w:r>
          </w:p>
        </w:tc>
        <w:tc>
          <w:tcPr>
            <w:tcW w:w="3523" w:type="dxa"/>
          </w:tcPr>
          <w:p w14:paraId="11E40091" w14:textId="77777777" w:rsidR="002240BE" w:rsidRDefault="002240BE" w:rsidP="00406F1D">
            <w:pPr>
              <w:spacing w:after="0"/>
            </w:pPr>
            <w:r>
              <w:rPr>
                <w:sz w:val="12"/>
              </w:rPr>
              <w:t>3.3%</w:t>
            </w:r>
          </w:p>
        </w:tc>
        <w:tc>
          <w:tcPr>
            <w:tcW w:w="3523" w:type="dxa"/>
          </w:tcPr>
          <w:p w14:paraId="72F67112" w14:textId="77777777" w:rsidR="002240BE" w:rsidRDefault="002240BE" w:rsidP="00406F1D">
            <w:pPr>
              <w:spacing w:after="0"/>
            </w:pPr>
            <w:r>
              <w:rPr>
                <w:sz w:val="12"/>
              </w:rPr>
              <w:t>+0.2%</w:t>
            </w:r>
          </w:p>
        </w:tc>
      </w:tr>
    </w:tbl>
    <w:p w14:paraId="4776F64E" w14:textId="77777777" w:rsidR="002240BE" w:rsidRDefault="002240BE" w:rsidP="002240BE">
      <w:r>
        <w:rPr>
          <w:b/>
        </w:rPr>
        <w:t xml:space="preserve">Source: </w:t>
      </w:r>
      <w:r>
        <w:rPr>
          <w:i/>
          <w:sz w:val="14"/>
        </w:rPr>
        <w:t>BEA Personal Income and Outlays, May–July 2026.</w:t>
      </w:r>
    </w:p>
    <w:p w14:paraId="39D3F237"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37</w:t>
      </w:r>
    </w:p>
    <w:p w14:paraId="130006B1" w14:textId="77777777" w:rsidR="002240BE" w:rsidRDefault="002240BE" w:rsidP="002240BE">
      <w:r>
        <w:br w:type="page"/>
      </w:r>
    </w:p>
    <w:p w14:paraId="030D7E8F"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37BCE7A7" w14:textId="77777777" w:rsidR="002240BE" w:rsidRDefault="002240BE" w:rsidP="002240BE">
      <w:pPr>
        <w:pStyle w:val="Heading1"/>
      </w:pPr>
      <w:r>
        <w:t>38. CPI Inflation</w:t>
      </w:r>
    </w:p>
    <w:p w14:paraId="650FB1E2" w14:textId="77777777" w:rsidR="002240BE" w:rsidRDefault="002240BE" w:rsidP="002240BE">
      <w:r>
        <w:rPr>
          <w:i/>
          <w:color w:val="555555"/>
        </w:rPr>
        <w:t>Consumer Prices | Headline, Core and Major Components</w:t>
      </w:r>
    </w:p>
    <w:p w14:paraId="26280F22" w14:textId="77777777" w:rsidR="002240BE" w:rsidRDefault="002240BE" w:rsidP="002240BE">
      <w:r>
        <w:t>CPI inflation eased to 3.4% in July from 3.5% in June. Core CPI was lower at 2.5%, while energy prices were the main source of headline pressure. Food inflation was 3.0%, shelter 3.2%, and core goods inflation remained comparatively subdued.</w:t>
      </w:r>
    </w:p>
    <w:tbl>
      <w:tblPr>
        <w:tblW w:w="0" w:type="auto"/>
        <w:jc w:val="center"/>
        <w:tblLook w:val="04A0" w:firstRow="1" w:lastRow="0" w:firstColumn="1" w:lastColumn="0" w:noHBand="0" w:noVBand="1"/>
      </w:tblPr>
      <w:tblGrid>
        <w:gridCol w:w="5184"/>
        <w:gridCol w:w="5184"/>
      </w:tblGrid>
      <w:tr w:rsidR="002240BE" w14:paraId="77FF37E1" w14:textId="77777777" w:rsidTr="00406F1D">
        <w:trPr>
          <w:jc w:val="center"/>
        </w:trPr>
        <w:tc>
          <w:tcPr>
            <w:tcW w:w="5285" w:type="dxa"/>
          </w:tcPr>
          <w:p w14:paraId="69D951A2" w14:textId="77777777" w:rsidR="002240BE" w:rsidRDefault="002240BE" w:rsidP="00406F1D">
            <w:pPr>
              <w:jc w:val="center"/>
            </w:pPr>
            <w:r>
              <w:rPr>
                <w:noProof/>
              </w:rPr>
              <w:drawing>
                <wp:inline distT="0" distB="0" distL="0" distR="0" wp14:anchorId="20F5C8FD" wp14:editId="102C4CBB">
                  <wp:extent cx="2788920" cy="1307306"/>
                  <wp:effectExtent l="0" t="0" r="0" b="0"/>
                  <wp:docPr id="298259470" name="Picture 29825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i_yoy.png"/>
                          <pic:cNvPicPr/>
                        </pic:nvPicPr>
                        <pic:blipFill>
                          <a:blip r:embed="rId76"/>
                          <a:stretch>
                            <a:fillRect/>
                          </a:stretch>
                        </pic:blipFill>
                        <pic:spPr>
                          <a:xfrm>
                            <a:off x="0" y="0"/>
                            <a:ext cx="2788920" cy="1307306"/>
                          </a:xfrm>
                          <a:prstGeom prst="rect">
                            <a:avLst/>
                          </a:prstGeom>
                        </pic:spPr>
                      </pic:pic>
                    </a:graphicData>
                  </a:graphic>
                </wp:inline>
              </w:drawing>
            </w:r>
          </w:p>
        </w:tc>
        <w:tc>
          <w:tcPr>
            <w:tcW w:w="5285" w:type="dxa"/>
          </w:tcPr>
          <w:p w14:paraId="511D9C3A" w14:textId="77777777" w:rsidR="002240BE" w:rsidRDefault="002240BE" w:rsidP="00406F1D">
            <w:pPr>
              <w:jc w:val="center"/>
            </w:pPr>
            <w:r>
              <w:rPr>
                <w:noProof/>
              </w:rPr>
              <w:drawing>
                <wp:inline distT="0" distB="0" distL="0" distR="0" wp14:anchorId="0E886BF7" wp14:editId="22A2A7E4">
                  <wp:extent cx="2788920" cy="1307306"/>
                  <wp:effectExtent l="0" t="0" r="0" b="0"/>
                  <wp:docPr id="1791226776" name="Picture 179122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i_components.png"/>
                          <pic:cNvPicPr/>
                        </pic:nvPicPr>
                        <pic:blipFill>
                          <a:blip r:embed="rId78"/>
                          <a:stretch>
                            <a:fillRect/>
                          </a:stretch>
                        </pic:blipFill>
                        <pic:spPr>
                          <a:xfrm>
                            <a:off x="0" y="0"/>
                            <a:ext cx="2788920" cy="1307306"/>
                          </a:xfrm>
                          <a:prstGeom prst="rect">
                            <a:avLst/>
                          </a:prstGeom>
                        </pic:spPr>
                      </pic:pic>
                    </a:graphicData>
                  </a:graphic>
                </wp:inline>
              </w:drawing>
            </w:r>
          </w:p>
        </w:tc>
      </w:tr>
    </w:tbl>
    <w:p w14:paraId="150FB8A3" w14:textId="77777777" w:rsidR="002240BE" w:rsidRDefault="002240BE" w:rsidP="002240BE">
      <w:r>
        <w:rPr>
          <w:b/>
          <w:color w:val="1F3756"/>
        </w:rPr>
      </w:r>
      <w:r>
        <w:t>July's CPI mix is unusual because headline inflation is being pushed above core inflation by energy. Core goods are relatively quiet, while shelter and other services remain closer to 3%. That means the inflation problem is no longer broad-based in the same way as at the peak, but it is still not fully resolved.</w:t>
      </w:r>
    </w:p>
    <w:tbl>
      <w:tblPr>
        <w:tblW w:w="0" w:type="auto"/>
        <w:jc w:val="center"/>
        <w:tblLook w:val="04A0" w:firstRow="1" w:lastRow="0" w:firstColumn="1" w:lastColumn="0" w:noHBand="0" w:noVBand="1"/>
      </w:tblPr>
      <w:tblGrid>
        <w:gridCol w:w="3462"/>
        <w:gridCol w:w="3453"/>
        <w:gridCol w:w="3453"/>
      </w:tblGrid>
      <w:tr w:rsidR="002240BE" w14:paraId="0CD09CB4" w14:textId="77777777" w:rsidTr="00406F1D">
        <w:trPr>
          <w:jc w:val="center"/>
        </w:trPr>
        <w:tc>
          <w:tcPr>
            <w:tcW w:w="3523" w:type="dxa"/>
            <w:shd w:val="clear" w:color="auto" w:fill="1F3756"/>
          </w:tcPr>
          <w:p w14:paraId="172B0F79" w14:textId="77777777" w:rsidR="002240BE" w:rsidRDefault="002240BE" w:rsidP="00406F1D">
            <w:r>
              <w:rPr>
                <w:b/>
                <w:color w:val="FFFFFF"/>
                <w:sz w:val="13"/>
              </w:rPr>
              <w:t>CPI category</w:t>
            </w:r>
          </w:p>
        </w:tc>
        <w:tc>
          <w:tcPr>
            <w:tcW w:w="3523" w:type="dxa"/>
            <w:shd w:val="clear" w:color="auto" w:fill="1F3756"/>
          </w:tcPr>
          <w:p w14:paraId="69FD48A8" w14:textId="77777777" w:rsidR="002240BE" w:rsidRDefault="002240BE" w:rsidP="00406F1D">
            <w:r>
              <w:rPr>
                <w:b/>
                <w:color w:val="FFFFFF"/>
                <w:sz w:val="13"/>
              </w:rPr>
              <w:t>Jul 2026 y/y</w:t>
            </w:r>
          </w:p>
        </w:tc>
        <w:tc>
          <w:tcPr>
            <w:tcW w:w="3523" w:type="dxa"/>
            <w:shd w:val="clear" w:color="auto" w:fill="1F3756"/>
          </w:tcPr>
          <w:p w14:paraId="34D93B9C" w14:textId="77777777" w:rsidR="002240BE" w:rsidRDefault="002240BE" w:rsidP="00406F1D">
            <w:r>
              <w:rPr>
                <w:b/>
                <w:color w:val="FFFFFF"/>
                <w:sz w:val="13"/>
              </w:rPr>
              <w:t>Jul 2026 m/m</w:t>
            </w:r>
          </w:p>
        </w:tc>
      </w:tr>
      <w:tr w:rsidR="002240BE" w14:paraId="57528B8C" w14:textId="77777777" w:rsidTr="00406F1D">
        <w:trPr>
          <w:jc w:val="center"/>
        </w:trPr>
        <w:tc>
          <w:tcPr>
            <w:tcW w:w="3523" w:type="dxa"/>
          </w:tcPr>
          <w:p w14:paraId="3A184E61" w14:textId="77777777" w:rsidR="002240BE" w:rsidRDefault="002240BE" w:rsidP="00406F1D">
            <w:pPr>
              <w:spacing w:after="0"/>
            </w:pPr>
            <w:r>
              <w:rPr>
                <w:sz w:val="12"/>
              </w:rPr>
              <w:t>All items</w:t>
            </w:r>
          </w:p>
        </w:tc>
        <w:tc>
          <w:tcPr>
            <w:tcW w:w="3523" w:type="dxa"/>
          </w:tcPr>
          <w:p w14:paraId="5183A06D" w14:textId="77777777" w:rsidR="002240BE" w:rsidRDefault="002240BE" w:rsidP="00406F1D">
            <w:pPr>
              <w:spacing w:after="0"/>
            </w:pPr>
            <w:r>
              <w:rPr>
                <w:sz w:val="12"/>
              </w:rPr>
              <w:t>3.4%</w:t>
            </w:r>
          </w:p>
        </w:tc>
        <w:tc>
          <w:tcPr>
            <w:tcW w:w="3523" w:type="dxa"/>
          </w:tcPr>
          <w:p w14:paraId="41AE507C" w14:textId="77777777" w:rsidR="002240BE" w:rsidRDefault="002240BE" w:rsidP="00406F1D">
            <w:pPr>
              <w:spacing w:after="0"/>
            </w:pPr>
            <w:r>
              <w:rPr>
                <w:sz w:val="12"/>
              </w:rPr>
              <w:t>+0.1%</w:t>
            </w:r>
          </w:p>
        </w:tc>
      </w:tr>
      <w:tr w:rsidR="002240BE" w14:paraId="11C96863" w14:textId="77777777" w:rsidTr="00406F1D">
        <w:trPr>
          <w:jc w:val="center"/>
        </w:trPr>
        <w:tc>
          <w:tcPr>
            <w:tcW w:w="3523" w:type="dxa"/>
          </w:tcPr>
          <w:p w14:paraId="14C06649" w14:textId="77777777" w:rsidR="002240BE" w:rsidRDefault="002240BE" w:rsidP="00406F1D">
            <w:pPr>
              <w:spacing w:after="0"/>
            </w:pPr>
            <w:r>
              <w:rPr>
                <w:sz w:val="12"/>
              </w:rPr>
              <w:t>Core CPI</w:t>
            </w:r>
          </w:p>
        </w:tc>
        <w:tc>
          <w:tcPr>
            <w:tcW w:w="3523" w:type="dxa"/>
          </w:tcPr>
          <w:p w14:paraId="3420ABA1" w14:textId="77777777" w:rsidR="002240BE" w:rsidRDefault="002240BE" w:rsidP="00406F1D">
            <w:pPr>
              <w:spacing w:after="0"/>
            </w:pPr>
            <w:r>
              <w:rPr>
                <w:sz w:val="12"/>
              </w:rPr>
              <w:t>2.5%</w:t>
            </w:r>
          </w:p>
        </w:tc>
        <w:tc>
          <w:tcPr>
            <w:tcW w:w="3523" w:type="dxa"/>
          </w:tcPr>
          <w:p w14:paraId="6465004D" w14:textId="77777777" w:rsidR="002240BE" w:rsidRDefault="002240BE" w:rsidP="00406F1D">
            <w:pPr>
              <w:spacing w:after="0"/>
            </w:pPr>
            <w:r>
              <w:rPr>
                <w:sz w:val="12"/>
              </w:rPr>
              <w:t>+0.2%</w:t>
            </w:r>
          </w:p>
        </w:tc>
      </w:tr>
      <w:tr w:rsidR="002240BE" w14:paraId="23408CC3" w14:textId="77777777" w:rsidTr="00406F1D">
        <w:trPr>
          <w:jc w:val="center"/>
        </w:trPr>
        <w:tc>
          <w:tcPr>
            <w:tcW w:w="3523" w:type="dxa"/>
          </w:tcPr>
          <w:p w14:paraId="76B64C58" w14:textId="77777777" w:rsidR="002240BE" w:rsidRDefault="002240BE" w:rsidP="00406F1D">
            <w:pPr>
              <w:spacing w:after="0"/>
            </w:pPr>
            <w:r>
              <w:rPr>
                <w:sz w:val="12"/>
              </w:rPr>
              <w:t>Food</w:t>
            </w:r>
          </w:p>
        </w:tc>
        <w:tc>
          <w:tcPr>
            <w:tcW w:w="3523" w:type="dxa"/>
          </w:tcPr>
          <w:p w14:paraId="4A9BB684" w14:textId="77777777" w:rsidR="002240BE" w:rsidRDefault="002240BE" w:rsidP="00406F1D">
            <w:pPr>
              <w:spacing w:after="0"/>
            </w:pPr>
            <w:r>
              <w:rPr>
                <w:sz w:val="12"/>
              </w:rPr>
              <w:t>3.0%</w:t>
            </w:r>
          </w:p>
        </w:tc>
        <w:tc>
          <w:tcPr>
            <w:tcW w:w="3523" w:type="dxa"/>
          </w:tcPr>
          <w:p w14:paraId="52B5CB2E" w14:textId="77777777" w:rsidR="002240BE" w:rsidRDefault="002240BE" w:rsidP="00406F1D">
            <w:pPr>
              <w:spacing w:after="0"/>
            </w:pPr>
            <w:r>
              <w:rPr>
                <w:sz w:val="12"/>
              </w:rPr>
              <w:t>+0.1%</w:t>
            </w:r>
          </w:p>
        </w:tc>
      </w:tr>
      <w:tr w:rsidR="002240BE" w14:paraId="4C2951CB" w14:textId="77777777" w:rsidTr="00406F1D">
        <w:trPr>
          <w:jc w:val="center"/>
        </w:trPr>
        <w:tc>
          <w:tcPr>
            <w:tcW w:w="3523" w:type="dxa"/>
          </w:tcPr>
          <w:p w14:paraId="7E64E1A3" w14:textId="77777777" w:rsidR="002240BE" w:rsidRDefault="002240BE" w:rsidP="00406F1D">
            <w:pPr>
              <w:spacing w:after="0"/>
            </w:pPr>
            <w:r>
              <w:rPr>
                <w:sz w:val="12"/>
              </w:rPr>
              <w:t>Energy</w:t>
            </w:r>
          </w:p>
        </w:tc>
        <w:tc>
          <w:tcPr>
            <w:tcW w:w="3523" w:type="dxa"/>
          </w:tcPr>
          <w:p w14:paraId="7F313162" w14:textId="77777777" w:rsidR="002240BE" w:rsidRDefault="002240BE" w:rsidP="00406F1D">
            <w:pPr>
              <w:spacing w:after="0"/>
            </w:pPr>
            <w:r>
              <w:rPr>
                <w:sz w:val="12"/>
              </w:rPr>
              <w:t>14.7%</w:t>
            </w:r>
          </w:p>
        </w:tc>
        <w:tc>
          <w:tcPr>
            <w:tcW w:w="3523" w:type="dxa"/>
          </w:tcPr>
          <w:p w14:paraId="1D407085" w14:textId="77777777" w:rsidR="002240BE" w:rsidRDefault="002240BE" w:rsidP="00406F1D">
            <w:pPr>
              <w:spacing w:after="0"/>
            </w:pPr>
            <w:r>
              <w:rPr>
                <w:sz w:val="12"/>
              </w:rPr>
              <w:t>-1.5%</w:t>
            </w:r>
          </w:p>
        </w:tc>
      </w:tr>
      <w:tr w:rsidR="002240BE" w14:paraId="14D8C26E" w14:textId="77777777" w:rsidTr="00406F1D">
        <w:trPr>
          <w:jc w:val="center"/>
        </w:trPr>
        <w:tc>
          <w:tcPr>
            <w:tcW w:w="3523" w:type="dxa"/>
          </w:tcPr>
          <w:p w14:paraId="6833AA6A" w14:textId="77777777" w:rsidR="002240BE" w:rsidRDefault="002240BE" w:rsidP="00406F1D">
            <w:pPr>
              <w:spacing w:after="0"/>
            </w:pPr>
            <w:r>
              <w:rPr>
                <w:sz w:val="12"/>
              </w:rPr>
              <w:t>Shelter</w:t>
            </w:r>
          </w:p>
        </w:tc>
        <w:tc>
          <w:tcPr>
            <w:tcW w:w="3523" w:type="dxa"/>
          </w:tcPr>
          <w:p w14:paraId="211DA443" w14:textId="77777777" w:rsidR="002240BE" w:rsidRDefault="002240BE" w:rsidP="00406F1D">
            <w:pPr>
              <w:spacing w:after="0"/>
            </w:pPr>
            <w:r>
              <w:rPr>
                <w:sz w:val="12"/>
              </w:rPr>
              <w:t>3.2%</w:t>
            </w:r>
          </w:p>
        </w:tc>
        <w:tc>
          <w:tcPr>
            <w:tcW w:w="3523" w:type="dxa"/>
          </w:tcPr>
          <w:p w14:paraId="09336C92" w14:textId="77777777" w:rsidR="002240BE" w:rsidRDefault="002240BE" w:rsidP="00406F1D">
            <w:pPr>
              <w:spacing w:after="0"/>
            </w:pPr>
            <w:r>
              <w:rPr>
                <w:sz w:val="12"/>
              </w:rPr>
              <w:t>+0.1%</w:t>
            </w:r>
          </w:p>
        </w:tc>
      </w:tr>
      <w:tr w:rsidR="002240BE" w14:paraId="359D7D18" w14:textId="77777777" w:rsidTr="00406F1D">
        <w:trPr>
          <w:jc w:val="center"/>
        </w:trPr>
        <w:tc>
          <w:tcPr>
            <w:tcW w:w="3523" w:type="dxa"/>
          </w:tcPr>
          <w:p w14:paraId="5AA7C1F0" w14:textId="77777777" w:rsidR="002240BE" w:rsidRDefault="002240BE" w:rsidP="00406F1D">
            <w:pPr>
              <w:spacing w:after="0"/>
            </w:pPr>
            <w:r>
              <w:rPr>
                <w:sz w:val="12"/>
              </w:rPr>
              <w:t>Services less energy</w:t>
            </w:r>
          </w:p>
        </w:tc>
        <w:tc>
          <w:tcPr>
            <w:tcW w:w="3523" w:type="dxa"/>
          </w:tcPr>
          <w:p w14:paraId="70C7F511" w14:textId="77777777" w:rsidR="002240BE" w:rsidRDefault="002240BE" w:rsidP="00406F1D">
            <w:pPr>
              <w:spacing w:after="0"/>
            </w:pPr>
            <w:r>
              <w:rPr>
                <w:sz w:val="12"/>
              </w:rPr>
              <w:t>3.0%</w:t>
            </w:r>
          </w:p>
        </w:tc>
        <w:tc>
          <w:tcPr>
            <w:tcW w:w="3523" w:type="dxa"/>
          </w:tcPr>
          <w:p w14:paraId="4211880F" w14:textId="77777777" w:rsidR="002240BE" w:rsidRDefault="002240BE" w:rsidP="00406F1D">
            <w:pPr>
              <w:spacing w:after="0"/>
            </w:pPr>
            <w:r>
              <w:rPr>
                <w:sz w:val="12"/>
              </w:rPr>
              <w:t>+0.2%</w:t>
            </w:r>
          </w:p>
        </w:tc>
      </w:tr>
      <w:tr w:rsidR="002240BE" w14:paraId="10036566" w14:textId="77777777" w:rsidTr="00406F1D">
        <w:trPr>
          <w:jc w:val="center"/>
        </w:trPr>
        <w:tc>
          <w:tcPr>
            <w:tcW w:w="3523" w:type="dxa"/>
          </w:tcPr>
          <w:p w14:paraId="75D4CCCB" w14:textId="77777777" w:rsidR="002240BE" w:rsidRDefault="002240BE" w:rsidP="00406F1D">
            <w:pPr>
              <w:spacing w:after="0"/>
            </w:pPr>
            <w:r>
              <w:rPr>
                <w:sz w:val="12"/>
              </w:rPr>
              <w:t>Core commodities</w:t>
            </w:r>
          </w:p>
        </w:tc>
        <w:tc>
          <w:tcPr>
            <w:tcW w:w="3523" w:type="dxa"/>
          </w:tcPr>
          <w:p w14:paraId="7FC18818" w14:textId="77777777" w:rsidR="002240BE" w:rsidRDefault="002240BE" w:rsidP="00406F1D">
            <w:pPr>
              <w:spacing w:after="0"/>
            </w:pPr>
            <w:r>
              <w:rPr>
                <w:sz w:val="12"/>
              </w:rPr>
              <w:t>0.8%</w:t>
            </w:r>
          </w:p>
        </w:tc>
        <w:tc>
          <w:tcPr>
            <w:tcW w:w="3523" w:type="dxa"/>
          </w:tcPr>
          <w:p w14:paraId="3E8F06C4" w14:textId="77777777" w:rsidR="002240BE" w:rsidRDefault="002240BE" w:rsidP="00406F1D">
            <w:pPr>
              <w:spacing w:after="0"/>
            </w:pPr>
            <w:r>
              <w:rPr>
                <w:sz w:val="12"/>
              </w:rPr>
              <w:t>+0.2%</w:t>
            </w:r>
          </w:p>
        </w:tc>
      </w:tr>
    </w:tbl>
    <w:p w14:paraId="6D55A583" w14:textId="77777777" w:rsidR="002240BE" w:rsidRDefault="002240BE" w:rsidP="002240BE">
      <w:r>
        <w:rPr>
          <w:b/>
        </w:rPr>
        <w:t xml:space="preserve">Source: </w:t>
      </w:r>
      <w:r>
        <w:rPr>
          <w:i/>
          <w:sz w:val="14"/>
        </w:rPr>
        <w:t>U.S. Bureau of Labor Statistics, CPI-U, July 2026.</w:t>
      </w:r>
    </w:p>
    <w:p w14:paraId="09BB79EB"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38</w:t>
      </w:r>
    </w:p>
    <w:p w14:paraId="7840F26D" w14:textId="77777777" w:rsidR="002240BE" w:rsidRDefault="002240BE" w:rsidP="002240BE">
      <w:r>
        <w:br w:type="page"/>
      </w:r>
    </w:p>
    <w:p w14:paraId="6EA1396E"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3A25184A" w14:textId="77777777" w:rsidR="002240BE" w:rsidRDefault="002240BE" w:rsidP="002240BE">
      <w:pPr>
        <w:pStyle w:val="Heading1"/>
      </w:pPr>
      <w:r>
        <w:t>39. Shelter &amp; Housing Inflation</w:t>
      </w:r>
    </w:p>
    <w:p w14:paraId="3C2194F1" w14:textId="77777777" w:rsidR="002240BE" w:rsidRDefault="002240BE" w:rsidP="002240BE">
      <w:r>
        <w:rPr>
          <w:i/>
          <w:color w:val="555555"/>
        </w:rPr>
        <w:t>Rent and Owners' Equivalent Rent | Housing Cost Pass-Through</w:t>
      </w:r>
    </w:p>
    <w:p w14:paraId="6F5BB505" w14:textId="77777777" w:rsidR="002240BE" w:rsidRDefault="002240BE" w:rsidP="002240BE">
      <w:r>
        <w:t>Shelter inflation is finally showing clearer signs of moderation. The shelter index rose only 0.1% in both June and July. In July, rent of primary residence increased 0.3% and owners' equivalent rent increased 0.3%. On a year-over-year basis, shelter and OER were both 3.2%, while primary rent was 2.9%.</w:t>
      </w:r>
    </w:p>
    <w:p w14:paraId="2C3C67FF" w14:textId="77777777" w:rsidR="002240BE" w:rsidRDefault="002240BE" w:rsidP="002240BE">
      <w:pPr>
        <w:jc w:val="center"/>
      </w:pPr>
      <w:r>
        <w:rPr>
          <w:noProof/>
        </w:rPr>
        <w:drawing>
          <wp:inline distT="0" distB="0" distL="0" distR="0" wp14:anchorId="550FA267" wp14:editId="53D63BAF">
            <wp:extent cx="5486400" cy="2571750"/>
            <wp:effectExtent l="0" t="0" r="0" b="0"/>
            <wp:docPr id="264463787" name="Picture 26446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ter.png"/>
                    <pic:cNvPicPr/>
                  </pic:nvPicPr>
                  <pic:blipFill>
                    <a:blip r:embed="rId79"/>
                    <a:stretch>
                      <a:fillRect/>
                    </a:stretch>
                  </pic:blipFill>
                  <pic:spPr>
                    <a:xfrm>
                      <a:off x="0" y="0"/>
                      <a:ext cx="5486400" cy="2571750"/>
                    </a:xfrm>
                    <a:prstGeom prst="rect">
                      <a:avLst/>
                    </a:prstGeom>
                  </pic:spPr>
                </pic:pic>
              </a:graphicData>
            </a:graphic>
          </wp:inline>
        </w:drawing>
      </w:r>
    </w:p>
    <w:p w14:paraId="246E59C3" w14:textId="77777777" w:rsidR="002240BE" w:rsidRDefault="002240BE" w:rsidP="002240BE">
      <w:r>
        <w:rPr>
          <w:b/>
          <w:color w:val="1F3756"/>
        </w:rPr>
      </w:r>
      <w:r>
        <w:t>Shelter inflation is no longer accelerating at the pace that made it such a persistent problem earlier in the cycle. Monthly shelter growth has slowed materially, although rent and OER are still rising. If this moderation continues, housing should become less of a drag on the broader disinflation process over the coming quarters.</w:t>
      </w:r>
    </w:p>
    <w:tbl>
      <w:tblPr>
        <w:tblW w:w="0" w:type="auto"/>
        <w:jc w:val="center"/>
        <w:tblLook w:val="04A0" w:firstRow="1" w:lastRow="0" w:firstColumn="1" w:lastColumn="0" w:noHBand="0" w:noVBand="1"/>
      </w:tblPr>
      <w:tblGrid>
        <w:gridCol w:w="2594"/>
        <w:gridCol w:w="2587"/>
        <w:gridCol w:w="2589"/>
        <w:gridCol w:w="2598"/>
      </w:tblGrid>
      <w:tr w:rsidR="002240BE" w14:paraId="5D7C410D" w14:textId="77777777" w:rsidTr="00406F1D">
        <w:trPr>
          <w:jc w:val="center"/>
        </w:trPr>
        <w:tc>
          <w:tcPr>
            <w:tcW w:w="2642" w:type="dxa"/>
            <w:shd w:val="clear" w:color="auto" w:fill="1F3756"/>
          </w:tcPr>
          <w:p w14:paraId="38764331" w14:textId="77777777" w:rsidR="002240BE" w:rsidRDefault="002240BE" w:rsidP="00406F1D">
            <w:r>
              <w:rPr>
                <w:b/>
                <w:color w:val="FFFFFF"/>
                <w:sz w:val="13"/>
              </w:rPr>
              <w:t>Housing CPI measure</w:t>
            </w:r>
          </w:p>
        </w:tc>
        <w:tc>
          <w:tcPr>
            <w:tcW w:w="2642" w:type="dxa"/>
            <w:shd w:val="clear" w:color="auto" w:fill="1F3756"/>
          </w:tcPr>
          <w:p w14:paraId="2BFC6EDE" w14:textId="77777777" w:rsidR="002240BE" w:rsidRDefault="002240BE" w:rsidP="00406F1D">
            <w:r>
              <w:rPr>
                <w:b/>
                <w:color w:val="FFFFFF"/>
                <w:sz w:val="13"/>
              </w:rPr>
              <w:t>Jul 2026 y/y</w:t>
            </w:r>
          </w:p>
        </w:tc>
        <w:tc>
          <w:tcPr>
            <w:tcW w:w="2642" w:type="dxa"/>
            <w:shd w:val="clear" w:color="auto" w:fill="1F3756"/>
          </w:tcPr>
          <w:p w14:paraId="0E35F9BE" w14:textId="77777777" w:rsidR="002240BE" w:rsidRDefault="002240BE" w:rsidP="00406F1D">
            <w:r>
              <w:rPr>
                <w:b/>
                <w:color w:val="FFFFFF"/>
                <w:sz w:val="13"/>
              </w:rPr>
              <w:t>Jul 2026 m/m</w:t>
            </w:r>
          </w:p>
        </w:tc>
        <w:tc>
          <w:tcPr>
            <w:tcW w:w="2642" w:type="dxa"/>
            <w:shd w:val="clear" w:color="auto" w:fill="1F3756"/>
          </w:tcPr>
          <w:p w14:paraId="47BA9F40" w14:textId="77777777" w:rsidR="002240BE" w:rsidRDefault="002240BE" w:rsidP="00406F1D">
            <w:r>
              <w:rPr>
                <w:b/>
                <w:color w:val="FFFFFF"/>
                <w:sz w:val="13"/>
              </w:rPr>
              <w:t>Relative importance</w:t>
            </w:r>
          </w:p>
        </w:tc>
      </w:tr>
      <w:tr w:rsidR="002240BE" w14:paraId="4EC8C17C" w14:textId="77777777" w:rsidTr="00406F1D">
        <w:trPr>
          <w:jc w:val="center"/>
        </w:trPr>
        <w:tc>
          <w:tcPr>
            <w:tcW w:w="2642" w:type="dxa"/>
          </w:tcPr>
          <w:p w14:paraId="02D871A8" w14:textId="77777777" w:rsidR="002240BE" w:rsidRDefault="002240BE" w:rsidP="00406F1D">
            <w:pPr>
              <w:spacing w:after="0"/>
            </w:pPr>
            <w:r>
              <w:rPr>
                <w:sz w:val="12"/>
              </w:rPr>
              <w:t>Shelter</w:t>
            </w:r>
          </w:p>
        </w:tc>
        <w:tc>
          <w:tcPr>
            <w:tcW w:w="2642" w:type="dxa"/>
          </w:tcPr>
          <w:p w14:paraId="448CFD04" w14:textId="77777777" w:rsidR="002240BE" w:rsidRDefault="002240BE" w:rsidP="00406F1D">
            <w:pPr>
              <w:spacing w:after="0"/>
            </w:pPr>
            <w:r>
              <w:rPr>
                <w:sz w:val="12"/>
              </w:rPr>
              <w:t>3.2%</w:t>
            </w:r>
          </w:p>
        </w:tc>
        <w:tc>
          <w:tcPr>
            <w:tcW w:w="2642" w:type="dxa"/>
          </w:tcPr>
          <w:p w14:paraId="6FD36B21" w14:textId="77777777" w:rsidR="002240BE" w:rsidRDefault="002240BE" w:rsidP="00406F1D">
            <w:pPr>
              <w:spacing w:after="0"/>
            </w:pPr>
            <w:r>
              <w:rPr>
                <w:sz w:val="12"/>
              </w:rPr>
              <w:t>+0.1%</w:t>
            </w:r>
          </w:p>
        </w:tc>
        <w:tc>
          <w:tcPr>
            <w:tcW w:w="2642" w:type="dxa"/>
          </w:tcPr>
          <w:p w14:paraId="1CC1B851" w14:textId="77777777" w:rsidR="002240BE" w:rsidRDefault="002240BE" w:rsidP="00406F1D">
            <w:pPr>
              <w:spacing w:after="0"/>
            </w:pPr>
            <w:r>
              <w:rPr>
                <w:sz w:val="12"/>
              </w:rPr>
              <w:t>35.304%</w:t>
            </w:r>
          </w:p>
        </w:tc>
      </w:tr>
      <w:tr w:rsidR="002240BE" w14:paraId="58AA55A8" w14:textId="77777777" w:rsidTr="00406F1D">
        <w:trPr>
          <w:jc w:val="center"/>
        </w:trPr>
        <w:tc>
          <w:tcPr>
            <w:tcW w:w="2642" w:type="dxa"/>
          </w:tcPr>
          <w:p w14:paraId="06B38585" w14:textId="77777777" w:rsidR="002240BE" w:rsidRDefault="002240BE" w:rsidP="00406F1D">
            <w:pPr>
              <w:spacing w:after="0"/>
            </w:pPr>
            <w:r>
              <w:rPr>
                <w:sz w:val="12"/>
              </w:rPr>
              <w:t>Rent of primary residence</w:t>
            </w:r>
          </w:p>
        </w:tc>
        <w:tc>
          <w:tcPr>
            <w:tcW w:w="2642" w:type="dxa"/>
          </w:tcPr>
          <w:p w14:paraId="30160021" w14:textId="77777777" w:rsidR="002240BE" w:rsidRDefault="002240BE" w:rsidP="00406F1D">
            <w:pPr>
              <w:spacing w:after="0"/>
            </w:pPr>
            <w:r>
              <w:rPr>
                <w:sz w:val="12"/>
              </w:rPr>
              <w:t>2.9%</w:t>
            </w:r>
          </w:p>
        </w:tc>
        <w:tc>
          <w:tcPr>
            <w:tcW w:w="2642" w:type="dxa"/>
          </w:tcPr>
          <w:p w14:paraId="570FD066" w14:textId="77777777" w:rsidR="002240BE" w:rsidRDefault="002240BE" w:rsidP="00406F1D">
            <w:pPr>
              <w:spacing w:after="0"/>
            </w:pPr>
            <w:r>
              <w:rPr>
                <w:sz w:val="12"/>
              </w:rPr>
              <w:t>+0.3%</w:t>
            </w:r>
          </w:p>
        </w:tc>
        <w:tc>
          <w:tcPr>
            <w:tcW w:w="2642" w:type="dxa"/>
          </w:tcPr>
          <w:p w14:paraId="14BAADCD" w14:textId="77777777" w:rsidR="002240BE" w:rsidRDefault="002240BE" w:rsidP="00406F1D">
            <w:pPr>
              <w:spacing w:after="0"/>
            </w:pPr>
            <w:r>
              <w:rPr>
                <w:sz w:val="12"/>
              </w:rPr>
              <w:t>7.716%</w:t>
            </w:r>
          </w:p>
        </w:tc>
      </w:tr>
      <w:tr w:rsidR="002240BE" w14:paraId="1EDE861C" w14:textId="77777777" w:rsidTr="00406F1D">
        <w:trPr>
          <w:jc w:val="center"/>
        </w:trPr>
        <w:tc>
          <w:tcPr>
            <w:tcW w:w="2642" w:type="dxa"/>
          </w:tcPr>
          <w:p w14:paraId="19A4F31D" w14:textId="77777777" w:rsidR="002240BE" w:rsidRDefault="002240BE" w:rsidP="00406F1D">
            <w:pPr>
              <w:spacing w:after="0"/>
            </w:pPr>
            <w:r>
              <w:rPr>
                <w:sz w:val="12"/>
              </w:rPr>
              <w:t>Owners' equivalent rent</w:t>
            </w:r>
          </w:p>
        </w:tc>
        <w:tc>
          <w:tcPr>
            <w:tcW w:w="2642" w:type="dxa"/>
          </w:tcPr>
          <w:p w14:paraId="680F5448" w14:textId="77777777" w:rsidR="002240BE" w:rsidRDefault="002240BE" w:rsidP="00406F1D">
            <w:pPr>
              <w:spacing w:after="0"/>
            </w:pPr>
            <w:r>
              <w:rPr>
                <w:sz w:val="12"/>
              </w:rPr>
              <w:t>3.2%</w:t>
            </w:r>
          </w:p>
        </w:tc>
        <w:tc>
          <w:tcPr>
            <w:tcW w:w="2642" w:type="dxa"/>
          </w:tcPr>
          <w:p w14:paraId="2F214991" w14:textId="77777777" w:rsidR="002240BE" w:rsidRDefault="002240BE" w:rsidP="00406F1D">
            <w:pPr>
              <w:spacing w:after="0"/>
            </w:pPr>
            <w:r>
              <w:rPr>
                <w:sz w:val="12"/>
              </w:rPr>
              <w:t>+0.3%</w:t>
            </w:r>
          </w:p>
        </w:tc>
        <w:tc>
          <w:tcPr>
            <w:tcW w:w="2642" w:type="dxa"/>
          </w:tcPr>
          <w:p w14:paraId="2B0FF95F" w14:textId="77777777" w:rsidR="002240BE" w:rsidRDefault="002240BE" w:rsidP="00406F1D">
            <w:pPr>
              <w:spacing w:after="0"/>
            </w:pPr>
            <w:r>
              <w:rPr>
                <w:sz w:val="12"/>
              </w:rPr>
              <w:t>25.849%</w:t>
            </w:r>
          </w:p>
        </w:tc>
      </w:tr>
    </w:tbl>
    <w:p w14:paraId="59CB966B" w14:textId="77777777" w:rsidR="002240BE" w:rsidRDefault="002240BE" w:rsidP="002240BE">
      <w:r>
        <w:t>Owners' equivalent rent is not a house-price or mortgage-cost measure. It estimates the rental value of owner-occupied housing, which is why it can move differently from home prices and mortgage rates.</w:t>
      </w:r>
    </w:p>
    <w:p w14:paraId="72567430" w14:textId="77777777" w:rsidR="002240BE" w:rsidRDefault="002240BE" w:rsidP="002240BE">
      <w:r>
        <w:rPr>
          <w:b/>
        </w:rPr>
        <w:t xml:space="preserve">Source: </w:t>
      </w:r>
      <w:r>
        <w:rPr>
          <w:i/>
          <w:sz w:val="14"/>
        </w:rPr>
        <w:t>BLS CPI July 2026; BLS methodology for Rent and Rental Equivalence.</w:t>
      </w:r>
    </w:p>
    <w:p w14:paraId="79B45629"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39</w:t>
      </w:r>
    </w:p>
    <w:p w14:paraId="165A657F" w14:textId="77777777" w:rsidR="002240BE" w:rsidRDefault="002240BE" w:rsidP="002240BE">
      <w:r>
        <w:br w:type="page"/>
      </w:r>
    </w:p>
    <w:p w14:paraId="24F483B1" w14:textId="77777777" w:rsidR="002240BE" w:rsidRDefault="002240BE" w:rsidP="002240BE">
      <w:r>
        <w:rPr>
          <w:b/>
          <w:color w:val="555555"/>
          <w:sz w:val="15"/>
        </w:rPr>
        <w:lastRenderedPageBreak/>
        <w:t xml:space="preserve">CHAPTER </w:t>
      </w:r>
      <w:proofErr w:type="gramStart"/>
      <w:r>
        <w:rPr>
          <w:b/>
          <w:color w:val="555555"/>
          <w:sz w:val="15"/>
        </w:rPr>
        <w:t>11  /</w:t>
      </w:r>
      <w:proofErr w:type="gramEnd"/>
      <w:r>
        <w:rPr>
          <w:b/>
          <w:color w:val="555555"/>
          <w:sz w:val="15"/>
        </w:rPr>
        <w:t xml:space="preserve">  INFLATION &amp; PRICE STABILITY</w:t>
      </w:r>
    </w:p>
    <w:p w14:paraId="536CECE0" w14:textId="77777777" w:rsidR="002240BE" w:rsidRDefault="002240BE" w:rsidP="002240BE">
      <w:pPr>
        <w:pStyle w:val="Heading1"/>
      </w:pPr>
      <w:r>
        <w:t>40. Inflation Drivers &amp; Risks</w:t>
      </w:r>
    </w:p>
    <w:p w14:paraId="14C82378" w14:textId="77777777" w:rsidR="002240BE" w:rsidRDefault="002240BE" w:rsidP="002240BE">
      <w:r>
        <w:rPr>
          <w:i/>
          <w:color w:val="555555"/>
        </w:rPr>
        <w:t>Goods, Services, Wages, Energy and Tariffs | What Could Keep Inflation Elevated</w:t>
      </w:r>
    </w:p>
    <w:p w14:paraId="5D05811E" w14:textId="77777777" w:rsidR="002240BE" w:rsidRDefault="002240BE" w:rsidP="002240BE">
      <w:r>
        <w:t xml:space="preserve">The inflation story has become more concentrated. Goods inflation is relatively contained, shelter is cooling, and core inflation is below </w:t>
      </w:r>
      <w:proofErr w:type="gramStart"/>
      <w:r>
        <w:t>headline</w:t>
      </w:r>
      <w:proofErr w:type="gramEnd"/>
      <w:r>
        <w:t xml:space="preserve"> inflation. The largest near-term pressure is energy, while services and wage-sensitive categories remain the main source of persistence. Tariffs are an additional risk because higher import costs can </w:t>
      </w:r>
      <w:proofErr w:type="gramStart"/>
      <w:r>
        <w:t>pass through</w:t>
      </w:r>
      <w:proofErr w:type="gramEnd"/>
      <w:r>
        <w:t xml:space="preserve"> unevenly into goods prices and business margins.</w:t>
      </w:r>
    </w:p>
    <w:p w14:paraId="37374386" w14:textId="77777777" w:rsidR="002240BE" w:rsidRDefault="002240BE" w:rsidP="002240BE">
      <w:pPr>
        <w:jc w:val="center"/>
      </w:pPr>
      <w:r>
        <w:rPr>
          <w:noProof/>
        </w:rPr>
        <w:drawing>
          <wp:inline distT="0" distB="0" distL="0" distR="0" wp14:anchorId="5CBC827D" wp14:editId="46E6CE0D">
            <wp:extent cx="5394960" cy="2528888"/>
            <wp:effectExtent l="0" t="0" r="0" b="0"/>
            <wp:docPr id="1787816002" name="Picture 178781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bars.png"/>
                    <pic:cNvPicPr/>
                  </pic:nvPicPr>
                  <pic:blipFill>
                    <a:blip r:embed="rId80"/>
                    <a:stretch>
                      <a:fillRect/>
                    </a:stretch>
                  </pic:blipFill>
                  <pic:spPr>
                    <a:xfrm>
                      <a:off x="0" y="0"/>
                      <a:ext cx="5394960" cy="2528888"/>
                    </a:xfrm>
                    <a:prstGeom prst="rect">
                      <a:avLst/>
                    </a:prstGeom>
                  </pic:spPr>
                </pic:pic>
              </a:graphicData>
            </a:graphic>
          </wp:inline>
        </w:drawing>
      </w:r>
    </w:p>
    <w:p w14:paraId="5E264D89" w14:textId="77777777" w:rsidR="002240BE" w:rsidRDefault="002240BE" w:rsidP="002240BE">
      <w:pPr>
        <w:jc w:val="center"/>
      </w:pPr>
      <w:r>
        <w:rPr>
          <w:noProof/>
        </w:rPr>
        <w:drawing>
          <wp:inline distT="0" distB="0" distL="0" distR="0" wp14:anchorId="1F7B9DFE" wp14:editId="6468E7DF">
            <wp:extent cx="5394960" cy="1310205"/>
            <wp:effectExtent l="0" t="0" r="0" b="0"/>
            <wp:docPr id="1872086386" name="Picture 187208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81"/>
                    <a:stretch>
                      <a:fillRect/>
                    </a:stretch>
                  </pic:blipFill>
                  <pic:spPr>
                    <a:xfrm>
                      <a:off x="0" y="0"/>
                      <a:ext cx="5394960" cy="1310205"/>
                    </a:xfrm>
                    <a:prstGeom prst="rect">
                      <a:avLst/>
                    </a:prstGeom>
                  </pic:spPr>
                </pic:pic>
              </a:graphicData>
            </a:graphic>
          </wp:inline>
        </w:drawing>
      </w:r>
    </w:p>
    <w:p w14:paraId="7E796326" w14:textId="77777777" w:rsidR="002240BE" w:rsidRDefault="002240BE" w:rsidP="002240BE">
      <w:r>
        <w:rPr>
          <w:b/>
          <w:color w:val="1F3756"/>
        </w:rPr>
      </w:r>
      <w:r>
        <w:t xml:space="preserve">The risk map is no longer dominated by every category at once. Energy is the clearest current upside pressure, while services remain the more persistent underlying concern. Shelter is moving in a better </w:t>
      </w:r>
      <w:proofErr w:type="gramStart"/>
      <w:r>
        <w:t>direction</w:t>
      </w:r>
      <w:proofErr w:type="gramEnd"/>
      <w:r>
        <w:t xml:space="preserve"> and core goods are comparatively benign. The main 2027 risk is that energy or tariff-related cost shocks prevent services disinflation from pulling the overall rate lower.</w:t>
      </w:r>
    </w:p>
    <w:tbl>
      <w:tblPr>
        <w:tblW w:w="0" w:type="auto"/>
        <w:jc w:val="center"/>
        <w:tblLook w:val="04A0" w:firstRow="1" w:lastRow="0" w:firstColumn="1" w:lastColumn="0" w:noHBand="0" w:noVBand="1"/>
      </w:tblPr>
      <w:tblGrid>
        <w:gridCol w:w="3455"/>
        <w:gridCol w:w="3455"/>
        <w:gridCol w:w="3458"/>
      </w:tblGrid>
      <w:tr w:rsidR="002240BE" w14:paraId="69FBF445" w14:textId="77777777" w:rsidTr="00406F1D">
        <w:trPr>
          <w:jc w:val="center"/>
        </w:trPr>
        <w:tc>
          <w:tcPr>
            <w:tcW w:w="3523" w:type="dxa"/>
            <w:shd w:val="clear" w:color="auto" w:fill="1F3756"/>
          </w:tcPr>
          <w:p w14:paraId="11DD959B" w14:textId="77777777" w:rsidR="002240BE" w:rsidRDefault="002240BE" w:rsidP="00406F1D">
            <w:r>
              <w:rPr>
                <w:b/>
                <w:color w:val="FFFFFF"/>
                <w:sz w:val="13"/>
              </w:rPr>
              <w:t>Driver</w:t>
            </w:r>
          </w:p>
        </w:tc>
        <w:tc>
          <w:tcPr>
            <w:tcW w:w="3523" w:type="dxa"/>
            <w:shd w:val="clear" w:color="auto" w:fill="1F3756"/>
          </w:tcPr>
          <w:p w14:paraId="7CC104E4" w14:textId="77777777" w:rsidR="002240BE" w:rsidRDefault="002240BE" w:rsidP="00406F1D">
            <w:r>
              <w:rPr>
                <w:b/>
                <w:color w:val="FFFFFF"/>
                <w:sz w:val="13"/>
              </w:rPr>
              <w:t>Current signal</w:t>
            </w:r>
          </w:p>
        </w:tc>
        <w:tc>
          <w:tcPr>
            <w:tcW w:w="3523" w:type="dxa"/>
            <w:shd w:val="clear" w:color="auto" w:fill="1F3756"/>
          </w:tcPr>
          <w:p w14:paraId="13E597C4" w14:textId="77777777" w:rsidR="002240BE" w:rsidRDefault="002240BE" w:rsidP="00406F1D">
            <w:r>
              <w:rPr>
                <w:b/>
                <w:color w:val="FFFFFF"/>
                <w:sz w:val="13"/>
              </w:rPr>
              <w:t>Risk to 2027 inflation</w:t>
            </w:r>
          </w:p>
        </w:tc>
      </w:tr>
      <w:tr w:rsidR="002240BE" w14:paraId="27AC7B3B" w14:textId="77777777" w:rsidTr="00406F1D">
        <w:trPr>
          <w:jc w:val="center"/>
        </w:trPr>
        <w:tc>
          <w:tcPr>
            <w:tcW w:w="3523" w:type="dxa"/>
          </w:tcPr>
          <w:p w14:paraId="01D6F282" w14:textId="77777777" w:rsidR="002240BE" w:rsidRDefault="002240BE" w:rsidP="00406F1D">
            <w:pPr>
              <w:spacing w:after="0"/>
            </w:pPr>
            <w:r>
              <w:rPr>
                <w:sz w:val="12"/>
              </w:rPr>
              <w:t>Core goods</w:t>
            </w:r>
          </w:p>
        </w:tc>
        <w:tc>
          <w:tcPr>
            <w:tcW w:w="3523" w:type="dxa"/>
          </w:tcPr>
          <w:p w14:paraId="2E2206DF" w14:textId="77777777" w:rsidR="002240BE" w:rsidRDefault="002240BE" w:rsidP="00406F1D">
            <w:pPr>
              <w:spacing w:after="0"/>
            </w:pPr>
            <w:r>
              <w:rPr>
                <w:sz w:val="12"/>
              </w:rPr>
              <w:t>Low inflation</w:t>
            </w:r>
          </w:p>
        </w:tc>
        <w:tc>
          <w:tcPr>
            <w:tcW w:w="3523" w:type="dxa"/>
          </w:tcPr>
          <w:p w14:paraId="6A6E61D8" w14:textId="77777777" w:rsidR="002240BE" w:rsidRDefault="002240BE" w:rsidP="00406F1D">
            <w:pPr>
              <w:spacing w:after="0"/>
            </w:pPr>
            <w:r>
              <w:rPr>
                <w:sz w:val="12"/>
              </w:rPr>
              <w:t>Low</w:t>
            </w:r>
          </w:p>
        </w:tc>
      </w:tr>
      <w:tr w:rsidR="002240BE" w14:paraId="2C555359" w14:textId="77777777" w:rsidTr="00406F1D">
        <w:trPr>
          <w:jc w:val="center"/>
        </w:trPr>
        <w:tc>
          <w:tcPr>
            <w:tcW w:w="3523" w:type="dxa"/>
          </w:tcPr>
          <w:p w14:paraId="1F003F28" w14:textId="77777777" w:rsidR="002240BE" w:rsidRDefault="002240BE" w:rsidP="00406F1D">
            <w:pPr>
              <w:spacing w:after="0"/>
            </w:pPr>
            <w:r>
              <w:rPr>
                <w:sz w:val="12"/>
              </w:rPr>
              <w:t>Services ex-energy</w:t>
            </w:r>
          </w:p>
        </w:tc>
        <w:tc>
          <w:tcPr>
            <w:tcW w:w="3523" w:type="dxa"/>
          </w:tcPr>
          <w:p w14:paraId="6783A843" w14:textId="77777777" w:rsidR="002240BE" w:rsidRDefault="002240BE" w:rsidP="00406F1D">
            <w:pPr>
              <w:spacing w:after="0"/>
            </w:pPr>
            <w:r>
              <w:rPr>
                <w:sz w:val="12"/>
              </w:rPr>
              <w:t>Around 3% y/y</w:t>
            </w:r>
          </w:p>
        </w:tc>
        <w:tc>
          <w:tcPr>
            <w:tcW w:w="3523" w:type="dxa"/>
          </w:tcPr>
          <w:p w14:paraId="40DAFE29" w14:textId="77777777" w:rsidR="002240BE" w:rsidRDefault="002240BE" w:rsidP="00406F1D">
            <w:pPr>
              <w:spacing w:after="0"/>
            </w:pPr>
            <w:r>
              <w:rPr>
                <w:sz w:val="12"/>
              </w:rPr>
              <w:t>Moderate</w:t>
            </w:r>
          </w:p>
        </w:tc>
      </w:tr>
      <w:tr w:rsidR="002240BE" w14:paraId="429D1D23" w14:textId="77777777" w:rsidTr="00406F1D">
        <w:trPr>
          <w:jc w:val="center"/>
        </w:trPr>
        <w:tc>
          <w:tcPr>
            <w:tcW w:w="3523" w:type="dxa"/>
          </w:tcPr>
          <w:p w14:paraId="606B38C0" w14:textId="77777777" w:rsidR="002240BE" w:rsidRDefault="002240BE" w:rsidP="00406F1D">
            <w:pPr>
              <w:spacing w:after="0"/>
            </w:pPr>
            <w:r>
              <w:rPr>
                <w:sz w:val="12"/>
              </w:rPr>
              <w:t>Shelter</w:t>
            </w:r>
          </w:p>
        </w:tc>
        <w:tc>
          <w:tcPr>
            <w:tcW w:w="3523" w:type="dxa"/>
          </w:tcPr>
          <w:p w14:paraId="0C6CF92A" w14:textId="77777777" w:rsidR="002240BE" w:rsidRDefault="002240BE" w:rsidP="00406F1D">
            <w:pPr>
              <w:spacing w:after="0"/>
            </w:pPr>
            <w:r>
              <w:rPr>
                <w:sz w:val="12"/>
              </w:rPr>
              <w:t>Cooling monthly pace</w:t>
            </w:r>
          </w:p>
        </w:tc>
        <w:tc>
          <w:tcPr>
            <w:tcW w:w="3523" w:type="dxa"/>
          </w:tcPr>
          <w:p w14:paraId="4B9F8AD0" w14:textId="77777777" w:rsidR="002240BE" w:rsidRDefault="002240BE" w:rsidP="00406F1D">
            <w:pPr>
              <w:spacing w:after="0"/>
            </w:pPr>
            <w:r>
              <w:rPr>
                <w:sz w:val="12"/>
              </w:rPr>
              <w:t>Moderate / easing</w:t>
            </w:r>
          </w:p>
        </w:tc>
      </w:tr>
      <w:tr w:rsidR="002240BE" w14:paraId="79C8A93B" w14:textId="77777777" w:rsidTr="00406F1D">
        <w:trPr>
          <w:jc w:val="center"/>
        </w:trPr>
        <w:tc>
          <w:tcPr>
            <w:tcW w:w="3523" w:type="dxa"/>
          </w:tcPr>
          <w:p w14:paraId="20739DCF" w14:textId="77777777" w:rsidR="002240BE" w:rsidRDefault="002240BE" w:rsidP="00406F1D">
            <w:pPr>
              <w:spacing w:after="0"/>
            </w:pPr>
            <w:r>
              <w:rPr>
                <w:sz w:val="12"/>
              </w:rPr>
              <w:t>Energy</w:t>
            </w:r>
          </w:p>
        </w:tc>
        <w:tc>
          <w:tcPr>
            <w:tcW w:w="3523" w:type="dxa"/>
          </w:tcPr>
          <w:p w14:paraId="0E79DCBA" w14:textId="77777777" w:rsidR="002240BE" w:rsidRDefault="002240BE" w:rsidP="00406F1D">
            <w:pPr>
              <w:spacing w:after="0"/>
            </w:pPr>
            <w:r>
              <w:rPr>
                <w:sz w:val="12"/>
              </w:rPr>
              <w:t>14.7% y/y in July</w:t>
            </w:r>
          </w:p>
        </w:tc>
        <w:tc>
          <w:tcPr>
            <w:tcW w:w="3523" w:type="dxa"/>
          </w:tcPr>
          <w:p w14:paraId="74158CD4" w14:textId="77777777" w:rsidR="002240BE" w:rsidRDefault="002240BE" w:rsidP="00406F1D">
            <w:pPr>
              <w:spacing w:after="0"/>
            </w:pPr>
            <w:r>
              <w:rPr>
                <w:sz w:val="12"/>
              </w:rPr>
              <w:t>High and volatile</w:t>
            </w:r>
          </w:p>
        </w:tc>
      </w:tr>
      <w:tr w:rsidR="002240BE" w14:paraId="03168433" w14:textId="77777777" w:rsidTr="00406F1D">
        <w:trPr>
          <w:jc w:val="center"/>
        </w:trPr>
        <w:tc>
          <w:tcPr>
            <w:tcW w:w="3523" w:type="dxa"/>
          </w:tcPr>
          <w:p w14:paraId="22114554" w14:textId="77777777" w:rsidR="002240BE" w:rsidRDefault="002240BE" w:rsidP="00406F1D">
            <w:pPr>
              <w:spacing w:after="0"/>
            </w:pPr>
            <w:r>
              <w:rPr>
                <w:sz w:val="12"/>
              </w:rPr>
              <w:t>Wages</w:t>
            </w:r>
          </w:p>
        </w:tc>
        <w:tc>
          <w:tcPr>
            <w:tcW w:w="3523" w:type="dxa"/>
          </w:tcPr>
          <w:p w14:paraId="0B9D7BF7" w14:textId="77777777" w:rsidR="002240BE" w:rsidRDefault="002240BE" w:rsidP="00406F1D">
            <w:pPr>
              <w:spacing w:after="0"/>
            </w:pPr>
            <w:r>
              <w:rPr>
                <w:sz w:val="12"/>
              </w:rPr>
              <w:t>Still relevant to service costs</w:t>
            </w:r>
          </w:p>
        </w:tc>
        <w:tc>
          <w:tcPr>
            <w:tcW w:w="3523" w:type="dxa"/>
          </w:tcPr>
          <w:p w14:paraId="33A95B0B" w14:textId="77777777" w:rsidR="002240BE" w:rsidRDefault="002240BE" w:rsidP="00406F1D">
            <w:pPr>
              <w:spacing w:after="0"/>
            </w:pPr>
            <w:r>
              <w:rPr>
                <w:sz w:val="12"/>
              </w:rPr>
              <w:t>Moderate</w:t>
            </w:r>
          </w:p>
        </w:tc>
      </w:tr>
      <w:tr w:rsidR="002240BE" w14:paraId="65320762" w14:textId="77777777" w:rsidTr="00406F1D">
        <w:trPr>
          <w:jc w:val="center"/>
        </w:trPr>
        <w:tc>
          <w:tcPr>
            <w:tcW w:w="3523" w:type="dxa"/>
          </w:tcPr>
          <w:p w14:paraId="11DA4BC8" w14:textId="77777777" w:rsidR="002240BE" w:rsidRDefault="002240BE" w:rsidP="00406F1D">
            <w:pPr>
              <w:spacing w:after="0"/>
            </w:pPr>
            <w:r>
              <w:rPr>
                <w:sz w:val="12"/>
              </w:rPr>
              <w:t>Tariffs</w:t>
            </w:r>
          </w:p>
        </w:tc>
        <w:tc>
          <w:tcPr>
            <w:tcW w:w="3523" w:type="dxa"/>
          </w:tcPr>
          <w:p w14:paraId="7E99F46C" w14:textId="77777777" w:rsidR="002240BE" w:rsidRDefault="002240BE" w:rsidP="00406F1D">
            <w:pPr>
              <w:spacing w:after="0"/>
            </w:pPr>
            <w:r>
              <w:rPr>
                <w:sz w:val="12"/>
              </w:rPr>
              <w:t>Potential import-cost pass-through</w:t>
            </w:r>
          </w:p>
        </w:tc>
        <w:tc>
          <w:tcPr>
            <w:tcW w:w="3523" w:type="dxa"/>
          </w:tcPr>
          <w:p w14:paraId="7342CFFD" w14:textId="77777777" w:rsidR="002240BE" w:rsidRDefault="002240BE" w:rsidP="00406F1D">
            <w:pPr>
              <w:spacing w:after="0"/>
            </w:pPr>
            <w:r>
              <w:rPr>
                <w:sz w:val="12"/>
              </w:rPr>
              <w:t>Elevated uncertainty</w:t>
            </w:r>
          </w:p>
        </w:tc>
      </w:tr>
    </w:tbl>
    <w:p w14:paraId="4B5218C9" w14:textId="77777777" w:rsidR="002240BE" w:rsidRDefault="002240BE" w:rsidP="002240BE">
      <w:r>
        <w:t xml:space="preserve">Heatmap scores are </w:t>
      </w:r>
      <w:proofErr w:type="spellStart"/>
      <w:r>
        <w:t>BrandEssence</w:t>
      </w:r>
      <w:proofErr w:type="spellEnd"/>
      <w:r>
        <w:t xml:space="preserve"> risk assessments on a 1–5 scale, not official statistical measures. They </w:t>
      </w:r>
      <w:proofErr w:type="spellStart"/>
      <w:r>
        <w:t>summarise</w:t>
      </w:r>
      <w:proofErr w:type="spellEnd"/>
      <w:r>
        <w:t xml:space="preserve"> the direction of current official price data and the main channels that could alter the inflation path.</w:t>
      </w:r>
    </w:p>
    <w:p w14:paraId="278DBD39" w14:textId="77777777" w:rsidR="002240BE" w:rsidRDefault="002240BE" w:rsidP="002240BE">
      <w:r>
        <w:rPr>
          <w:b/>
        </w:rPr>
        <w:t xml:space="preserve">Source: </w:t>
      </w:r>
      <w:r>
        <w:rPr>
          <w:i/>
          <w:sz w:val="14"/>
        </w:rPr>
        <w:t xml:space="preserve">BEA PCE data; BLS CPI July 2026. Risk scoring and tariff interpretation: </w:t>
      </w:r>
      <w:proofErr w:type="spellStart"/>
      <w:r>
        <w:rPr>
          <w:i/>
          <w:sz w:val="14"/>
        </w:rPr>
        <w:t>BrandEssence</w:t>
      </w:r>
      <w:proofErr w:type="spellEnd"/>
      <w:r>
        <w:rPr>
          <w:i/>
          <w:sz w:val="14"/>
        </w:rPr>
        <w:t xml:space="preserve"> Economic Intelligence.</w:t>
      </w:r>
    </w:p>
    <w:p w14:paraId="03A10442" w14:textId="77777777" w:rsidR="002240BE" w:rsidRDefault="002240BE" w:rsidP="002240BE">
      <w:pPr>
        <w:jc w:val="right"/>
      </w:pPr>
      <w:proofErr w:type="spellStart"/>
      <w:r>
        <w:rPr>
          <w:color w:val="555555"/>
          <w:sz w:val="13"/>
        </w:rPr>
        <w:t>BrandEssence</w:t>
      </w:r>
      <w:proofErr w:type="spellEnd"/>
      <w:r>
        <w:rPr>
          <w:color w:val="555555"/>
          <w:sz w:val="13"/>
        </w:rPr>
        <w:t xml:space="preserve"> Economic Intelligence   |   Chapter 11   |   Page 40</w:t>
      </w:r>
    </w:p>
    <w:p w14:paraId="47B7D53C" w14:textId="77777777" w:rsidR="002240BE" w:rsidRDefault="002240BE" w:rsidP="00B03DB7">
      <w:pPr>
        <w:pStyle w:val="Kicker"/>
      </w:pPr>
    </w:p>
    <w:p w14:paraId="35B89E92" w14:textId="77777777" w:rsidR="00D701AF" w:rsidRDefault="00D701AF" w:rsidP="00B03DB7">
      <w:pPr>
        <w:pStyle w:val="Kicker"/>
      </w:pPr>
    </w:p>
    <w:p w14:paraId="52091FC1"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431414A4" w14:textId="77777777" w:rsidR="00D701AF" w:rsidRDefault="00D701AF" w:rsidP="00D701AF">
      <w:pPr>
        <w:pStyle w:val="Heading1"/>
      </w:pPr>
      <w:r>
        <w:t>41. Federal Reserve Policy Cycle</w:t>
      </w:r>
    </w:p>
    <w:p w14:paraId="7468B622" w14:textId="77777777" w:rsidR="00D701AF" w:rsidRDefault="00D701AF" w:rsidP="00D701AF">
      <w:r>
        <w:rPr>
          <w:i/>
          <w:color w:val="555555"/>
        </w:rPr>
        <w:t>Fed Funds Rate | From Tightening to a Restrictive Hold</w:t>
      </w:r>
    </w:p>
    <w:p w14:paraId="70203F65" w14:textId="77777777" w:rsidR="00D701AF" w:rsidRDefault="00D701AF" w:rsidP="00D701AF">
      <w:r>
        <w:t>The Federal Reserve entered 2026 with policy already well below the 2023 peak, but it has not moved into an aggressive easing cycle. The target range has remained at 3.50–3.75% since the beginning of the year. In July, the Committee held rates again as economic activity remained solid and inflation stayed above target.</w:t>
      </w:r>
    </w:p>
    <w:p w14:paraId="202CE813" w14:textId="77777777" w:rsidR="00D701AF" w:rsidRDefault="00D701AF" w:rsidP="00D701AF">
      <w:pPr>
        <w:jc w:val="center"/>
      </w:pPr>
      <w:r>
        <w:rPr>
          <w:noProof/>
        </w:rPr>
        <w:drawing>
          <wp:inline distT="0" distB="0" distL="0" distR="0" wp14:anchorId="315DCE6C" wp14:editId="76C4C9F6">
            <wp:extent cx="5669280" cy="1569954"/>
            <wp:effectExtent l="0" t="0" r="0" b="0"/>
            <wp:docPr id="871792945" name="Picture 87179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_snapshot.png"/>
                    <pic:cNvPicPr/>
                  </pic:nvPicPr>
                  <pic:blipFill>
                    <a:blip r:embed="rId82"/>
                    <a:stretch>
                      <a:fillRect/>
                    </a:stretch>
                  </pic:blipFill>
                  <pic:spPr>
                    <a:xfrm>
                      <a:off x="0" y="0"/>
                      <a:ext cx="5669280" cy="1569954"/>
                    </a:xfrm>
                    <a:prstGeom prst="rect">
                      <a:avLst/>
                    </a:prstGeom>
                  </pic:spPr>
                </pic:pic>
              </a:graphicData>
            </a:graphic>
          </wp:inline>
        </w:drawing>
      </w:r>
    </w:p>
    <w:p w14:paraId="75CFE768" w14:textId="77777777" w:rsidR="00D701AF" w:rsidRDefault="00D701AF" w:rsidP="00D701AF">
      <w:pPr>
        <w:jc w:val="center"/>
      </w:pPr>
      <w:r>
        <w:rPr>
          <w:noProof/>
        </w:rPr>
        <w:drawing>
          <wp:inline distT="0" distB="0" distL="0" distR="0" wp14:anchorId="7684C9FD" wp14:editId="5F45F734">
            <wp:extent cx="5303520" cy="2486025"/>
            <wp:effectExtent l="0" t="0" r="0" b="0"/>
            <wp:docPr id="1019435453" name="Picture 101943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_cycle.png"/>
                    <pic:cNvPicPr/>
                  </pic:nvPicPr>
                  <pic:blipFill>
                    <a:blip r:embed="rId83"/>
                    <a:stretch>
                      <a:fillRect/>
                    </a:stretch>
                  </pic:blipFill>
                  <pic:spPr>
                    <a:xfrm>
                      <a:off x="0" y="0"/>
                      <a:ext cx="5303520" cy="2486025"/>
                    </a:xfrm>
                    <a:prstGeom prst="rect">
                      <a:avLst/>
                    </a:prstGeom>
                  </pic:spPr>
                </pic:pic>
              </a:graphicData>
            </a:graphic>
          </wp:inline>
        </w:drawing>
      </w:r>
    </w:p>
    <w:p w14:paraId="43ED7E10" w14:textId="77777777" w:rsidR="00D701AF" w:rsidRDefault="00D701AF" w:rsidP="00D701AF">
      <w:r>
        <w:rPr>
          <w:b/>
          <w:color w:val="1F3756"/>
        </w:rPr>
      </w:r>
      <w:r>
        <w:t>The policy cycle has shifted from rapid tightening to a long restrictive hold. Rates are lower than at the peak, but they are still high enough to restrain interest-sensitive demand. The next move depends less on the level of rates itself and more on whether inflation resumes a convincing decline without a material weakening in employment.</w:t>
      </w:r>
    </w:p>
    <w:p w14:paraId="0909FA44" w14:textId="77777777" w:rsidR="00D701AF" w:rsidRDefault="00D701AF" w:rsidP="00D701AF">
      <w:r>
        <w:rPr>
          <w:b/>
        </w:rPr>
        <w:t xml:space="preserve">Source: </w:t>
      </w:r>
      <w:r>
        <w:rPr>
          <w:i/>
          <w:sz w:val="14"/>
        </w:rPr>
        <w:t>Federal Reserve FOMC statement, July 29, 2026; historical annual effective federal funds rate through 2025. 2026 shown as current target midpoint.</w:t>
      </w:r>
    </w:p>
    <w:p w14:paraId="5ED2BCFF"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41</w:t>
      </w:r>
    </w:p>
    <w:p w14:paraId="55A9689D" w14:textId="77777777" w:rsidR="00D701AF" w:rsidRDefault="00D701AF" w:rsidP="00D701AF">
      <w:r>
        <w:br w:type="page"/>
      </w:r>
    </w:p>
    <w:p w14:paraId="5F1F310A"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4AA93CF3" w14:textId="77777777" w:rsidR="00D701AF" w:rsidRDefault="00D701AF" w:rsidP="00D701AF">
      <w:pPr>
        <w:pStyle w:val="Heading1"/>
      </w:pPr>
      <w:r>
        <w:t>42. FOMC Decision Framework</w:t>
      </w:r>
    </w:p>
    <w:p w14:paraId="59941AD4" w14:textId="77777777" w:rsidR="00D701AF" w:rsidRDefault="00D701AF" w:rsidP="00D701AF">
      <w:r>
        <w:rPr>
          <w:i/>
          <w:color w:val="555555"/>
        </w:rPr>
        <w:t>Employment + Inflation | How the Fed Balances Its Dual Mandate</w:t>
      </w:r>
    </w:p>
    <w:p w14:paraId="21D62E14" w14:textId="77777777" w:rsidR="00D701AF" w:rsidRDefault="00D701AF" w:rsidP="00D701AF">
      <w:r>
        <w:t>The Fed's decision is not based on a single inflation print or one payroll report. Policymakers assess inflation relative to the 2% goal, labor-market conditions, growth, financial conditions and the balance of risks. In July, the Committee described activity as solid, job gains as keeping pace with the workforce and inflation as still elevated.</w:t>
      </w:r>
    </w:p>
    <w:p w14:paraId="30B280CB" w14:textId="77777777" w:rsidR="00D701AF" w:rsidRDefault="00D701AF" w:rsidP="00D701AF">
      <w:pPr>
        <w:jc w:val="center"/>
      </w:pPr>
      <w:r>
        <w:rPr>
          <w:noProof/>
        </w:rPr>
        <w:drawing>
          <wp:inline distT="0" distB="0" distL="0" distR="0" wp14:anchorId="1A296F51" wp14:editId="42A03FB5">
            <wp:extent cx="5577840" cy="1940118"/>
            <wp:effectExtent l="0" t="0" r="0" b="0"/>
            <wp:docPr id="565129884" name="Picture 56512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ion.png"/>
                    <pic:cNvPicPr/>
                  </pic:nvPicPr>
                  <pic:blipFill>
                    <a:blip r:embed="rId84"/>
                    <a:stretch>
                      <a:fillRect/>
                    </a:stretch>
                  </pic:blipFill>
                  <pic:spPr>
                    <a:xfrm>
                      <a:off x="0" y="0"/>
                      <a:ext cx="5577840" cy="1940118"/>
                    </a:xfrm>
                    <a:prstGeom prst="rect">
                      <a:avLst/>
                    </a:prstGeom>
                  </pic:spPr>
                </pic:pic>
              </a:graphicData>
            </a:graphic>
          </wp:inline>
        </w:drawing>
      </w:r>
    </w:p>
    <w:p w14:paraId="4B03C92E" w14:textId="77777777" w:rsidR="00D701AF" w:rsidRDefault="00D701AF" w:rsidP="00D701AF">
      <w:r>
        <w:rPr>
          <w:b/>
          <w:color w:val="1F3756"/>
        </w:rPr>
      </w:r>
      <w:r>
        <w:t>The current reaction function is asymmetric in practice: inflation is still above target, so the Fed needs convincing evidence before easing materially. A weaker labor market would increase the case for cuts, while renewed inflation pressure—especially from supply shocks—would keep a hike scenario alive.</w:t>
      </w:r>
    </w:p>
    <w:tbl>
      <w:tblPr>
        <w:tblW w:w="0" w:type="auto"/>
        <w:jc w:val="center"/>
        <w:tblLook w:val="04A0" w:firstRow="1" w:lastRow="0" w:firstColumn="1" w:lastColumn="0" w:noHBand="0" w:noVBand="1"/>
      </w:tblPr>
      <w:tblGrid>
        <w:gridCol w:w="3455"/>
        <w:gridCol w:w="3455"/>
        <w:gridCol w:w="3458"/>
      </w:tblGrid>
      <w:tr w:rsidR="00D701AF" w14:paraId="2ED339BE" w14:textId="77777777" w:rsidTr="00406F1D">
        <w:trPr>
          <w:jc w:val="center"/>
        </w:trPr>
        <w:tc>
          <w:tcPr>
            <w:tcW w:w="3523" w:type="dxa"/>
            <w:shd w:val="clear" w:color="auto" w:fill="1F3756"/>
          </w:tcPr>
          <w:p w14:paraId="6B49D6F4" w14:textId="77777777" w:rsidR="00D701AF" w:rsidRDefault="00D701AF" w:rsidP="00406F1D">
            <w:r>
              <w:rPr>
                <w:b/>
                <w:color w:val="FFFFFF"/>
                <w:sz w:val="13"/>
              </w:rPr>
              <w:t>Input</w:t>
            </w:r>
          </w:p>
        </w:tc>
        <w:tc>
          <w:tcPr>
            <w:tcW w:w="3523" w:type="dxa"/>
            <w:shd w:val="clear" w:color="auto" w:fill="1F3756"/>
          </w:tcPr>
          <w:p w14:paraId="0AC84867" w14:textId="77777777" w:rsidR="00D701AF" w:rsidRDefault="00D701AF" w:rsidP="00406F1D">
            <w:r>
              <w:rPr>
                <w:b/>
                <w:color w:val="FFFFFF"/>
                <w:sz w:val="13"/>
              </w:rPr>
              <w:t>Current policy reading</w:t>
            </w:r>
          </w:p>
        </w:tc>
        <w:tc>
          <w:tcPr>
            <w:tcW w:w="3523" w:type="dxa"/>
            <w:shd w:val="clear" w:color="auto" w:fill="1F3756"/>
          </w:tcPr>
          <w:p w14:paraId="408E5156" w14:textId="77777777" w:rsidR="00D701AF" w:rsidRDefault="00D701AF" w:rsidP="00406F1D">
            <w:r>
              <w:rPr>
                <w:b/>
                <w:color w:val="FFFFFF"/>
                <w:sz w:val="13"/>
              </w:rPr>
              <w:t>Likely Fed implication</w:t>
            </w:r>
          </w:p>
        </w:tc>
      </w:tr>
      <w:tr w:rsidR="00D701AF" w14:paraId="7F1DB0B3" w14:textId="77777777" w:rsidTr="00406F1D">
        <w:trPr>
          <w:jc w:val="center"/>
        </w:trPr>
        <w:tc>
          <w:tcPr>
            <w:tcW w:w="3523" w:type="dxa"/>
          </w:tcPr>
          <w:p w14:paraId="785AFE45" w14:textId="77777777" w:rsidR="00D701AF" w:rsidRDefault="00D701AF" w:rsidP="00406F1D">
            <w:pPr>
              <w:spacing w:after="0"/>
            </w:pPr>
            <w:r>
              <w:rPr>
                <w:sz w:val="12"/>
              </w:rPr>
              <w:t>Inflation</w:t>
            </w:r>
          </w:p>
        </w:tc>
        <w:tc>
          <w:tcPr>
            <w:tcW w:w="3523" w:type="dxa"/>
          </w:tcPr>
          <w:p w14:paraId="55D98B82" w14:textId="77777777" w:rsidR="00D701AF" w:rsidRDefault="00D701AF" w:rsidP="00406F1D">
            <w:pPr>
              <w:spacing w:after="0"/>
            </w:pPr>
            <w:r>
              <w:rPr>
                <w:sz w:val="12"/>
              </w:rPr>
              <w:t>Above 2% goal</w:t>
            </w:r>
          </w:p>
        </w:tc>
        <w:tc>
          <w:tcPr>
            <w:tcW w:w="3523" w:type="dxa"/>
          </w:tcPr>
          <w:p w14:paraId="15C9F08B" w14:textId="77777777" w:rsidR="00D701AF" w:rsidRDefault="00D701AF" w:rsidP="00406F1D">
            <w:pPr>
              <w:spacing w:after="0"/>
            </w:pPr>
            <w:r>
              <w:rPr>
                <w:sz w:val="12"/>
              </w:rPr>
              <w:t>Argues for restraint</w:t>
            </w:r>
          </w:p>
        </w:tc>
      </w:tr>
      <w:tr w:rsidR="00D701AF" w14:paraId="1B917F15" w14:textId="77777777" w:rsidTr="00406F1D">
        <w:trPr>
          <w:jc w:val="center"/>
        </w:trPr>
        <w:tc>
          <w:tcPr>
            <w:tcW w:w="3523" w:type="dxa"/>
          </w:tcPr>
          <w:p w14:paraId="3110C9AD" w14:textId="77777777" w:rsidR="00D701AF" w:rsidRDefault="00D701AF" w:rsidP="00406F1D">
            <w:pPr>
              <w:spacing w:after="0"/>
            </w:pPr>
            <w:r>
              <w:rPr>
                <w:sz w:val="12"/>
              </w:rPr>
              <w:t>Labor market</w:t>
            </w:r>
          </w:p>
        </w:tc>
        <w:tc>
          <w:tcPr>
            <w:tcW w:w="3523" w:type="dxa"/>
          </w:tcPr>
          <w:p w14:paraId="6C15B50E" w14:textId="77777777" w:rsidR="00D701AF" w:rsidRDefault="00D701AF" w:rsidP="00406F1D">
            <w:pPr>
              <w:spacing w:after="0"/>
            </w:pPr>
            <w:r>
              <w:rPr>
                <w:sz w:val="12"/>
              </w:rPr>
              <w:t>Broadly stable</w:t>
            </w:r>
          </w:p>
        </w:tc>
        <w:tc>
          <w:tcPr>
            <w:tcW w:w="3523" w:type="dxa"/>
          </w:tcPr>
          <w:p w14:paraId="17CFD7AB" w14:textId="77777777" w:rsidR="00D701AF" w:rsidRDefault="00D701AF" w:rsidP="00406F1D">
            <w:pPr>
              <w:spacing w:after="0"/>
            </w:pPr>
            <w:r>
              <w:rPr>
                <w:sz w:val="12"/>
              </w:rPr>
              <w:t>No urgent need to cut</w:t>
            </w:r>
          </w:p>
        </w:tc>
      </w:tr>
      <w:tr w:rsidR="00D701AF" w14:paraId="4F683DC9" w14:textId="77777777" w:rsidTr="00406F1D">
        <w:trPr>
          <w:jc w:val="center"/>
        </w:trPr>
        <w:tc>
          <w:tcPr>
            <w:tcW w:w="3523" w:type="dxa"/>
          </w:tcPr>
          <w:p w14:paraId="37C518CE" w14:textId="77777777" w:rsidR="00D701AF" w:rsidRDefault="00D701AF" w:rsidP="00406F1D">
            <w:pPr>
              <w:spacing w:after="0"/>
            </w:pPr>
            <w:r>
              <w:rPr>
                <w:sz w:val="12"/>
              </w:rPr>
              <w:t>Growth</w:t>
            </w:r>
          </w:p>
        </w:tc>
        <w:tc>
          <w:tcPr>
            <w:tcW w:w="3523" w:type="dxa"/>
          </w:tcPr>
          <w:p w14:paraId="1F5557F3" w14:textId="77777777" w:rsidR="00D701AF" w:rsidRDefault="00D701AF" w:rsidP="00406F1D">
            <w:pPr>
              <w:spacing w:after="0"/>
            </w:pPr>
            <w:r>
              <w:rPr>
                <w:sz w:val="12"/>
              </w:rPr>
              <w:t>Solid</w:t>
            </w:r>
          </w:p>
        </w:tc>
        <w:tc>
          <w:tcPr>
            <w:tcW w:w="3523" w:type="dxa"/>
          </w:tcPr>
          <w:p w14:paraId="281BD933" w14:textId="77777777" w:rsidR="00D701AF" w:rsidRDefault="00D701AF" w:rsidP="00406F1D">
            <w:pPr>
              <w:spacing w:after="0"/>
            </w:pPr>
            <w:r>
              <w:rPr>
                <w:sz w:val="12"/>
              </w:rPr>
              <w:t>Allows patience</w:t>
            </w:r>
          </w:p>
        </w:tc>
      </w:tr>
      <w:tr w:rsidR="00D701AF" w14:paraId="63DBC60A" w14:textId="77777777" w:rsidTr="00406F1D">
        <w:trPr>
          <w:jc w:val="center"/>
        </w:trPr>
        <w:tc>
          <w:tcPr>
            <w:tcW w:w="3523" w:type="dxa"/>
          </w:tcPr>
          <w:p w14:paraId="6D173410" w14:textId="77777777" w:rsidR="00D701AF" w:rsidRDefault="00D701AF" w:rsidP="00406F1D">
            <w:pPr>
              <w:spacing w:after="0"/>
            </w:pPr>
            <w:r>
              <w:rPr>
                <w:sz w:val="12"/>
              </w:rPr>
              <w:t>Supply shocks</w:t>
            </w:r>
          </w:p>
        </w:tc>
        <w:tc>
          <w:tcPr>
            <w:tcW w:w="3523" w:type="dxa"/>
          </w:tcPr>
          <w:p w14:paraId="2E35472B" w14:textId="77777777" w:rsidR="00D701AF" w:rsidRDefault="00D701AF" w:rsidP="00406F1D">
            <w:pPr>
              <w:spacing w:after="0"/>
            </w:pPr>
            <w:r>
              <w:rPr>
                <w:sz w:val="12"/>
              </w:rPr>
              <w:t>Energy-related pressure</w:t>
            </w:r>
          </w:p>
        </w:tc>
        <w:tc>
          <w:tcPr>
            <w:tcW w:w="3523" w:type="dxa"/>
          </w:tcPr>
          <w:p w14:paraId="4CF8121D" w14:textId="77777777" w:rsidR="00D701AF" w:rsidRDefault="00D701AF" w:rsidP="00406F1D">
            <w:pPr>
              <w:spacing w:after="0"/>
            </w:pPr>
            <w:r>
              <w:rPr>
                <w:sz w:val="12"/>
              </w:rPr>
              <w:t>Raises inflation risk</w:t>
            </w:r>
          </w:p>
        </w:tc>
      </w:tr>
      <w:tr w:rsidR="00D701AF" w14:paraId="22904B4A" w14:textId="77777777" w:rsidTr="00406F1D">
        <w:trPr>
          <w:jc w:val="center"/>
        </w:trPr>
        <w:tc>
          <w:tcPr>
            <w:tcW w:w="3523" w:type="dxa"/>
          </w:tcPr>
          <w:p w14:paraId="01494FDE" w14:textId="77777777" w:rsidR="00D701AF" w:rsidRDefault="00D701AF" w:rsidP="00406F1D">
            <w:pPr>
              <w:spacing w:after="0"/>
            </w:pPr>
            <w:r>
              <w:rPr>
                <w:sz w:val="12"/>
              </w:rPr>
              <w:t>Financial conditions</w:t>
            </w:r>
          </w:p>
        </w:tc>
        <w:tc>
          <w:tcPr>
            <w:tcW w:w="3523" w:type="dxa"/>
          </w:tcPr>
          <w:p w14:paraId="7489B024" w14:textId="77777777" w:rsidR="00D701AF" w:rsidRDefault="00D701AF" w:rsidP="00406F1D">
            <w:pPr>
              <w:spacing w:after="0"/>
            </w:pPr>
            <w:r>
              <w:rPr>
                <w:sz w:val="12"/>
              </w:rPr>
              <w:t>Restrictive but functioning</w:t>
            </w:r>
          </w:p>
        </w:tc>
        <w:tc>
          <w:tcPr>
            <w:tcW w:w="3523" w:type="dxa"/>
          </w:tcPr>
          <w:p w14:paraId="613753A2" w14:textId="77777777" w:rsidR="00D701AF" w:rsidRDefault="00D701AF" w:rsidP="00406F1D">
            <w:pPr>
              <w:spacing w:after="0"/>
            </w:pPr>
            <w:r>
              <w:rPr>
                <w:sz w:val="12"/>
              </w:rPr>
              <w:t>Transmission remains active</w:t>
            </w:r>
          </w:p>
        </w:tc>
      </w:tr>
    </w:tbl>
    <w:p w14:paraId="14A51CC5" w14:textId="77777777" w:rsidR="00D701AF" w:rsidRDefault="00D701AF" w:rsidP="00D701AF">
      <w:r>
        <w:rPr>
          <w:b/>
        </w:rPr>
        <w:t xml:space="preserve">Source: </w:t>
      </w:r>
      <w:r>
        <w:rPr>
          <w:i/>
          <w:sz w:val="14"/>
        </w:rPr>
        <w:t>Federal Reserve FOMC statement and Monetary Policy Report, July 2026.</w:t>
      </w:r>
    </w:p>
    <w:p w14:paraId="1D4D5E9A"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42</w:t>
      </w:r>
    </w:p>
    <w:p w14:paraId="3C32F3CA" w14:textId="77777777" w:rsidR="00D701AF" w:rsidRDefault="00D701AF" w:rsidP="00D701AF">
      <w:r>
        <w:br w:type="page"/>
      </w:r>
    </w:p>
    <w:p w14:paraId="09BF6EEB"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100EDB61" w14:textId="77777777" w:rsidR="00D701AF" w:rsidRDefault="00D701AF" w:rsidP="00D701AF">
      <w:pPr>
        <w:pStyle w:val="Heading1"/>
      </w:pPr>
      <w:r>
        <w:t>43. Fed Dot Plot &amp; Policy Expectations</w:t>
      </w:r>
    </w:p>
    <w:p w14:paraId="2502DFF2" w14:textId="77777777" w:rsidR="00D701AF" w:rsidRDefault="00D701AF" w:rsidP="00D701AF">
      <w:r>
        <w:rPr>
          <w:i/>
          <w:color w:val="555555"/>
        </w:rPr>
        <w:t>June 2026 Summary of Economic Projections | FOMC Rate Path</w:t>
      </w:r>
    </w:p>
    <w:p w14:paraId="7A561A3B" w14:textId="77777777" w:rsidR="00D701AF" w:rsidRDefault="00D701AF" w:rsidP="00D701AF">
      <w:r>
        <w:t>The June dot plot showed a higher expected policy path than the March projections. The median participant projected a 3.8% federal funds rate at the end of 2026, 3.6% in 2027 and 3.4% in 2028, with a 3.1% longer-run estimate. The dots are individual judgments, not a binding Fed promise.</w:t>
      </w:r>
    </w:p>
    <w:tbl>
      <w:tblPr>
        <w:tblW w:w="0" w:type="auto"/>
        <w:jc w:val="center"/>
        <w:tblLook w:val="04A0" w:firstRow="1" w:lastRow="0" w:firstColumn="1" w:lastColumn="0" w:noHBand="0" w:noVBand="1"/>
      </w:tblPr>
      <w:tblGrid>
        <w:gridCol w:w="5184"/>
        <w:gridCol w:w="5184"/>
      </w:tblGrid>
      <w:tr w:rsidR="00D701AF" w14:paraId="6F994599" w14:textId="77777777" w:rsidTr="00406F1D">
        <w:trPr>
          <w:jc w:val="center"/>
        </w:trPr>
        <w:tc>
          <w:tcPr>
            <w:tcW w:w="5285" w:type="dxa"/>
          </w:tcPr>
          <w:p w14:paraId="54394909" w14:textId="77777777" w:rsidR="00D701AF" w:rsidRDefault="00D701AF" w:rsidP="00406F1D">
            <w:pPr>
              <w:jc w:val="center"/>
            </w:pPr>
            <w:r>
              <w:rPr>
                <w:noProof/>
              </w:rPr>
              <w:drawing>
                <wp:inline distT="0" distB="0" distL="0" distR="0" wp14:anchorId="18B8CEF5" wp14:editId="04E85C6F">
                  <wp:extent cx="2788920" cy="1307306"/>
                  <wp:effectExtent l="0" t="0" r="0" b="0"/>
                  <wp:docPr id="632332836" name="Picture 63233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_rate.png"/>
                          <pic:cNvPicPr/>
                        </pic:nvPicPr>
                        <pic:blipFill>
                          <a:blip r:embed="rId85"/>
                          <a:stretch>
                            <a:fillRect/>
                          </a:stretch>
                        </pic:blipFill>
                        <pic:spPr>
                          <a:xfrm>
                            <a:off x="0" y="0"/>
                            <a:ext cx="2788920" cy="1307306"/>
                          </a:xfrm>
                          <a:prstGeom prst="rect">
                            <a:avLst/>
                          </a:prstGeom>
                        </pic:spPr>
                      </pic:pic>
                    </a:graphicData>
                  </a:graphic>
                </wp:inline>
              </w:drawing>
            </w:r>
          </w:p>
        </w:tc>
        <w:tc>
          <w:tcPr>
            <w:tcW w:w="5285" w:type="dxa"/>
          </w:tcPr>
          <w:p w14:paraId="34B3C4FF" w14:textId="77777777" w:rsidR="00D701AF" w:rsidRDefault="00D701AF" w:rsidP="00406F1D">
            <w:pPr>
              <w:jc w:val="center"/>
            </w:pPr>
            <w:r>
              <w:rPr>
                <w:noProof/>
              </w:rPr>
              <w:drawing>
                <wp:inline distT="0" distB="0" distL="0" distR="0" wp14:anchorId="612EB01D" wp14:editId="572745AA">
                  <wp:extent cx="2788920" cy="1307306"/>
                  <wp:effectExtent l="0" t="0" r="0" b="0"/>
                  <wp:docPr id="1202126128" name="Picture 120212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plot.png"/>
                          <pic:cNvPicPr/>
                        </pic:nvPicPr>
                        <pic:blipFill>
                          <a:blip r:embed="rId86"/>
                          <a:stretch>
                            <a:fillRect/>
                          </a:stretch>
                        </pic:blipFill>
                        <pic:spPr>
                          <a:xfrm>
                            <a:off x="0" y="0"/>
                            <a:ext cx="2788920" cy="1307306"/>
                          </a:xfrm>
                          <a:prstGeom prst="rect">
                            <a:avLst/>
                          </a:prstGeom>
                        </pic:spPr>
                      </pic:pic>
                    </a:graphicData>
                  </a:graphic>
                </wp:inline>
              </w:drawing>
            </w:r>
          </w:p>
        </w:tc>
      </w:tr>
    </w:tbl>
    <w:p w14:paraId="660FEC0D" w14:textId="77777777" w:rsidR="00D701AF" w:rsidRDefault="00D701AF" w:rsidP="00D701AF">
      <w:r>
        <w:rPr>
          <w:b/>
          <w:color w:val="1F3756"/>
        </w:rPr>
      </w:r>
      <w:r>
        <w:t xml:space="preserve">The June projections point to a slow normalization rather than rapid easing. Most participants expected the 2026 year-end rate to remain near the current range, and the median path declines only gradually after that. This is consistent with a Fed that expects inflation to </w:t>
      </w:r>
      <w:proofErr w:type="gramStart"/>
      <w:r>
        <w:t>cool</w:t>
      </w:r>
      <w:proofErr w:type="gramEnd"/>
      <w:r>
        <w:t>, but not quickly enough to justify a return to very low rates.</w:t>
      </w:r>
    </w:p>
    <w:tbl>
      <w:tblPr>
        <w:tblW w:w="0" w:type="auto"/>
        <w:jc w:val="center"/>
        <w:tblLook w:val="04A0" w:firstRow="1" w:lastRow="0" w:firstColumn="1" w:lastColumn="0" w:noHBand="0" w:noVBand="1"/>
      </w:tblPr>
      <w:tblGrid>
        <w:gridCol w:w="2085"/>
        <w:gridCol w:w="2070"/>
        <w:gridCol w:w="2070"/>
        <w:gridCol w:w="2070"/>
        <w:gridCol w:w="2073"/>
      </w:tblGrid>
      <w:tr w:rsidR="00D701AF" w14:paraId="42FB95E9" w14:textId="77777777" w:rsidTr="00406F1D">
        <w:trPr>
          <w:jc w:val="center"/>
        </w:trPr>
        <w:tc>
          <w:tcPr>
            <w:tcW w:w="2114" w:type="dxa"/>
            <w:shd w:val="clear" w:color="auto" w:fill="1F3756"/>
          </w:tcPr>
          <w:p w14:paraId="0BDF971A" w14:textId="77777777" w:rsidR="00D701AF" w:rsidRDefault="00D701AF" w:rsidP="00406F1D">
            <w:r>
              <w:rPr>
                <w:b/>
                <w:color w:val="FFFFFF"/>
                <w:sz w:val="13"/>
              </w:rPr>
              <w:t>SEP median</w:t>
            </w:r>
          </w:p>
        </w:tc>
        <w:tc>
          <w:tcPr>
            <w:tcW w:w="2114" w:type="dxa"/>
            <w:shd w:val="clear" w:color="auto" w:fill="1F3756"/>
          </w:tcPr>
          <w:p w14:paraId="1BB474E6" w14:textId="77777777" w:rsidR="00D701AF" w:rsidRDefault="00D701AF" w:rsidP="00406F1D">
            <w:r>
              <w:rPr>
                <w:b/>
                <w:color w:val="FFFFFF"/>
                <w:sz w:val="13"/>
              </w:rPr>
              <w:t>2026</w:t>
            </w:r>
          </w:p>
        </w:tc>
        <w:tc>
          <w:tcPr>
            <w:tcW w:w="2114" w:type="dxa"/>
            <w:shd w:val="clear" w:color="auto" w:fill="1F3756"/>
          </w:tcPr>
          <w:p w14:paraId="74F554B9" w14:textId="77777777" w:rsidR="00D701AF" w:rsidRDefault="00D701AF" w:rsidP="00406F1D">
            <w:r>
              <w:rPr>
                <w:b/>
                <w:color w:val="FFFFFF"/>
                <w:sz w:val="13"/>
              </w:rPr>
              <w:t>2027</w:t>
            </w:r>
          </w:p>
        </w:tc>
        <w:tc>
          <w:tcPr>
            <w:tcW w:w="2114" w:type="dxa"/>
            <w:shd w:val="clear" w:color="auto" w:fill="1F3756"/>
          </w:tcPr>
          <w:p w14:paraId="02C02DC1" w14:textId="77777777" w:rsidR="00D701AF" w:rsidRDefault="00D701AF" w:rsidP="00406F1D">
            <w:r>
              <w:rPr>
                <w:b/>
                <w:color w:val="FFFFFF"/>
                <w:sz w:val="13"/>
              </w:rPr>
              <w:t>2028</w:t>
            </w:r>
          </w:p>
        </w:tc>
        <w:tc>
          <w:tcPr>
            <w:tcW w:w="2114" w:type="dxa"/>
            <w:shd w:val="clear" w:color="auto" w:fill="1F3756"/>
          </w:tcPr>
          <w:p w14:paraId="21A7F1FF" w14:textId="77777777" w:rsidR="00D701AF" w:rsidRDefault="00D701AF" w:rsidP="00406F1D">
            <w:r>
              <w:rPr>
                <w:b/>
                <w:color w:val="FFFFFF"/>
                <w:sz w:val="13"/>
              </w:rPr>
              <w:t>Longer run</w:t>
            </w:r>
          </w:p>
        </w:tc>
      </w:tr>
      <w:tr w:rsidR="00D701AF" w14:paraId="722CF5D6" w14:textId="77777777" w:rsidTr="00406F1D">
        <w:trPr>
          <w:jc w:val="center"/>
        </w:trPr>
        <w:tc>
          <w:tcPr>
            <w:tcW w:w="2114" w:type="dxa"/>
          </w:tcPr>
          <w:p w14:paraId="48B2E70F" w14:textId="77777777" w:rsidR="00D701AF" w:rsidRDefault="00D701AF" w:rsidP="00406F1D">
            <w:pPr>
              <w:spacing w:after="0"/>
            </w:pPr>
            <w:r>
              <w:rPr>
                <w:sz w:val="12"/>
              </w:rPr>
              <w:t>Fed funds rate</w:t>
            </w:r>
          </w:p>
        </w:tc>
        <w:tc>
          <w:tcPr>
            <w:tcW w:w="2114" w:type="dxa"/>
          </w:tcPr>
          <w:p w14:paraId="1256F502" w14:textId="77777777" w:rsidR="00D701AF" w:rsidRDefault="00D701AF" w:rsidP="00406F1D">
            <w:pPr>
              <w:spacing w:after="0"/>
            </w:pPr>
            <w:r>
              <w:rPr>
                <w:sz w:val="12"/>
              </w:rPr>
              <w:t>3.8%</w:t>
            </w:r>
          </w:p>
        </w:tc>
        <w:tc>
          <w:tcPr>
            <w:tcW w:w="2114" w:type="dxa"/>
          </w:tcPr>
          <w:p w14:paraId="2D01F6F0" w14:textId="77777777" w:rsidR="00D701AF" w:rsidRDefault="00D701AF" w:rsidP="00406F1D">
            <w:pPr>
              <w:spacing w:after="0"/>
            </w:pPr>
            <w:r>
              <w:rPr>
                <w:sz w:val="12"/>
              </w:rPr>
              <w:t>3.6%</w:t>
            </w:r>
          </w:p>
        </w:tc>
        <w:tc>
          <w:tcPr>
            <w:tcW w:w="2114" w:type="dxa"/>
          </w:tcPr>
          <w:p w14:paraId="3F6B2B48" w14:textId="77777777" w:rsidR="00D701AF" w:rsidRDefault="00D701AF" w:rsidP="00406F1D">
            <w:pPr>
              <w:spacing w:after="0"/>
            </w:pPr>
            <w:r>
              <w:rPr>
                <w:sz w:val="12"/>
              </w:rPr>
              <w:t>3.4%</w:t>
            </w:r>
          </w:p>
        </w:tc>
        <w:tc>
          <w:tcPr>
            <w:tcW w:w="2114" w:type="dxa"/>
          </w:tcPr>
          <w:p w14:paraId="0D6837AF" w14:textId="77777777" w:rsidR="00D701AF" w:rsidRDefault="00D701AF" w:rsidP="00406F1D">
            <w:pPr>
              <w:spacing w:after="0"/>
            </w:pPr>
            <w:r>
              <w:rPr>
                <w:sz w:val="12"/>
              </w:rPr>
              <w:t>3.1%</w:t>
            </w:r>
          </w:p>
        </w:tc>
      </w:tr>
      <w:tr w:rsidR="00D701AF" w14:paraId="3DAD0CAC" w14:textId="77777777" w:rsidTr="00406F1D">
        <w:trPr>
          <w:jc w:val="center"/>
        </w:trPr>
        <w:tc>
          <w:tcPr>
            <w:tcW w:w="2114" w:type="dxa"/>
          </w:tcPr>
          <w:p w14:paraId="41DFF499" w14:textId="77777777" w:rsidR="00D701AF" w:rsidRDefault="00D701AF" w:rsidP="00406F1D">
            <w:pPr>
              <w:spacing w:after="0"/>
            </w:pPr>
            <w:r>
              <w:rPr>
                <w:sz w:val="12"/>
              </w:rPr>
              <w:t>PCE inflation</w:t>
            </w:r>
          </w:p>
        </w:tc>
        <w:tc>
          <w:tcPr>
            <w:tcW w:w="2114" w:type="dxa"/>
          </w:tcPr>
          <w:p w14:paraId="47B7741D" w14:textId="77777777" w:rsidR="00D701AF" w:rsidRDefault="00D701AF" w:rsidP="00406F1D">
            <w:pPr>
              <w:spacing w:after="0"/>
            </w:pPr>
            <w:r>
              <w:rPr>
                <w:sz w:val="12"/>
              </w:rPr>
              <w:t>3.6%</w:t>
            </w:r>
          </w:p>
        </w:tc>
        <w:tc>
          <w:tcPr>
            <w:tcW w:w="2114" w:type="dxa"/>
          </w:tcPr>
          <w:p w14:paraId="63EE50E7" w14:textId="77777777" w:rsidR="00D701AF" w:rsidRDefault="00D701AF" w:rsidP="00406F1D">
            <w:pPr>
              <w:spacing w:after="0"/>
            </w:pPr>
            <w:r>
              <w:rPr>
                <w:sz w:val="12"/>
              </w:rPr>
              <w:t>2.3%</w:t>
            </w:r>
          </w:p>
        </w:tc>
        <w:tc>
          <w:tcPr>
            <w:tcW w:w="2114" w:type="dxa"/>
          </w:tcPr>
          <w:p w14:paraId="48A29BFD" w14:textId="77777777" w:rsidR="00D701AF" w:rsidRDefault="00D701AF" w:rsidP="00406F1D">
            <w:pPr>
              <w:spacing w:after="0"/>
            </w:pPr>
            <w:r>
              <w:rPr>
                <w:sz w:val="12"/>
              </w:rPr>
              <w:t>2.0%</w:t>
            </w:r>
          </w:p>
        </w:tc>
        <w:tc>
          <w:tcPr>
            <w:tcW w:w="2114" w:type="dxa"/>
          </w:tcPr>
          <w:p w14:paraId="21470C3C" w14:textId="77777777" w:rsidR="00D701AF" w:rsidRDefault="00D701AF" w:rsidP="00406F1D">
            <w:pPr>
              <w:spacing w:after="0"/>
            </w:pPr>
            <w:r>
              <w:rPr>
                <w:sz w:val="12"/>
              </w:rPr>
              <w:t>2.0%</w:t>
            </w:r>
          </w:p>
        </w:tc>
      </w:tr>
      <w:tr w:rsidR="00D701AF" w14:paraId="213A32D9" w14:textId="77777777" w:rsidTr="00406F1D">
        <w:trPr>
          <w:jc w:val="center"/>
        </w:trPr>
        <w:tc>
          <w:tcPr>
            <w:tcW w:w="2114" w:type="dxa"/>
          </w:tcPr>
          <w:p w14:paraId="32CC0923" w14:textId="77777777" w:rsidR="00D701AF" w:rsidRDefault="00D701AF" w:rsidP="00406F1D">
            <w:pPr>
              <w:spacing w:after="0"/>
            </w:pPr>
            <w:r>
              <w:rPr>
                <w:sz w:val="12"/>
              </w:rPr>
              <w:t>Core PCE</w:t>
            </w:r>
          </w:p>
        </w:tc>
        <w:tc>
          <w:tcPr>
            <w:tcW w:w="2114" w:type="dxa"/>
          </w:tcPr>
          <w:p w14:paraId="588757B5" w14:textId="77777777" w:rsidR="00D701AF" w:rsidRDefault="00D701AF" w:rsidP="00406F1D">
            <w:pPr>
              <w:spacing w:after="0"/>
            </w:pPr>
            <w:r>
              <w:rPr>
                <w:sz w:val="12"/>
              </w:rPr>
              <w:t>3.3%</w:t>
            </w:r>
          </w:p>
        </w:tc>
        <w:tc>
          <w:tcPr>
            <w:tcW w:w="2114" w:type="dxa"/>
          </w:tcPr>
          <w:p w14:paraId="5B3CAC58" w14:textId="77777777" w:rsidR="00D701AF" w:rsidRDefault="00D701AF" w:rsidP="00406F1D">
            <w:pPr>
              <w:spacing w:after="0"/>
            </w:pPr>
            <w:r>
              <w:rPr>
                <w:sz w:val="12"/>
              </w:rPr>
              <w:t>2.5%</w:t>
            </w:r>
          </w:p>
        </w:tc>
        <w:tc>
          <w:tcPr>
            <w:tcW w:w="2114" w:type="dxa"/>
          </w:tcPr>
          <w:p w14:paraId="41AC93E5" w14:textId="77777777" w:rsidR="00D701AF" w:rsidRDefault="00D701AF" w:rsidP="00406F1D">
            <w:pPr>
              <w:spacing w:after="0"/>
            </w:pPr>
            <w:r>
              <w:rPr>
                <w:sz w:val="12"/>
              </w:rPr>
              <w:t>2.1%</w:t>
            </w:r>
          </w:p>
        </w:tc>
        <w:tc>
          <w:tcPr>
            <w:tcW w:w="2114" w:type="dxa"/>
          </w:tcPr>
          <w:p w14:paraId="14B28F90" w14:textId="77777777" w:rsidR="00D701AF" w:rsidRDefault="00D701AF" w:rsidP="00406F1D">
            <w:pPr>
              <w:spacing w:after="0"/>
            </w:pPr>
            <w:r>
              <w:rPr>
                <w:sz w:val="12"/>
              </w:rPr>
              <w:t>—</w:t>
            </w:r>
          </w:p>
        </w:tc>
      </w:tr>
      <w:tr w:rsidR="00D701AF" w14:paraId="46A15599" w14:textId="77777777" w:rsidTr="00406F1D">
        <w:trPr>
          <w:jc w:val="center"/>
        </w:trPr>
        <w:tc>
          <w:tcPr>
            <w:tcW w:w="2114" w:type="dxa"/>
          </w:tcPr>
          <w:p w14:paraId="50BD76C3" w14:textId="77777777" w:rsidR="00D701AF" w:rsidRDefault="00D701AF" w:rsidP="00406F1D">
            <w:pPr>
              <w:spacing w:after="0"/>
            </w:pPr>
            <w:r>
              <w:rPr>
                <w:sz w:val="12"/>
              </w:rPr>
              <w:t>Unemployment</w:t>
            </w:r>
          </w:p>
        </w:tc>
        <w:tc>
          <w:tcPr>
            <w:tcW w:w="2114" w:type="dxa"/>
          </w:tcPr>
          <w:p w14:paraId="0F81FF12" w14:textId="77777777" w:rsidR="00D701AF" w:rsidRDefault="00D701AF" w:rsidP="00406F1D">
            <w:pPr>
              <w:spacing w:after="0"/>
            </w:pPr>
            <w:r>
              <w:rPr>
                <w:sz w:val="12"/>
              </w:rPr>
              <w:t>4.3%</w:t>
            </w:r>
          </w:p>
        </w:tc>
        <w:tc>
          <w:tcPr>
            <w:tcW w:w="2114" w:type="dxa"/>
          </w:tcPr>
          <w:p w14:paraId="0922FC0E" w14:textId="77777777" w:rsidR="00D701AF" w:rsidRDefault="00D701AF" w:rsidP="00406F1D">
            <w:pPr>
              <w:spacing w:after="0"/>
            </w:pPr>
            <w:r>
              <w:rPr>
                <w:sz w:val="12"/>
              </w:rPr>
              <w:t>4.3%</w:t>
            </w:r>
          </w:p>
        </w:tc>
        <w:tc>
          <w:tcPr>
            <w:tcW w:w="2114" w:type="dxa"/>
          </w:tcPr>
          <w:p w14:paraId="1E2C6680" w14:textId="77777777" w:rsidR="00D701AF" w:rsidRDefault="00D701AF" w:rsidP="00406F1D">
            <w:pPr>
              <w:spacing w:after="0"/>
            </w:pPr>
            <w:r>
              <w:rPr>
                <w:sz w:val="12"/>
              </w:rPr>
              <w:t>4.2%</w:t>
            </w:r>
          </w:p>
        </w:tc>
        <w:tc>
          <w:tcPr>
            <w:tcW w:w="2114" w:type="dxa"/>
          </w:tcPr>
          <w:p w14:paraId="286505EE" w14:textId="77777777" w:rsidR="00D701AF" w:rsidRDefault="00D701AF" w:rsidP="00406F1D">
            <w:pPr>
              <w:spacing w:after="0"/>
            </w:pPr>
            <w:r>
              <w:rPr>
                <w:sz w:val="12"/>
              </w:rPr>
              <w:t>4.2%</w:t>
            </w:r>
          </w:p>
        </w:tc>
      </w:tr>
    </w:tbl>
    <w:p w14:paraId="365DBC21" w14:textId="77777777" w:rsidR="00D701AF" w:rsidRDefault="00D701AF" w:rsidP="00D701AF">
      <w:r>
        <w:rPr>
          <w:b/>
        </w:rPr>
        <w:t xml:space="preserve">Source: </w:t>
      </w:r>
      <w:r>
        <w:rPr>
          <w:i/>
          <w:sz w:val="14"/>
        </w:rPr>
        <w:t>Federal Reserve, Summary of Economic Projections, June 17, 2026.</w:t>
      </w:r>
    </w:p>
    <w:p w14:paraId="450706E5"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43</w:t>
      </w:r>
    </w:p>
    <w:p w14:paraId="39A04EEA" w14:textId="77777777" w:rsidR="00D701AF" w:rsidRDefault="00D701AF" w:rsidP="00D701AF">
      <w:r>
        <w:br w:type="page"/>
      </w:r>
    </w:p>
    <w:p w14:paraId="56004B09"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644B84EA" w14:textId="77777777" w:rsidR="00D701AF" w:rsidRDefault="00D701AF" w:rsidP="00D701AF">
      <w:pPr>
        <w:pStyle w:val="Heading1"/>
      </w:pPr>
      <w:r>
        <w:t>44. Real Policy Rate</w:t>
      </w:r>
    </w:p>
    <w:p w14:paraId="4036ED62" w14:textId="77777777" w:rsidR="00D701AF" w:rsidRDefault="00D701AF" w:rsidP="00D701AF">
      <w:r>
        <w:rPr>
          <w:i/>
          <w:color w:val="555555"/>
        </w:rPr>
        <w:t>Restrictiveness | Nominal Policy Rate Adjusted for Inflation</w:t>
      </w:r>
    </w:p>
    <w:p w14:paraId="163DA36B" w14:textId="77777777" w:rsidR="00D701AF" w:rsidRDefault="00D701AF" w:rsidP="00D701AF">
      <w:r>
        <w:t>A simple way to judge monetary restrictiveness is to subtract inflation from the nominal policy rate. Using the current target midpoint of 3.625% and July core PCE inflation of 3.3% gives a real-policy-rate proxy of roughly +0.33%. This is a simplified ex-post measure; it is not the same as a forward-looking real rate or the neutral rate.</w:t>
      </w:r>
    </w:p>
    <w:p w14:paraId="55B2F90A" w14:textId="77777777" w:rsidR="00D701AF" w:rsidRDefault="00D701AF" w:rsidP="00D701AF">
      <w:pPr>
        <w:jc w:val="center"/>
      </w:pPr>
      <w:r>
        <w:rPr>
          <w:noProof/>
        </w:rPr>
        <w:drawing>
          <wp:inline distT="0" distB="0" distL="0" distR="0" wp14:anchorId="18A871A3" wp14:editId="111C3CC1">
            <wp:extent cx="5303520" cy="2486025"/>
            <wp:effectExtent l="0" t="0" r="0" b="0"/>
            <wp:docPr id="1043927877" name="Picture 104392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rate.png"/>
                    <pic:cNvPicPr/>
                  </pic:nvPicPr>
                  <pic:blipFill>
                    <a:blip r:embed="rId87"/>
                    <a:stretch>
                      <a:fillRect/>
                    </a:stretch>
                  </pic:blipFill>
                  <pic:spPr>
                    <a:xfrm>
                      <a:off x="0" y="0"/>
                      <a:ext cx="5303520" cy="2486025"/>
                    </a:xfrm>
                    <a:prstGeom prst="rect">
                      <a:avLst/>
                    </a:prstGeom>
                  </pic:spPr>
                </pic:pic>
              </a:graphicData>
            </a:graphic>
          </wp:inline>
        </w:drawing>
      </w:r>
    </w:p>
    <w:p w14:paraId="4E08E52D" w14:textId="77777777" w:rsidR="00D701AF" w:rsidRDefault="00D701AF" w:rsidP="00D701AF">
      <w:r>
        <w:rPr>
          <w:b/>
          <w:color w:val="1F3756"/>
        </w:rPr>
      </w:r>
      <w:r>
        <w:t xml:space="preserve">The real policy rate is still positive, which means monetary policy remains restrictive in inflation-adjusted terms. However, the margin is much smaller than it was when nominal rates were above 5%. If inflation falls while the Fed holds nominal rates steady, real policy would automatically become tighter; if inflation rises, the opposite </w:t>
      </w:r>
      <w:proofErr w:type="gramStart"/>
      <w:r>
        <w:t>would</w:t>
      </w:r>
      <w:proofErr w:type="gramEnd"/>
      <w:r>
        <w:t xml:space="preserve"> happen.</w:t>
      </w:r>
    </w:p>
    <w:tbl>
      <w:tblPr>
        <w:tblW w:w="0" w:type="auto"/>
        <w:jc w:val="center"/>
        <w:tblLook w:val="04A0" w:firstRow="1" w:lastRow="0" w:firstColumn="1" w:lastColumn="0" w:noHBand="0" w:noVBand="1"/>
      </w:tblPr>
      <w:tblGrid>
        <w:gridCol w:w="5187"/>
        <w:gridCol w:w="5181"/>
      </w:tblGrid>
      <w:tr w:rsidR="00D701AF" w14:paraId="7EB5B966" w14:textId="77777777" w:rsidTr="00406F1D">
        <w:trPr>
          <w:jc w:val="center"/>
        </w:trPr>
        <w:tc>
          <w:tcPr>
            <w:tcW w:w="5285" w:type="dxa"/>
            <w:shd w:val="clear" w:color="auto" w:fill="1F3756"/>
          </w:tcPr>
          <w:p w14:paraId="464CC271" w14:textId="77777777" w:rsidR="00D701AF" w:rsidRDefault="00D701AF" w:rsidP="00406F1D">
            <w:r>
              <w:rPr>
                <w:b/>
                <w:color w:val="FFFFFF"/>
                <w:sz w:val="13"/>
              </w:rPr>
              <w:t>Calculation</w:t>
            </w:r>
          </w:p>
        </w:tc>
        <w:tc>
          <w:tcPr>
            <w:tcW w:w="5285" w:type="dxa"/>
            <w:shd w:val="clear" w:color="auto" w:fill="1F3756"/>
          </w:tcPr>
          <w:p w14:paraId="09CC53C1" w14:textId="77777777" w:rsidR="00D701AF" w:rsidRDefault="00D701AF" w:rsidP="00406F1D">
            <w:r>
              <w:rPr>
                <w:b/>
                <w:color w:val="FFFFFF"/>
                <w:sz w:val="13"/>
              </w:rPr>
              <w:t>Value</w:t>
            </w:r>
          </w:p>
        </w:tc>
      </w:tr>
      <w:tr w:rsidR="00D701AF" w14:paraId="50E3B09A" w14:textId="77777777" w:rsidTr="00406F1D">
        <w:trPr>
          <w:jc w:val="center"/>
        </w:trPr>
        <w:tc>
          <w:tcPr>
            <w:tcW w:w="5285" w:type="dxa"/>
          </w:tcPr>
          <w:p w14:paraId="1C96774B" w14:textId="77777777" w:rsidR="00D701AF" w:rsidRDefault="00D701AF" w:rsidP="00406F1D">
            <w:pPr>
              <w:spacing w:after="0"/>
            </w:pPr>
            <w:r>
              <w:rPr>
                <w:sz w:val="12"/>
              </w:rPr>
              <w:t>Fed funds target midpoint</w:t>
            </w:r>
          </w:p>
        </w:tc>
        <w:tc>
          <w:tcPr>
            <w:tcW w:w="5285" w:type="dxa"/>
          </w:tcPr>
          <w:p w14:paraId="536B27D3" w14:textId="77777777" w:rsidR="00D701AF" w:rsidRDefault="00D701AF" w:rsidP="00406F1D">
            <w:pPr>
              <w:spacing w:after="0"/>
            </w:pPr>
            <w:r>
              <w:rPr>
                <w:sz w:val="12"/>
              </w:rPr>
              <w:t>3.625%</w:t>
            </w:r>
          </w:p>
        </w:tc>
      </w:tr>
      <w:tr w:rsidR="00D701AF" w14:paraId="2C5EB08C" w14:textId="77777777" w:rsidTr="00406F1D">
        <w:trPr>
          <w:jc w:val="center"/>
        </w:trPr>
        <w:tc>
          <w:tcPr>
            <w:tcW w:w="5285" w:type="dxa"/>
          </w:tcPr>
          <w:p w14:paraId="49FAF3D0" w14:textId="77777777" w:rsidR="00D701AF" w:rsidRDefault="00D701AF" w:rsidP="00406F1D">
            <w:pPr>
              <w:spacing w:after="0"/>
            </w:pPr>
            <w:r>
              <w:rPr>
                <w:sz w:val="12"/>
              </w:rPr>
              <w:t>Core PCE inflation, Jul 2026</w:t>
            </w:r>
          </w:p>
        </w:tc>
        <w:tc>
          <w:tcPr>
            <w:tcW w:w="5285" w:type="dxa"/>
          </w:tcPr>
          <w:p w14:paraId="3B6853AC" w14:textId="77777777" w:rsidR="00D701AF" w:rsidRDefault="00D701AF" w:rsidP="00406F1D">
            <w:pPr>
              <w:spacing w:after="0"/>
            </w:pPr>
            <w:r>
              <w:rPr>
                <w:sz w:val="12"/>
              </w:rPr>
              <w:t>3.3%</w:t>
            </w:r>
          </w:p>
        </w:tc>
      </w:tr>
      <w:tr w:rsidR="00D701AF" w14:paraId="0289BA96" w14:textId="77777777" w:rsidTr="00406F1D">
        <w:trPr>
          <w:jc w:val="center"/>
        </w:trPr>
        <w:tc>
          <w:tcPr>
            <w:tcW w:w="5285" w:type="dxa"/>
          </w:tcPr>
          <w:p w14:paraId="47A7B424" w14:textId="77777777" w:rsidR="00D701AF" w:rsidRDefault="00D701AF" w:rsidP="00406F1D">
            <w:pPr>
              <w:spacing w:after="0"/>
            </w:pPr>
            <w:r>
              <w:rPr>
                <w:sz w:val="12"/>
              </w:rPr>
              <w:t>Real policy rate proxy</w:t>
            </w:r>
          </w:p>
        </w:tc>
        <w:tc>
          <w:tcPr>
            <w:tcW w:w="5285" w:type="dxa"/>
          </w:tcPr>
          <w:p w14:paraId="07B69549" w14:textId="77777777" w:rsidR="00D701AF" w:rsidRDefault="00D701AF" w:rsidP="00406F1D">
            <w:pPr>
              <w:spacing w:after="0"/>
            </w:pPr>
            <w:r>
              <w:rPr>
                <w:sz w:val="12"/>
              </w:rPr>
              <w:t>≈ +0.33%</w:t>
            </w:r>
          </w:p>
        </w:tc>
      </w:tr>
      <w:tr w:rsidR="00D701AF" w14:paraId="0C82D77A" w14:textId="77777777" w:rsidTr="00406F1D">
        <w:trPr>
          <w:jc w:val="center"/>
        </w:trPr>
        <w:tc>
          <w:tcPr>
            <w:tcW w:w="5285" w:type="dxa"/>
          </w:tcPr>
          <w:p w14:paraId="78C7AE48" w14:textId="77777777" w:rsidR="00D701AF" w:rsidRDefault="00D701AF" w:rsidP="00406F1D">
            <w:pPr>
              <w:spacing w:after="0"/>
            </w:pPr>
            <w:r>
              <w:rPr>
                <w:sz w:val="12"/>
              </w:rPr>
              <w:t>Formula</w:t>
            </w:r>
          </w:p>
        </w:tc>
        <w:tc>
          <w:tcPr>
            <w:tcW w:w="5285" w:type="dxa"/>
          </w:tcPr>
          <w:p w14:paraId="1F75FD4B" w14:textId="77777777" w:rsidR="00D701AF" w:rsidRDefault="00D701AF" w:rsidP="00406F1D">
            <w:pPr>
              <w:spacing w:after="0"/>
            </w:pPr>
            <w:r>
              <w:rPr>
                <w:sz w:val="12"/>
              </w:rPr>
              <w:t>Nominal policy rate − core PCE inflation</w:t>
            </w:r>
          </w:p>
        </w:tc>
      </w:tr>
    </w:tbl>
    <w:p w14:paraId="129123C3" w14:textId="77777777" w:rsidR="00D701AF" w:rsidRDefault="00D701AF" w:rsidP="00D701AF">
      <w:r>
        <w:rPr>
          <w:b/>
        </w:rPr>
        <w:t xml:space="preserve">Source: </w:t>
      </w:r>
      <w:r>
        <w:rPr>
          <w:i/>
          <w:sz w:val="14"/>
        </w:rPr>
        <w:t xml:space="preserve">Federal Reserve target range; BEA core PCE, July 2026. </w:t>
      </w:r>
      <w:proofErr w:type="spellStart"/>
      <w:r>
        <w:rPr>
          <w:i/>
          <w:sz w:val="14"/>
        </w:rPr>
        <w:t>BrandEssence</w:t>
      </w:r>
      <w:proofErr w:type="spellEnd"/>
      <w:r>
        <w:rPr>
          <w:i/>
          <w:sz w:val="14"/>
        </w:rPr>
        <w:t xml:space="preserve"> calculation.</w:t>
      </w:r>
    </w:p>
    <w:p w14:paraId="6515AB68"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44</w:t>
      </w:r>
    </w:p>
    <w:p w14:paraId="0B5D9E22" w14:textId="77777777" w:rsidR="00D701AF" w:rsidRDefault="00D701AF" w:rsidP="00D701AF">
      <w:r>
        <w:br w:type="page"/>
      </w:r>
    </w:p>
    <w:p w14:paraId="218840AA"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03258A16" w14:textId="77777777" w:rsidR="00D701AF" w:rsidRDefault="00D701AF" w:rsidP="00D701AF">
      <w:pPr>
        <w:pStyle w:val="Heading1"/>
      </w:pPr>
      <w:r>
        <w:t>45. Monetary Transmission</w:t>
      </w:r>
    </w:p>
    <w:p w14:paraId="522F16AD" w14:textId="77777777" w:rsidR="00D701AF" w:rsidRDefault="00D701AF" w:rsidP="00D701AF">
      <w:r>
        <w:rPr>
          <w:i/>
          <w:color w:val="555555"/>
        </w:rPr>
        <w:t>Fed → Credit → Demand | How Policy Reaches the Economy</w:t>
      </w:r>
    </w:p>
    <w:p w14:paraId="7385DCE3" w14:textId="77777777" w:rsidR="00D701AF" w:rsidRDefault="00D701AF" w:rsidP="00D701AF">
      <w:r>
        <w:t>Monetary policy works with a lag. A change in the federal funds rate first affects money-market rates and expectations, then moves through Treasury yields, corporate borrowing costs, bank lending, mortgages and asset prices. Those financial conditions influence housing, business investment and household demand before the effect becomes visible in inflation and employment.</w:t>
      </w:r>
    </w:p>
    <w:p w14:paraId="7177F2D6" w14:textId="77777777" w:rsidR="00D701AF" w:rsidRDefault="00D701AF" w:rsidP="00D701AF">
      <w:pPr>
        <w:jc w:val="center"/>
      </w:pPr>
      <w:r>
        <w:rPr>
          <w:noProof/>
        </w:rPr>
        <w:drawing>
          <wp:inline distT="0" distB="0" distL="0" distR="0" wp14:anchorId="035376FB" wp14:editId="34083DDF">
            <wp:extent cx="5669280" cy="1811973"/>
            <wp:effectExtent l="0" t="0" r="0" b="0"/>
            <wp:docPr id="1855550444" name="Picture 185555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png"/>
                    <pic:cNvPicPr/>
                  </pic:nvPicPr>
                  <pic:blipFill>
                    <a:blip r:embed="rId88"/>
                    <a:stretch>
                      <a:fillRect/>
                    </a:stretch>
                  </pic:blipFill>
                  <pic:spPr>
                    <a:xfrm>
                      <a:off x="0" y="0"/>
                      <a:ext cx="5669280" cy="1811973"/>
                    </a:xfrm>
                    <a:prstGeom prst="rect">
                      <a:avLst/>
                    </a:prstGeom>
                  </pic:spPr>
                </pic:pic>
              </a:graphicData>
            </a:graphic>
          </wp:inline>
        </w:drawing>
      </w:r>
    </w:p>
    <w:p w14:paraId="21ABFE0B" w14:textId="77777777" w:rsidR="00D701AF" w:rsidRDefault="00D701AF" w:rsidP="00D701AF">
      <w:r>
        <w:rPr>
          <w:b/>
          <w:color w:val="1F3756"/>
        </w:rPr>
      </w:r>
      <w:r>
        <w:t>The transmission chain explains why the Fed can hold rates steady and still exert restraint. Earlier rate increases remain embedded in mortgage rates, refinancing costs and corporate hurdle rates. The effect is strongest in sectors that depend heavily on new borrowing, while cash-rich firms and households with fixed-rate debt are less immediately exposed.</w:t>
      </w:r>
    </w:p>
    <w:p w14:paraId="5E3DC10A" w14:textId="77777777" w:rsidR="00D701AF" w:rsidRDefault="00D701AF" w:rsidP="00D701AF">
      <w:r>
        <w:rPr>
          <w:b/>
        </w:rPr>
        <w:t xml:space="preserve">Source: </w:t>
      </w:r>
      <w:r>
        <w:rPr>
          <w:i/>
          <w:sz w:val="14"/>
        </w:rPr>
        <w:t xml:space="preserve">Federal Reserve monetary-policy framework and Monetary Policy Report. Diagram is a </w:t>
      </w:r>
      <w:proofErr w:type="spellStart"/>
      <w:r>
        <w:rPr>
          <w:i/>
          <w:sz w:val="14"/>
        </w:rPr>
        <w:t>BrandEssence</w:t>
      </w:r>
      <w:proofErr w:type="spellEnd"/>
      <w:r>
        <w:rPr>
          <w:i/>
          <w:sz w:val="14"/>
        </w:rPr>
        <w:t xml:space="preserve"> synthesis of standard transmission channels.</w:t>
      </w:r>
    </w:p>
    <w:p w14:paraId="02237CB2"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45</w:t>
      </w:r>
    </w:p>
    <w:p w14:paraId="267366E6" w14:textId="77777777" w:rsidR="00D701AF" w:rsidRDefault="00D701AF" w:rsidP="00D701AF">
      <w:r>
        <w:br w:type="page"/>
      </w:r>
    </w:p>
    <w:p w14:paraId="343F3BCE"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78E62BCB" w14:textId="77777777" w:rsidR="00D701AF" w:rsidRDefault="00D701AF" w:rsidP="00D701AF">
      <w:pPr>
        <w:pStyle w:val="Heading1"/>
      </w:pPr>
      <w:r>
        <w:t>46. Fed Balance Sheet</w:t>
      </w:r>
    </w:p>
    <w:p w14:paraId="312B0268" w14:textId="77777777" w:rsidR="00D701AF" w:rsidRDefault="00D701AF" w:rsidP="00D701AF">
      <w:r>
        <w:rPr>
          <w:i/>
          <w:color w:val="555555"/>
        </w:rPr>
        <w:t>Assets, Reserves and the Post-QT Operating Framework</w:t>
      </w:r>
    </w:p>
    <w:p w14:paraId="5A082CC4" w14:textId="77777777" w:rsidR="00D701AF" w:rsidRDefault="00D701AF" w:rsidP="00D701AF">
      <w:r>
        <w:t xml:space="preserve">The balance-sheet story changed at the end of 2025. The Fed judged reserves to be in the ample range and moved away from balance-sheet runoff toward reserve-management purchases of short-term Treasuries. By early July 2026, total assets were about $6.7 </w:t>
      </w:r>
      <w:proofErr w:type="gramStart"/>
      <w:r>
        <w:t>trillion</w:t>
      </w:r>
      <w:proofErr w:type="gramEnd"/>
      <w:r>
        <w:t xml:space="preserve"> and reserve balances were around $3.1 trillion. The September 3 H.4.1 release reported total assets of $6.737 trillion.</w:t>
      </w:r>
    </w:p>
    <w:p w14:paraId="06AA4501" w14:textId="77777777" w:rsidR="00D701AF" w:rsidRDefault="00D701AF" w:rsidP="00D701AF">
      <w:pPr>
        <w:jc w:val="center"/>
      </w:pPr>
      <w:r>
        <w:rPr>
          <w:noProof/>
        </w:rPr>
        <w:drawing>
          <wp:inline distT="0" distB="0" distL="0" distR="0" wp14:anchorId="3B3A60D1" wp14:editId="49A1035F">
            <wp:extent cx="5394960" cy="2528888"/>
            <wp:effectExtent l="0" t="0" r="0" b="0"/>
            <wp:docPr id="695355423" name="Picture 69535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_sheet.png"/>
                    <pic:cNvPicPr/>
                  </pic:nvPicPr>
                  <pic:blipFill>
                    <a:blip r:embed="rId89"/>
                    <a:stretch>
                      <a:fillRect/>
                    </a:stretch>
                  </pic:blipFill>
                  <pic:spPr>
                    <a:xfrm>
                      <a:off x="0" y="0"/>
                      <a:ext cx="5394960" cy="2528888"/>
                    </a:xfrm>
                    <a:prstGeom prst="rect">
                      <a:avLst/>
                    </a:prstGeom>
                  </pic:spPr>
                </pic:pic>
              </a:graphicData>
            </a:graphic>
          </wp:inline>
        </w:drawing>
      </w:r>
    </w:p>
    <w:p w14:paraId="4D25FD1F" w14:textId="77777777" w:rsidR="00D701AF" w:rsidRDefault="00D701AF" w:rsidP="00D701AF">
      <w:r>
        <w:rPr>
          <w:b/>
          <w:color w:val="1F3756"/>
        </w:rPr>
      </w:r>
      <w:r>
        <w:t>The balance sheet is no longer shrinking in the same way it did during quantitative tightening. Small Treasury-bill purchases are now being used to maintain ample reserves, so a modest increase in total assets should not be interpreted as a return to crisis-style quantitative easing. The objective is money-market implementation, not broad demand stimulus.</w:t>
      </w:r>
    </w:p>
    <w:tbl>
      <w:tblPr>
        <w:tblW w:w="0" w:type="auto"/>
        <w:jc w:val="center"/>
        <w:tblLook w:val="04A0" w:firstRow="1" w:lastRow="0" w:firstColumn="1" w:lastColumn="0" w:noHBand="0" w:noVBand="1"/>
      </w:tblPr>
      <w:tblGrid>
        <w:gridCol w:w="5182"/>
        <w:gridCol w:w="5186"/>
      </w:tblGrid>
      <w:tr w:rsidR="00D701AF" w14:paraId="3F543B46" w14:textId="77777777" w:rsidTr="00406F1D">
        <w:trPr>
          <w:jc w:val="center"/>
        </w:trPr>
        <w:tc>
          <w:tcPr>
            <w:tcW w:w="5285" w:type="dxa"/>
            <w:shd w:val="clear" w:color="auto" w:fill="1F3756"/>
          </w:tcPr>
          <w:p w14:paraId="456C6C39" w14:textId="77777777" w:rsidR="00D701AF" w:rsidRDefault="00D701AF" w:rsidP="00406F1D">
            <w:r>
              <w:rPr>
                <w:b/>
                <w:color w:val="FFFFFF"/>
                <w:sz w:val="13"/>
              </w:rPr>
              <w:t>Balance-sheet item</w:t>
            </w:r>
          </w:p>
        </w:tc>
        <w:tc>
          <w:tcPr>
            <w:tcW w:w="5285" w:type="dxa"/>
            <w:shd w:val="clear" w:color="auto" w:fill="1F3756"/>
          </w:tcPr>
          <w:p w14:paraId="6B809800" w14:textId="77777777" w:rsidR="00D701AF" w:rsidRDefault="00D701AF" w:rsidP="00406F1D">
            <w:r>
              <w:rPr>
                <w:b/>
                <w:color w:val="FFFFFF"/>
                <w:sz w:val="13"/>
              </w:rPr>
              <w:t>Latest / current context</w:t>
            </w:r>
          </w:p>
        </w:tc>
      </w:tr>
      <w:tr w:rsidR="00D701AF" w14:paraId="28CFCCEE" w14:textId="77777777" w:rsidTr="00406F1D">
        <w:trPr>
          <w:jc w:val="center"/>
        </w:trPr>
        <w:tc>
          <w:tcPr>
            <w:tcW w:w="5285" w:type="dxa"/>
          </w:tcPr>
          <w:p w14:paraId="1D72CF43" w14:textId="77777777" w:rsidR="00D701AF" w:rsidRDefault="00D701AF" w:rsidP="00406F1D">
            <w:pPr>
              <w:spacing w:after="0"/>
            </w:pPr>
            <w:r>
              <w:rPr>
                <w:sz w:val="12"/>
              </w:rPr>
              <w:t>Total Fed assets</w:t>
            </w:r>
          </w:p>
        </w:tc>
        <w:tc>
          <w:tcPr>
            <w:tcW w:w="5285" w:type="dxa"/>
          </w:tcPr>
          <w:p w14:paraId="58860738" w14:textId="77777777" w:rsidR="00D701AF" w:rsidRDefault="00D701AF" w:rsidP="00406F1D">
            <w:pPr>
              <w:spacing w:after="0"/>
            </w:pPr>
            <w:r>
              <w:rPr>
                <w:sz w:val="12"/>
              </w:rPr>
              <w:t>$6.737T, Sep. 3 2026</w:t>
            </w:r>
          </w:p>
        </w:tc>
      </w:tr>
      <w:tr w:rsidR="00D701AF" w14:paraId="220D8BA9" w14:textId="77777777" w:rsidTr="00406F1D">
        <w:trPr>
          <w:jc w:val="center"/>
        </w:trPr>
        <w:tc>
          <w:tcPr>
            <w:tcW w:w="5285" w:type="dxa"/>
          </w:tcPr>
          <w:p w14:paraId="46F59B48" w14:textId="77777777" w:rsidR="00D701AF" w:rsidRDefault="00D701AF" w:rsidP="00406F1D">
            <w:pPr>
              <w:spacing w:after="0"/>
            </w:pPr>
            <w:r>
              <w:rPr>
                <w:sz w:val="12"/>
              </w:rPr>
              <w:t>Reserve balances</w:t>
            </w:r>
          </w:p>
        </w:tc>
        <w:tc>
          <w:tcPr>
            <w:tcW w:w="5285" w:type="dxa"/>
          </w:tcPr>
          <w:p w14:paraId="5752E44F" w14:textId="77777777" w:rsidR="00D701AF" w:rsidRDefault="00D701AF" w:rsidP="00406F1D">
            <w:pPr>
              <w:spacing w:after="0"/>
            </w:pPr>
            <w:r>
              <w:rPr>
                <w:sz w:val="12"/>
              </w:rPr>
              <w:t>About $3.1T by early Jul 2026</w:t>
            </w:r>
          </w:p>
        </w:tc>
      </w:tr>
      <w:tr w:rsidR="00D701AF" w14:paraId="7F0C658E" w14:textId="77777777" w:rsidTr="00406F1D">
        <w:trPr>
          <w:jc w:val="center"/>
        </w:trPr>
        <w:tc>
          <w:tcPr>
            <w:tcW w:w="5285" w:type="dxa"/>
          </w:tcPr>
          <w:p w14:paraId="7CB38784" w14:textId="77777777" w:rsidR="00D701AF" w:rsidRDefault="00D701AF" w:rsidP="00406F1D">
            <w:pPr>
              <w:spacing w:after="0"/>
            </w:pPr>
            <w:r>
              <w:rPr>
                <w:sz w:val="12"/>
              </w:rPr>
              <w:t>Treasury-bill purchases</w:t>
            </w:r>
          </w:p>
        </w:tc>
        <w:tc>
          <w:tcPr>
            <w:tcW w:w="5285" w:type="dxa"/>
          </w:tcPr>
          <w:p w14:paraId="0E62CAD7" w14:textId="77777777" w:rsidR="00D701AF" w:rsidRDefault="00D701AF" w:rsidP="00406F1D">
            <w:pPr>
              <w:spacing w:after="0"/>
            </w:pPr>
            <w:r>
              <w:rPr>
                <w:sz w:val="12"/>
              </w:rPr>
              <w:t>Reserve-management purchases ongoing</w:t>
            </w:r>
          </w:p>
        </w:tc>
      </w:tr>
      <w:tr w:rsidR="00D701AF" w14:paraId="7B402822" w14:textId="77777777" w:rsidTr="00406F1D">
        <w:trPr>
          <w:jc w:val="center"/>
        </w:trPr>
        <w:tc>
          <w:tcPr>
            <w:tcW w:w="5285" w:type="dxa"/>
          </w:tcPr>
          <w:p w14:paraId="19A0F56B" w14:textId="77777777" w:rsidR="00D701AF" w:rsidRDefault="00D701AF" w:rsidP="00406F1D">
            <w:pPr>
              <w:spacing w:after="0"/>
            </w:pPr>
            <w:r>
              <w:rPr>
                <w:sz w:val="12"/>
              </w:rPr>
              <w:t>Agency principal payments</w:t>
            </w:r>
          </w:p>
        </w:tc>
        <w:tc>
          <w:tcPr>
            <w:tcW w:w="5285" w:type="dxa"/>
          </w:tcPr>
          <w:p w14:paraId="4EF3D506" w14:textId="77777777" w:rsidR="00D701AF" w:rsidRDefault="00D701AF" w:rsidP="00406F1D">
            <w:pPr>
              <w:spacing w:after="0"/>
            </w:pPr>
            <w:r>
              <w:rPr>
                <w:sz w:val="12"/>
              </w:rPr>
              <w:t>Reinvested into Treasury bills</w:t>
            </w:r>
          </w:p>
        </w:tc>
      </w:tr>
      <w:tr w:rsidR="00D701AF" w14:paraId="04AD6BD6" w14:textId="77777777" w:rsidTr="00406F1D">
        <w:trPr>
          <w:jc w:val="center"/>
        </w:trPr>
        <w:tc>
          <w:tcPr>
            <w:tcW w:w="5285" w:type="dxa"/>
          </w:tcPr>
          <w:p w14:paraId="6750A233" w14:textId="77777777" w:rsidR="00D701AF" w:rsidRDefault="00D701AF" w:rsidP="00406F1D">
            <w:pPr>
              <w:spacing w:after="0"/>
            </w:pPr>
            <w:r>
              <w:rPr>
                <w:sz w:val="12"/>
              </w:rPr>
              <w:t>Operating objective</w:t>
            </w:r>
          </w:p>
        </w:tc>
        <w:tc>
          <w:tcPr>
            <w:tcW w:w="5285" w:type="dxa"/>
          </w:tcPr>
          <w:p w14:paraId="1B6B767D" w14:textId="77777777" w:rsidR="00D701AF" w:rsidRDefault="00D701AF" w:rsidP="00406F1D">
            <w:pPr>
              <w:spacing w:after="0"/>
            </w:pPr>
            <w:r>
              <w:rPr>
                <w:sz w:val="12"/>
              </w:rPr>
              <w:t>Maintain ample reserves</w:t>
            </w:r>
          </w:p>
        </w:tc>
      </w:tr>
    </w:tbl>
    <w:p w14:paraId="0C0E9CBB" w14:textId="77777777" w:rsidR="00D701AF" w:rsidRDefault="00D701AF" w:rsidP="00D701AF">
      <w:r>
        <w:rPr>
          <w:b/>
        </w:rPr>
        <w:t xml:space="preserve">Source: </w:t>
      </w:r>
      <w:r>
        <w:rPr>
          <w:i/>
          <w:sz w:val="14"/>
        </w:rPr>
        <w:t>Federal Reserve H.4.1, September 3, 2026; Federal Reserve Monetary Policy Report, July 2026.</w:t>
      </w:r>
    </w:p>
    <w:p w14:paraId="279F56F3"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46</w:t>
      </w:r>
    </w:p>
    <w:p w14:paraId="26D777C7" w14:textId="77777777" w:rsidR="00D701AF" w:rsidRDefault="00D701AF" w:rsidP="00D701AF">
      <w:r>
        <w:br w:type="page"/>
      </w:r>
    </w:p>
    <w:p w14:paraId="331ADC6B" w14:textId="77777777" w:rsidR="00D701AF" w:rsidRDefault="00D701AF" w:rsidP="00D701AF">
      <w:r>
        <w:rPr>
          <w:b/>
          <w:color w:val="555555"/>
          <w:sz w:val="15"/>
        </w:rPr>
        <w:lastRenderedPageBreak/>
        <w:t xml:space="preserve">CHAPTER </w:t>
      </w:r>
      <w:proofErr w:type="gramStart"/>
      <w:r>
        <w:rPr>
          <w:b/>
          <w:color w:val="555555"/>
          <w:sz w:val="15"/>
        </w:rPr>
        <w:t>12  /</w:t>
      </w:r>
      <w:proofErr w:type="gramEnd"/>
      <w:r>
        <w:rPr>
          <w:b/>
          <w:color w:val="555555"/>
          <w:sz w:val="15"/>
        </w:rPr>
        <w:t xml:space="preserve">  FEDERAL RESERVE &amp; MONETARY POLICY</w:t>
      </w:r>
    </w:p>
    <w:p w14:paraId="2886C785" w14:textId="77777777" w:rsidR="00D701AF" w:rsidRDefault="00D701AF" w:rsidP="00D701AF">
      <w:pPr>
        <w:pStyle w:val="Heading1"/>
      </w:pPr>
      <w:r>
        <w:t>47. Fed Policy Scenarios</w:t>
      </w:r>
    </w:p>
    <w:p w14:paraId="55A0FA34" w14:textId="77777777" w:rsidR="00D701AF" w:rsidRDefault="00D701AF" w:rsidP="00D701AF">
      <w:r>
        <w:rPr>
          <w:i/>
          <w:color w:val="555555"/>
        </w:rPr>
        <w:t>Hike / Hold / Cut | Decision Tree for 2026–27</w:t>
      </w:r>
    </w:p>
    <w:p w14:paraId="1BAB8245" w14:textId="77777777" w:rsidR="00D701AF" w:rsidRDefault="00D701AF" w:rsidP="00D701AF">
      <w:r>
        <w:t>The Fed enters the next decision window with three credible paths. A hold remains the central near-term outcome while inflation is above target and growth is solid. A hike becomes more plausible if inflation re-accelerates or supply shocks broaden into underlying prices. Cuts become more likely if inflation cools decisively or labor-market conditions weaken.</w:t>
      </w:r>
    </w:p>
    <w:p w14:paraId="1DB161B1" w14:textId="77777777" w:rsidR="00D701AF" w:rsidRDefault="00D701AF" w:rsidP="00D701AF">
      <w:pPr>
        <w:jc w:val="center"/>
      </w:pPr>
      <w:r>
        <w:rPr>
          <w:noProof/>
        </w:rPr>
        <w:drawing>
          <wp:inline distT="0" distB="0" distL="0" distR="0" wp14:anchorId="410B3E5C" wp14:editId="67642A02">
            <wp:extent cx="5577840" cy="2344310"/>
            <wp:effectExtent l="0" t="0" r="0" b="0"/>
            <wp:docPr id="642724774" name="Picture 64272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tree.png"/>
                    <pic:cNvPicPr/>
                  </pic:nvPicPr>
                  <pic:blipFill>
                    <a:blip r:embed="rId90"/>
                    <a:stretch>
                      <a:fillRect/>
                    </a:stretch>
                  </pic:blipFill>
                  <pic:spPr>
                    <a:xfrm>
                      <a:off x="0" y="0"/>
                      <a:ext cx="5577840" cy="2344310"/>
                    </a:xfrm>
                    <a:prstGeom prst="rect">
                      <a:avLst/>
                    </a:prstGeom>
                  </pic:spPr>
                </pic:pic>
              </a:graphicData>
            </a:graphic>
          </wp:inline>
        </w:drawing>
      </w:r>
    </w:p>
    <w:p w14:paraId="38FD87DC" w14:textId="77777777" w:rsidR="00D701AF" w:rsidRDefault="00D701AF" w:rsidP="00D701AF">
      <w:r>
        <w:rPr>
          <w:b/>
          <w:color w:val="1F3756"/>
        </w:rPr>
      </w:r>
      <w:r>
        <w:t xml:space="preserve">The decision tree is deliberately conditional rather than a point forecast. Current policy and the June SEP </w:t>
      </w:r>
      <w:proofErr w:type="spellStart"/>
      <w:r>
        <w:t>favour</w:t>
      </w:r>
      <w:proofErr w:type="spellEnd"/>
      <w:r>
        <w:t xml:space="preserve"> patience, but the range of outcomes is wider than it looked earlier in the disinflation cycle. For businesses, the practical assumption should be that financing costs stay elevated unless the inflation data </w:t>
      </w:r>
      <w:proofErr w:type="gramStart"/>
      <w:r>
        <w:t>improve</w:t>
      </w:r>
      <w:proofErr w:type="gramEnd"/>
      <w:r>
        <w:t xml:space="preserve"> enough to give the Fed room to ease.</w:t>
      </w:r>
    </w:p>
    <w:tbl>
      <w:tblPr>
        <w:tblW w:w="0" w:type="auto"/>
        <w:jc w:val="center"/>
        <w:tblLook w:val="04A0" w:firstRow="1" w:lastRow="0" w:firstColumn="1" w:lastColumn="0" w:noHBand="0" w:noVBand="1"/>
      </w:tblPr>
      <w:tblGrid>
        <w:gridCol w:w="2590"/>
        <w:gridCol w:w="2594"/>
        <w:gridCol w:w="2590"/>
        <w:gridCol w:w="2594"/>
      </w:tblGrid>
      <w:tr w:rsidR="00D701AF" w14:paraId="6EDBEFAA" w14:textId="77777777" w:rsidTr="00406F1D">
        <w:trPr>
          <w:jc w:val="center"/>
        </w:trPr>
        <w:tc>
          <w:tcPr>
            <w:tcW w:w="2642" w:type="dxa"/>
            <w:shd w:val="clear" w:color="auto" w:fill="1F3756"/>
          </w:tcPr>
          <w:p w14:paraId="7151E47A" w14:textId="77777777" w:rsidR="00D701AF" w:rsidRDefault="00D701AF" w:rsidP="00406F1D">
            <w:r>
              <w:rPr>
                <w:b/>
                <w:color w:val="FFFFFF"/>
                <w:sz w:val="13"/>
              </w:rPr>
              <w:t>Scenario</w:t>
            </w:r>
          </w:p>
        </w:tc>
        <w:tc>
          <w:tcPr>
            <w:tcW w:w="2642" w:type="dxa"/>
            <w:shd w:val="clear" w:color="auto" w:fill="1F3756"/>
          </w:tcPr>
          <w:p w14:paraId="6DB70930" w14:textId="77777777" w:rsidR="00D701AF" w:rsidRDefault="00D701AF" w:rsidP="00406F1D">
            <w:r>
              <w:rPr>
                <w:b/>
                <w:color w:val="FFFFFF"/>
                <w:sz w:val="13"/>
              </w:rPr>
              <w:t>Trigger</w:t>
            </w:r>
          </w:p>
        </w:tc>
        <w:tc>
          <w:tcPr>
            <w:tcW w:w="2642" w:type="dxa"/>
            <w:shd w:val="clear" w:color="auto" w:fill="1F3756"/>
          </w:tcPr>
          <w:p w14:paraId="21E873CB" w14:textId="77777777" w:rsidR="00D701AF" w:rsidRDefault="00D701AF" w:rsidP="00406F1D">
            <w:r>
              <w:rPr>
                <w:b/>
                <w:color w:val="FFFFFF"/>
                <w:sz w:val="13"/>
              </w:rPr>
              <w:t>Policy direction</w:t>
            </w:r>
          </w:p>
        </w:tc>
        <w:tc>
          <w:tcPr>
            <w:tcW w:w="2642" w:type="dxa"/>
            <w:shd w:val="clear" w:color="auto" w:fill="1F3756"/>
          </w:tcPr>
          <w:p w14:paraId="6DAF083D" w14:textId="77777777" w:rsidR="00D701AF" w:rsidRDefault="00D701AF" w:rsidP="00406F1D">
            <w:r>
              <w:rPr>
                <w:b/>
                <w:color w:val="FFFFFF"/>
                <w:sz w:val="13"/>
              </w:rPr>
              <w:t>Business implication</w:t>
            </w:r>
          </w:p>
        </w:tc>
      </w:tr>
      <w:tr w:rsidR="00D701AF" w14:paraId="4EABEA23" w14:textId="77777777" w:rsidTr="00406F1D">
        <w:trPr>
          <w:jc w:val="center"/>
        </w:trPr>
        <w:tc>
          <w:tcPr>
            <w:tcW w:w="2642" w:type="dxa"/>
          </w:tcPr>
          <w:p w14:paraId="06862EFE" w14:textId="77777777" w:rsidR="00D701AF" w:rsidRDefault="00D701AF" w:rsidP="00406F1D">
            <w:pPr>
              <w:spacing w:after="0"/>
            </w:pPr>
            <w:r>
              <w:rPr>
                <w:sz w:val="12"/>
              </w:rPr>
              <w:t>Hike</w:t>
            </w:r>
          </w:p>
        </w:tc>
        <w:tc>
          <w:tcPr>
            <w:tcW w:w="2642" w:type="dxa"/>
          </w:tcPr>
          <w:p w14:paraId="64C57ED8" w14:textId="77777777" w:rsidR="00D701AF" w:rsidRDefault="00D701AF" w:rsidP="00406F1D">
            <w:pPr>
              <w:spacing w:after="0"/>
            </w:pPr>
            <w:r>
              <w:rPr>
                <w:sz w:val="12"/>
              </w:rPr>
              <w:t>Inflation re-accelerates / expectations rise</w:t>
            </w:r>
          </w:p>
        </w:tc>
        <w:tc>
          <w:tcPr>
            <w:tcW w:w="2642" w:type="dxa"/>
          </w:tcPr>
          <w:p w14:paraId="07A003A2" w14:textId="77777777" w:rsidR="00D701AF" w:rsidRDefault="00D701AF" w:rsidP="00406F1D">
            <w:pPr>
              <w:spacing w:after="0"/>
            </w:pPr>
            <w:r>
              <w:rPr>
                <w:sz w:val="12"/>
              </w:rPr>
              <w:t>Tighter</w:t>
            </w:r>
          </w:p>
        </w:tc>
        <w:tc>
          <w:tcPr>
            <w:tcW w:w="2642" w:type="dxa"/>
          </w:tcPr>
          <w:p w14:paraId="20B80531" w14:textId="77777777" w:rsidR="00D701AF" w:rsidRDefault="00D701AF" w:rsidP="00406F1D">
            <w:pPr>
              <w:spacing w:after="0"/>
            </w:pPr>
            <w:r>
              <w:rPr>
                <w:sz w:val="12"/>
              </w:rPr>
              <w:t>Higher funding and valuation pressure</w:t>
            </w:r>
          </w:p>
        </w:tc>
      </w:tr>
      <w:tr w:rsidR="00D701AF" w14:paraId="7963606C" w14:textId="77777777" w:rsidTr="00406F1D">
        <w:trPr>
          <w:jc w:val="center"/>
        </w:trPr>
        <w:tc>
          <w:tcPr>
            <w:tcW w:w="2642" w:type="dxa"/>
          </w:tcPr>
          <w:p w14:paraId="3442298A" w14:textId="77777777" w:rsidR="00D701AF" w:rsidRDefault="00D701AF" w:rsidP="00406F1D">
            <w:pPr>
              <w:spacing w:after="0"/>
            </w:pPr>
            <w:r>
              <w:rPr>
                <w:sz w:val="12"/>
              </w:rPr>
              <w:t>Hold</w:t>
            </w:r>
          </w:p>
        </w:tc>
        <w:tc>
          <w:tcPr>
            <w:tcW w:w="2642" w:type="dxa"/>
          </w:tcPr>
          <w:p w14:paraId="69407164" w14:textId="77777777" w:rsidR="00D701AF" w:rsidRDefault="00D701AF" w:rsidP="00406F1D">
            <w:pPr>
              <w:spacing w:after="0"/>
            </w:pPr>
            <w:r>
              <w:rPr>
                <w:sz w:val="12"/>
              </w:rPr>
              <w:t>Inflation sticky, growth and jobs stable</w:t>
            </w:r>
          </w:p>
        </w:tc>
        <w:tc>
          <w:tcPr>
            <w:tcW w:w="2642" w:type="dxa"/>
          </w:tcPr>
          <w:p w14:paraId="684AF67F" w14:textId="77777777" w:rsidR="00D701AF" w:rsidRDefault="00D701AF" w:rsidP="00406F1D">
            <w:pPr>
              <w:spacing w:after="0"/>
            </w:pPr>
            <w:r>
              <w:rPr>
                <w:sz w:val="12"/>
              </w:rPr>
              <w:t>Restrictive plateau</w:t>
            </w:r>
          </w:p>
        </w:tc>
        <w:tc>
          <w:tcPr>
            <w:tcW w:w="2642" w:type="dxa"/>
          </w:tcPr>
          <w:p w14:paraId="1EDF58EE" w14:textId="77777777" w:rsidR="00D701AF" w:rsidRDefault="00D701AF" w:rsidP="00406F1D">
            <w:pPr>
              <w:spacing w:after="0"/>
            </w:pPr>
            <w:r>
              <w:rPr>
                <w:sz w:val="12"/>
              </w:rPr>
              <w:t>High rates persist</w:t>
            </w:r>
          </w:p>
        </w:tc>
      </w:tr>
      <w:tr w:rsidR="00D701AF" w14:paraId="175A6565" w14:textId="77777777" w:rsidTr="00406F1D">
        <w:trPr>
          <w:jc w:val="center"/>
        </w:trPr>
        <w:tc>
          <w:tcPr>
            <w:tcW w:w="2642" w:type="dxa"/>
          </w:tcPr>
          <w:p w14:paraId="747717C0" w14:textId="77777777" w:rsidR="00D701AF" w:rsidRDefault="00D701AF" w:rsidP="00406F1D">
            <w:pPr>
              <w:spacing w:after="0"/>
            </w:pPr>
            <w:r>
              <w:rPr>
                <w:sz w:val="12"/>
              </w:rPr>
              <w:t>Cut</w:t>
            </w:r>
          </w:p>
        </w:tc>
        <w:tc>
          <w:tcPr>
            <w:tcW w:w="2642" w:type="dxa"/>
          </w:tcPr>
          <w:p w14:paraId="17D71F28" w14:textId="77777777" w:rsidR="00D701AF" w:rsidRDefault="00D701AF" w:rsidP="00406F1D">
            <w:pPr>
              <w:spacing w:after="0"/>
            </w:pPr>
            <w:r>
              <w:rPr>
                <w:sz w:val="12"/>
              </w:rPr>
              <w:t>Inflation cools or labor weakens materially</w:t>
            </w:r>
          </w:p>
        </w:tc>
        <w:tc>
          <w:tcPr>
            <w:tcW w:w="2642" w:type="dxa"/>
          </w:tcPr>
          <w:p w14:paraId="32D3057E" w14:textId="77777777" w:rsidR="00D701AF" w:rsidRDefault="00D701AF" w:rsidP="00406F1D">
            <w:pPr>
              <w:spacing w:after="0"/>
            </w:pPr>
            <w:r>
              <w:rPr>
                <w:sz w:val="12"/>
              </w:rPr>
              <w:t>Easier</w:t>
            </w:r>
          </w:p>
        </w:tc>
        <w:tc>
          <w:tcPr>
            <w:tcW w:w="2642" w:type="dxa"/>
          </w:tcPr>
          <w:p w14:paraId="648682F2" w14:textId="77777777" w:rsidR="00D701AF" w:rsidRDefault="00D701AF" w:rsidP="00406F1D">
            <w:pPr>
              <w:spacing w:after="0"/>
            </w:pPr>
            <w:r>
              <w:rPr>
                <w:sz w:val="12"/>
              </w:rPr>
              <w:t>Gradual relief to credit-sensitive sectors</w:t>
            </w:r>
          </w:p>
        </w:tc>
      </w:tr>
    </w:tbl>
    <w:p w14:paraId="01F08140" w14:textId="77777777" w:rsidR="00D701AF" w:rsidRDefault="00D701AF" w:rsidP="00D701AF">
      <w:r>
        <w:t xml:space="preserve">These scenarios are </w:t>
      </w:r>
      <w:proofErr w:type="spellStart"/>
      <w:r>
        <w:t>BrandEssence</w:t>
      </w:r>
      <w:proofErr w:type="spellEnd"/>
      <w:r>
        <w:t xml:space="preserve"> decision paths, not official FOMC forecasts. The official June SEP median projected 3.8% at end-2026 and 3.6% at end-2027, but individual outcomes depend on incoming data.</w:t>
      </w:r>
    </w:p>
    <w:p w14:paraId="029B3884" w14:textId="77777777" w:rsidR="00D701AF" w:rsidRDefault="00D701AF" w:rsidP="00D701AF">
      <w:r>
        <w:rPr>
          <w:b/>
        </w:rPr>
        <w:t xml:space="preserve">Source: </w:t>
      </w:r>
      <w:r>
        <w:rPr>
          <w:i/>
          <w:sz w:val="14"/>
        </w:rPr>
        <w:t xml:space="preserve">Federal Reserve FOMC July 2026 statement and June 2026 Summary of Economic Projections; scenario framing: </w:t>
      </w:r>
      <w:proofErr w:type="spellStart"/>
      <w:r>
        <w:rPr>
          <w:i/>
          <w:sz w:val="14"/>
        </w:rPr>
        <w:t>BrandEssence</w:t>
      </w:r>
      <w:proofErr w:type="spellEnd"/>
      <w:r>
        <w:rPr>
          <w:i/>
          <w:sz w:val="14"/>
        </w:rPr>
        <w:t xml:space="preserve"> Economic Intelligence.</w:t>
      </w:r>
    </w:p>
    <w:p w14:paraId="228B0493" w14:textId="77777777" w:rsidR="00D701AF" w:rsidRDefault="00D701AF" w:rsidP="00D701AF">
      <w:pPr>
        <w:jc w:val="right"/>
      </w:pPr>
      <w:proofErr w:type="spellStart"/>
      <w:r>
        <w:rPr>
          <w:color w:val="555555"/>
          <w:sz w:val="13"/>
        </w:rPr>
        <w:t>BrandEssence</w:t>
      </w:r>
      <w:proofErr w:type="spellEnd"/>
      <w:r>
        <w:rPr>
          <w:color w:val="555555"/>
          <w:sz w:val="13"/>
        </w:rPr>
        <w:t xml:space="preserve"> Economic Intelligence   |   Chapter 12   |   Page 47</w:t>
      </w:r>
    </w:p>
    <w:p w14:paraId="7BB46163" w14:textId="2EEF0477" w:rsidR="00D701AF" w:rsidRDefault="00D701AF" w:rsidP="00D701AF">
      <w:pPr>
        <w:pStyle w:val="Kicker"/>
      </w:pPr>
    </w:p>
    <w:sectPr w:rsidR="00D701A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864950">
    <w:abstractNumId w:val="8"/>
  </w:num>
  <w:num w:numId="2" w16cid:durableId="175652494">
    <w:abstractNumId w:val="6"/>
  </w:num>
  <w:num w:numId="3" w16cid:durableId="1577351521">
    <w:abstractNumId w:val="5"/>
  </w:num>
  <w:num w:numId="4" w16cid:durableId="550656789">
    <w:abstractNumId w:val="4"/>
  </w:num>
  <w:num w:numId="5" w16cid:durableId="1714815695">
    <w:abstractNumId w:val="7"/>
  </w:num>
  <w:num w:numId="6" w16cid:durableId="1295210137">
    <w:abstractNumId w:val="3"/>
  </w:num>
  <w:num w:numId="7" w16cid:durableId="1718160510">
    <w:abstractNumId w:val="2"/>
  </w:num>
  <w:num w:numId="8" w16cid:durableId="1651521120">
    <w:abstractNumId w:val="1"/>
  </w:num>
  <w:num w:numId="9" w16cid:durableId="109840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7B2"/>
    <w:rsid w:val="00021723"/>
    <w:rsid w:val="00034616"/>
    <w:rsid w:val="0006063C"/>
    <w:rsid w:val="000F2ABC"/>
    <w:rsid w:val="000F56DE"/>
    <w:rsid w:val="0015074B"/>
    <w:rsid w:val="00222B13"/>
    <w:rsid w:val="002240BE"/>
    <w:rsid w:val="0029639D"/>
    <w:rsid w:val="00326F90"/>
    <w:rsid w:val="00330BF6"/>
    <w:rsid w:val="003F0753"/>
    <w:rsid w:val="004D5EA6"/>
    <w:rsid w:val="00515775"/>
    <w:rsid w:val="00540580"/>
    <w:rsid w:val="006500A7"/>
    <w:rsid w:val="006F42C9"/>
    <w:rsid w:val="008958C5"/>
    <w:rsid w:val="008D3C45"/>
    <w:rsid w:val="009E1DD8"/>
    <w:rsid w:val="00A55308"/>
    <w:rsid w:val="00A97E6F"/>
    <w:rsid w:val="00AA1D8D"/>
    <w:rsid w:val="00AA7EF2"/>
    <w:rsid w:val="00B03DB7"/>
    <w:rsid w:val="00B47730"/>
    <w:rsid w:val="00B615C0"/>
    <w:rsid w:val="00C90287"/>
    <w:rsid w:val="00CB0664"/>
    <w:rsid w:val="00D37FAB"/>
    <w:rsid w:val="00D701AF"/>
    <w:rsid w:val="00EB69B6"/>
    <w:rsid w:val="00F37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1D813"/>
  <w14:defaultImageDpi w14:val="300"/>
  <w15:docId w15:val="{78FAC7E7-1C15-412F-A7C5-99481E4C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5B9BD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65</Pages>
  <Words>13927</Words>
  <Characters>79386</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Macroeconomic Outlook 2026–27</dc:title>
  <dc:subject>Management-ready macroeconomic intelligence report</dc:subject>
  <dc:creator>BrandEssence Economic Intelligence</dc:creator>
  <cp:keywords/>
  <dc:description>generated by python-docx</dc:description>
  <cp:lastModifiedBy>Rajnandini_BrandEssence</cp:lastModifiedBy>
  <cp:revision>17</cp:revision>
  <dcterms:created xsi:type="dcterms:W3CDTF">2026-09-11T08:02:00Z</dcterms:created>
  <dcterms:modified xsi:type="dcterms:W3CDTF">2026-09-11T12:20:00Z</dcterms:modified>
  <cp:category/>
</cp:coreProperties>
</file>