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Case for Cloud Migration &amp; Modernization in Retail E-Commerce</w:t>
      </w:r>
    </w:p>
    <w:p>
      <w:pPr>
        <w:pStyle w:val="Heading2"/>
      </w:pPr>
      <w:r>
        <w:t>1. Executive Summary</w:t>
      </w:r>
    </w:p>
    <w:p>
      <w:r>
        <w:t>Retail e-commerce businesses face challenges with legacy infrastructure, scalability, and security. This business case outlines a cloud migration strategy leveraging Microsoft Azure to drive cost savings, improve resilience, and enhance customer experience.</w:t>
      </w:r>
    </w:p>
    <w:p>
      <w:r>
        <w:t>✅ Key Outcomes:</w:t>
      </w:r>
    </w:p>
    <w:p>
      <w:pPr>
        <w:pStyle w:val="ListBullet"/>
      </w:pPr>
      <w:r>
        <w:t>• 30% cost savings through optimized cloud infrastructure</w:t>
      </w:r>
    </w:p>
    <w:p>
      <w:pPr>
        <w:pStyle w:val="ListBullet"/>
      </w:pPr>
      <w:r>
        <w:t>• 99.99% uptime with resilient multi-region architecture</w:t>
      </w:r>
    </w:p>
    <w:p>
      <w:pPr>
        <w:pStyle w:val="ListBullet"/>
      </w:pPr>
      <w:r>
        <w:t>• Faster time-to-market with microservices and event-driven design</w:t>
      </w:r>
    </w:p>
    <w:p>
      <w:pPr>
        <w:pStyle w:val="Heading2"/>
      </w:pPr>
      <w:r>
        <w:t>2. Migration Strategy – Rehost, Refactor, Rearchitect, Replace</w:t>
      </w:r>
    </w:p>
    <w:p>
      <w:r>
        <w:t>This strategy evaluates workloads and categorizes them based on the 6R model to ensure an optimal migration approach.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Application</w:t>
            </w:r>
          </w:p>
        </w:tc>
        <w:tc>
          <w:tcPr>
            <w:tcW w:type="dxa" w:w="2880"/>
          </w:tcPr>
          <w:p>
            <w:r>
              <w:t>Migration Approach</w:t>
            </w:r>
          </w:p>
        </w:tc>
        <w:tc>
          <w:tcPr>
            <w:tcW w:type="dxa" w:w="2880"/>
          </w:tcPr>
          <w:p>
            <w:r>
              <w:t>Target Azure Solution</w:t>
            </w:r>
          </w:p>
        </w:tc>
      </w:tr>
      <w:tr>
        <w:tc>
          <w:tcPr>
            <w:tcW w:type="dxa" w:w="2880"/>
          </w:tcPr>
          <w:p>
            <w:r>
              <w:t>CRM &amp; Customer Profile</w:t>
            </w:r>
          </w:p>
        </w:tc>
        <w:tc>
          <w:tcPr>
            <w:tcW w:type="dxa" w:w="2880"/>
          </w:tcPr>
          <w:p>
            <w:r>
              <w:t>Refactor</w:t>
            </w:r>
          </w:p>
        </w:tc>
        <w:tc>
          <w:tcPr>
            <w:tcW w:type="dxa" w:w="2880"/>
          </w:tcPr>
          <w:p>
            <w:r>
              <w:t>Azure App Services + Azure SQL MI</w:t>
            </w:r>
          </w:p>
        </w:tc>
      </w:tr>
      <w:tr>
        <w:tc>
          <w:tcPr>
            <w:tcW w:type="dxa" w:w="2880"/>
          </w:tcPr>
          <w:p>
            <w:r>
              <w:t>Order Management</w:t>
            </w:r>
          </w:p>
        </w:tc>
        <w:tc>
          <w:tcPr>
            <w:tcW w:type="dxa" w:w="2880"/>
          </w:tcPr>
          <w:p>
            <w:r>
              <w:t>Rearchitect</w:t>
            </w:r>
          </w:p>
        </w:tc>
        <w:tc>
          <w:tcPr>
            <w:tcW w:type="dxa" w:w="2880"/>
          </w:tcPr>
          <w:p>
            <w:r>
              <w:t>Microservices on AKS + Event-Driven Design</w:t>
            </w:r>
          </w:p>
        </w:tc>
      </w:tr>
      <w:tr>
        <w:tc>
          <w:tcPr>
            <w:tcW w:type="dxa" w:w="2880"/>
          </w:tcPr>
          <w:p>
            <w:r>
              <w:t>Payment Processing</w:t>
            </w:r>
          </w:p>
        </w:tc>
        <w:tc>
          <w:tcPr>
            <w:tcW w:type="dxa" w:w="2880"/>
          </w:tcPr>
          <w:p>
            <w:r>
              <w:t>Rehost (Lift &amp; Shift)</w:t>
            </w:r>
          </w:p>
        </w:tc>
        <w:tc>
          <w:tcPr>
            <w:tcW w:type="dxa" w:w="2880"/>
          </w:tcPr>
          <w:p>
            <w:r>
              <w:t>PCI-DSS Compliant Azure VM Setup</w:t>
            </w:r>
          </w:p>
        </w:tc>
      </w:tr>
    </w:tbl>
    <w:p>
      <w:pPr>
        <w:pStyle w:val="Heading2"/>
      </w:pPr>
      <w:r>
        <w:t>3. Regulatory Compliance &amp; Security Governance</w:t>
      </w:r>
    </w:p>
    <w:p>
      <w:r>
        <w:t>Ensuring compliance with industry regulations is critical for secure and scalable operations.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Compliance Requirement</w:t>
            </w:r>
          </w:p>
        </w:tc>
        <w:tc>
          <w:tcPr>
            <w:tcW w:type="dxa" w:w="4320"/>
          </w:tcPr>
          <w:p>
            <w:r>
              <w:t>Azure Solution</w:t>
            </w:r>
          </w:p>
        </w:tc>
      </w:tr>
      <w:tr>
        <w:tc>
          <w:tcPr>
            <w:tcW w:type="dxa" w:w="4320"/>
          </w:tcPr>
          <w:p>
            <w:r>
              <w:t>PCI-DSS (Payments Security)</w:t>
            </w:r>
          </w:p>
        </w:tc>
        <w:tc>
          <w:tcPr>
            <w:tcW w:type="dxa" w:w="4320"/>
          </w:tcPr>
          <w:p>
            <w:r>
              <w:t>Tokenization + Azure Key Vault</w:t>
            </w:r>
          </w:p>
        </w:tc>
      </w:tr>
      <w:tr>
        <w:tc>
          <w:tcPr>
            <w:tcW w:type="dxa" w:w="4320"/>
          </w:tcPr>
          <w:p>
            <w:r>
              <w:t>GDPR (Customer Data Protection)</w:t>
            </w:r>
          </w:p>
        </w:tc>
        <w:tc>
          <w:tcPr>
            <w:tcW w:type="dxa" w:w="4320"/>
          </w:tcPr>
          <w:p>
            <w:r>
              <w:t>Data Residency Policies + Purview</w:t>
            </w:r>
          </w:p>
        </w:tc>
      </w:tr>
    </w:tbl>
    <w:p>
      <w:pPr>
        <w:pStyle w:val="Heading2"/>
      </w:pPr>
      <w:r>
        <w:t>4. Business Continuity &amp; Disaster Recovery (BCDR)</w:t>
      </w:r>
    </w:p>
    <w:p>
      <w:r>
        <w:t>Ensuring high availability and disaster recovery through Azure’s multi-region architecture.</w:t>
      </w:r>
    </w:p>
    <w:p>
      <w:r>
        <w:t>✅ Key Strategies:</w:t>
      </w:r>
    </w:p>
    <w:p>
      <w:pPr>
        <w:pStyle w:val="ListBullet"/>
      </w:pPr>
      <w:r>
        <w:t>• Active-Active Multi-Region Deployment</w:t>
      </w:r>
    </w:p>
    <w:p>
      <w:pPr>
        <w:pStyle w:val="ListBullet"/>
      </w:pPr>
      <w:r>
        <w:t>• Geo-replication for databases (Cosmos DB, SQL)</w:t>
      </w:r>
    </w:p>
    <w:p>
      <w:pPr>
        <w:pStyle w:val="ListBullet"/>
      </w:pPr>
      <w:r>
        <w:t>• Azure Site Recovery (ASR) for VM failover</w:t>
      </w:r>
    </w:p>
    <w:p>
      <w:pPr>
        <w:pStyle w:val="Heading2"/>
      </w:pPr>
      <w:r>
        <w:t>5. Cloud Cost Optimization &amp; FinOps Strategy</w:t>
      </w:r>
    </w:p>
    <w:p>
      <w:r>
        <w:t>By leveraging cost-efficient Azure services, businesses can reduce operational expenditure.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Estimated Cost (Yearly)</w:t>
            </w:r>
          </w:p>
        </w:tc>
        <w:tc>
          <w:tcPr>
            <w:tcW w:type="dxa" w:w="2880"/>
          </w:tcPr>
          <w:p>
            <w:r>
              <w:t>Optimization Plan</w:t>
            </w:r>
          </w:p>
        </w:tc>
      </w:tr>
      <w:tr>
        <w:tc>
          <w:tcPr>
            <w:tcW w:type="dxa" w:w="2880"/>
          </w:tcPr>
          <w:p>
            <w:r>
              <w:t>Compute (VMs, AKS)</w:t>
            </w:r>
          </w:p>
        </w:tc>
        <w:tc>
          <w:tcPr>
            <w:tcW w:type="dxa" w:w="2880"/>
          </w:tcPr>
          <w:p>
            <w:r>
              <w:t>$500K</w:t>
            </w:r>
          </w:p>
        </w:tc>
        <w:tc>
          <w:tcPr>
            <w:tcW w:type="dxa" w:w="2880"/>
          </w:tcPr>
          <w:p>
            <w:r>
              <w:t>Use autoscaling &amp; reserved instances</w:t>
            </w:r>
          </w:p>
        </w:tc>
      </w:tr>
      <w:tr>
        <w:tc>
          <w:tcPr>
            <w:tcW w:type="dxa" w:w="2880"/>
          </w:tcPr>
          <w:p>
            <w:r>
              <w:t>Storage (Blob, SQL)</w:t>
            </w:r>
          </w:p>
        </w:tc>
        <w:tc>
          <w:tcPr>
            <w:tcW w:type="dxa" w:w="2880"/>
          </w:tcPr>
          <w:p>
            <w:r>
              <w:t>$250K</w:t>
            </w:r>
          </w:p>
        </w:tc>
        <w:tc>
          <w:tcPr>
            <w:tcW w:type="dxa" w:w="2880"/>
          </w:tcPr>
          <w:p>
            <w:r>
              <w:t>Tiered storage &amp; archiving</w:t>
            </w:r>
          </w:p>
        </w:tc>
      </w:tr>
    </w:tbl>
    <w:p>
      <w:pPr>
        <w:pStyle w:val="Heading2"/>
      </w:pPr>
      <w:r>
        <w:t>6. Roadmap &amp; Implementation Plan</w:t>
      </w:r>
    </w:p>
    <w:p>
      <w:r>
        <w:t>A structured approach to cloud migration ensures a smooth transition with minimal disruption.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Key Activities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</w:tr>
      <w:tr>
        <w:tc>
          <w:tcPr>
            <w:tcW w:type="dxa" w:w="2880"/>
          </w:tcPr>
          <w:p>
            <w:r>
              <w:t>Phase 1: Assessment</w:t>
            </w:r>
          </w:p>
        </w:tc>
        <w:tc>
          <w:tcPr>
            <w:tcW w:type="dxa" w:w="2880"/>
          </w:tcPr>
          <w:p>
            <w:r>
              <w:t>Cloud Readiness, Compliance Gap Analysis</w:t>
            </w:r>
          </w:p>
        </w:tc>
        <w:tc>
          <w:tcPr>
            <w:tcW w:type="dxa" w:w="2880"/>
          </w:tcPr>
          <w:p>
            <w:r>
              <w:t>4 Weeks</w:t>
            </w:r>
          </w:p>
        </w:tc>
      </w:tr>
      <w:tr>
        <w:tc>
          <w:tcPr>
            <w:tcW w:type="dxa" w:w="2880"/>
          </w:tcPr>
          <w:p>
            <w:r>
              <w:t>Phase 2: Migration</w:t>
            </w:r>
          </w:p>
        </w:tc>
        <w:tc>
          <w:tcPr>
            <w:tcW w:type="dxa" w:w="2880"/>
          </w:tcPr>
          <w:p>
            <w:r>
              <w:t>Rehost &amp; Replatform Key Apps</w:t>
            </w:r>
          </w:p>
        </w:tc>
        <w:tc>
          <w:tcPr>
            <w:tcW w:type="dxa" w:w="2880"/>
          </w:tcPr>
          <w:p>
            <w:r>
              <w:t>6 Months</w:t>
            </w:r>
          </w:p>
        </w:tc>
      </w:tr>
    </w:tbl>
    <w:p>
      <w:pPr>
        <w:pStyle w:val="Heading2"/>
      </w:pPr>
      <w:r>
        <w:t>7. Conclusion &amp; Next Steps</w:t>
      </w:r>
    </w:p>
    <w:p>
      <w:r>
        <w:t>🚀 By adopting a cloud-native retail platform, we achieve:</w:t>
      </w:r>
    </w:p>
    <w:p>
      <w:pPr>
        <w:pStyle w:val="ListBullet"/>
      </w:pPr>
      <w:r>
        <w:t>✔ Future-proof e-commerce operations with cloud scalability</w:t>
      </w:r>
    </w:p>
    <w:p>
      <w:pPr>
        <w:pStyle w:val="ListBullet"/>
      </w:pPr>
      <w:r>
        <w:t>✔ Secure, compliant, and cost-optimized architecture</w:t>
      </w:r>
    </w:p>
    <w:p>
      <w:pPr>
        <w:pStyle w:val="ListBullet"/>
      </w:pPr>
      <w:r>
        <w:t>✔ Improved customer experience with real-time processing</w:t>
      </w:r>
    </w:p>
    <w:p>
      <w:r>
        <w:t>📌 **Next Steps:**</w:t>
      </w:r>
    </w:p>
    <w:p>
      <w:pPr>
        <w:pStyle w:val="ListBullet"/>
      </w:pPr>
      <w:r>
        <w:t>✅ Secure stakeholder buy-in &amp; finalize budget</w:t>
      </w:r>
    </w:p>
    <w:p>
      <w:pPr>
        <w:pStyle w:val="ListBullet"/>
      </w:pPr>
      <w:r>
        <w:t>✅ Conduct Proof of Concept (PoC) for high-impact applications</w:t>
      </w:r>
    </w:p>
    <w:p>
      <w:pPr>
        <w:pStyle w:val="ListBullet"/>
      </w:pPr>
      <w:r>
        <w:t>✅ Kick off Phase 1 (Cloud Assessment)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