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LIVE B2B AI AGENCY OFFER SWIPE FILE</w:t>
      </w:r>
    </w:p>
    <w:p>
      <w:pPr>
        <w:jc w:val="center"/>
      </w:pPr>
      <w:r>
        <w:rPr>
          <w:i/>
          <w:sz w:val="20"/>
        </w:rPr>
        <w:t>Restaurants • Salons • Hospitality • Manufacturing • Retail • Healthcare • Other SMB/B2B Verticals</w:t>
      </w:r>
    </w:p>
    <w:p>
      <w:r>
        <w:t>Research checked live in September 2026. Each row below points to a current public provider page or case study. “Reported result” means the provider's published claim; it is not treated as independently audited financial evidence. Where an offer is an adaptation rather than a directly documented vertical deployment, that is explicitly marked.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76"/>
        <w:gridCol w:w="1776"/>
        <w:gridCol w:w="1776"/>
        <w:gridCol w:w="1776"/>
        <w:gridCol w:w="1776"/>
        <w:gridCol w:w="1776"/>
      </w:tblGrid>
      <w:tr>
        <w:trPr>
          <w:tblHeader w:val="true"/>
        </w:trPr>
        <w:tc>
          <w:tcPr>
            <w:tcW w:type="dxa" w:w="1776"/>
          </w:tcPr>
          <w:p>
            <w:r>
              <w:rPr>
                <w:b/>
                <w:sz w:val="15"/>
              </w:rPr>
              <w:t>#</w:t>
            </w:r>
          </w:p>
        </w:tc>
        <w:tc>
          <w:tcPr>
            <w:tcW w:type="dxa" w:w="1776"/>
          </w:tcPr>
          <w:p>
            <w:r>
              <w:rPr>
                <w:b/>
                <w:sz w:val="15"/>
              </w:rPr>
              <w:t>Industry</w:t>
            </w:r>
          </w:p>
        </w:tc>
        <w:tc>
          <w:tcPr>
            <w:tcW w:type="dxa" w:w="1776"/>
          </w:tcPr>
          <w:p>
            <w:r>
              <w:rPr>
                <w:b/>
                <w:sz w:val="15"/>
              </w:rPr>
              <w:t>Live offer</w:t>
            </w:r>
          </w:p>
        </w:tc>
        <w:tc>
          <w:tcPr>
            <w:tcW w:type="dxa" w:w="1776"/>
          </w:tcPr>
          <w:p>
            <w:r>
              <w:rPr>
                <w:b/>
                <w:sz w:val="15"/>
              </w:rPr>
              <w:t>What is actually being sold</w:t>
            </w:r>
          </w:p>
        </w:tc>
        <w:tc>
          <w:tcPr>
            <w:tcW w:type="dxa" w:w="1776"/>
          </w:tcPr>
          <w:p>
            <w:r>
              <w:rPr>
                <w:b/>
                <w:sz w:val="15"/>
              </w:rPr>
              <w:t>Published proof / result</w:t>
            </w:r>
          </w:p>
        </w:tc>
        <w:tc>
          <w:tcPr>
            <w:tcW w:type="dxa" w:w="1776"/>
          </w:tcPr>
          <w:p>
            <w:r>
              <w:rPr>
                <w:b/>
                <w:sz w:val="15"/>
              </w:rPr>
              <w:t>Reference</w:t>
            </w:r>
          </w:p>
        </w:tc>
      </w:tr>
      <w:tr>
        <w:tc>
          <w:tcPr>
            <w:tcW w:type="dxa" w:w="1776"/>
            <w:vAlign w:val="top"/>
          </w:tcPr>
          <w:p>
            <w:pPr>
              <w:spacing w:after="20"/>
            </w:pPr>
            <w:r>
              <w:rPr>
                <w:sz w:val="13"/>
              </w:rPr>
              <w:t>1</w:t>
            </w:r>
          </w:p>
        </w:tc>
        <w:tc>
          <w:tcPr>
            <w:tcW w:type="dxa" w:w="1776"/>
            <w:vAlign w:val="top"/>
          </w:tcPr>
          <w:p>
            <w:pPr>
              <w:spacing w:after="20"/>
            </w:pPr>
            <w:r>
              <w:rPr>
                <w:sz w:val="13"/>
              </w:rPr>
              <w:t>Restaurants</w:t>
            </w:r>
          </w:p>
        </w:tc>
        <w:tc>
          <w:tcPr>
            <w:tcW w:type="dxa" w:w="1776"/>
            <w:vAlign w:val="top"/>
          </w:tcPr>
          <w:p>
            <w:pPr>
              <w:spacing w:after="20"/>
            </w:pPr>
            <w:r>
              <w:rPr>
                <w:b/>
                <w:sz w:val="13"/>
              </w:rPr>
              <w:t>WhatsApp Table-Booking Concierge + Waitlist + Birthday CRM</w:t>
            </w:r>
          </w:p>
        </w:tc>
        <w:tc>
          <w:tcPr>
            <w:tcW w:type="dxa" w:w="1776"/>
            <w:vAlign w:val="top"/>
          </w:tcPr>
          <w:p>
            <w:pPr>
              <w:spacing w:after="20"/>
            </w:pPr>
            <w:r>
              <w:rPr>
                <w:sz w:val="13"/>
              </w:rPr>
              <w:t>WhatsApp booking concierge, smart waitlist, birthday/anniversary CRM, reminders and review prompts.</w:t>
            </w:r>
          </w:p>
        </w:tc>
        <w:tc>
          <w:tcPr>
            <w:tcW w:type="dxa" w:w="1776"/>
            <w:vAlign w:val="top"/>
          </w:tcPr>
          <w:p>
            <w:pPr>
              <w:spacing w:after="20"/>
            </w:pPr>
            <w:r>
              <w:rPr>
                <w:sz w:val="13"/>
              </w:rPr>
              <w:t>14,200 monthly covers booked via WhatsApp; +41% repeat dine-in; -38% no-shows across 9 outlets.</w:t>
            </w:r>
          </w:p>
        </w:tc>
        <w:tc>
          <w:tcPr>
            <w:tcW w:type="dxa" w:w="1776"/>
            <w:vAlign w:val="top"/>
          </w:tcPr>
          <w:p>
            <w:pPr>
              <w:spacing w:after="20"/>
            </w:pPr>
            <w:r>
              <w:rPr>
                <w:sz w:val="13"/>
              </w:rPr>
              <w:t>https://ubermedialabs.com/case-studies/hospitality/hosp-restaurant-group</w:t>
            </w:r>
          </w:p>
        </w:tc>
      </w:tr>
      <w:tr>
        <w:tc>
          <w:tcPr>
            <w:tcW w:type="dxa" w:w="1776"/>
            <w:vAlign w:val="top"/>
          </w:tcPr>
          <w:p>
            <w:pPr>
              <w:spacing w:after="20"/>
            </w:pPr>
            <w:r>
              <w:rPr>
                <w:sz w:val="13"/>
              </w:rPr>
              <w:t>2</w:t>
            </w:r>
          </w:p>
        </w:tc>
        <w:tc>
          <w:tcPr>
            <w:tcW w:type="dxa" w:w="1776"/>
            <w:vAlign w:val="top"/>
          </w:tcPr>
          <w:p>
            <w:pPr>
              <w:spacing w:after="20"/>
            </w:pPr>
            <w:r>
              <w:rPr>
                <w:sz w:val="13"/>
              </w:rPr>
              <w:t>Restaurants</w:t>
            </w:r>
          </w:p>
        </w:tc>
        <w:tc>
          <w:tcPr>
            <w:tcW w:type="dxa" w:w="1776"/>
            <w:vAlign w:val="top"/>
          </w:tcPr>
          <w:p>
            <w:pPr>
              <w:spacing w:after="20"/>
            </w:pPr>
            <w:r>
              <w:rPr>
                <w:b/>
                <w:sz w:val="13"/>
              </w:rPr>
              <w:t>WhatsApp Ordering + Table Booking + Loyalty</w:t>
            </w:r>
          </w:p>
        </w:tc>
        <w:tc>
          <w:tcPr>
            <w:tcW w:type="dxa" w:w="1776"/>
            <w:vAlign w:val="top"/>
          </w:tcPr>
          <w:p>
            <w:pPr>
              <w:spacing w:after="20"/>
            </w:pPr>
            <w:r>
              <w:rPr>
                <w:sz w:val="13"/>
              </w:rPr>
              <w:t>QR menu → WhatsApp order → payment link → kitchen ticket → table booking → loyalty/reorder follow-up.</w:t>
            </w:r>
          </w:p>
        </w:tc>
        <w:tc>
          <w:tcPr>
            <w:tcW w:type="dxa" w:w="1776"/>
            <w:vAlign w:val="top"/>
          </w:tcPr>
          <w:p>
            <w:pPr>
              <w:spacing w:after="20"/>
            </w:pPr>
            <w:r>
              <w:rPr>
                <w:sz w:val="13"/>
              </w:rPr>
              <w:t>Live Delhi NCR implementation record; direct ordering, reservations and customer-owned CRM/loyalty workflow documented.</w:t>
            </w:r>
          </w:p>
        </w:tc>
        <w:tc>
          <w:tcPr>
            <w:tcW w:type="dxa" w:w="1776"/>
            <w:vAlign w:val="top"/>
          </w:tcPr>
          <w:p>
            <w:pPr>
              <w:spacing w:after="20"/>
            </w:pPr>
            <w:r>
              <w:rPr>
                <w:sz w:val="13"/>
              </w:rPr>
              <w:t>https://scallar.in/case-studies/restaurant-whatsapp-ordering-reservation-automation</w:t>
            </w:r>
          </w:p>
        </w:tc>
      </w:tr>
      <w:tr>
        <w:tc>
          <w:tcPr>
            <w:tcW w:type="dxa" w:w="1776"/>
            <w:vAlign w:val="top"/>
          </w:tcPr>
          <w:p>
            <w:pPr>
              <w:spacing w:after="20"/>
            </w:pPr>
            <w:r>
              <w:rPr>
                <w:sz w:val="13"/>
              </w:rPr>
              <w:t>3</w:t>
            </w:r>
          </w:p>
        </w:tc>
        <w:tc>
          <w:tcPr>
            <w:tcW w:type="dxa" w:w="1776"/>
            <w:vAlign w:val="top"/>
          </w:tcPr>
          <w:p>
            <w:pPr>
              <w:spacing w:after="20"/>
            </w:pPr>
            <w:r>
              <w:rPr>
                <w:sz w:val="13"/>
              </w:rPr>
              <w:t>Cloud Kitchens</w:t>
            </w:r>
          </w:p>
        </w:tc>
        <w:tc>
          <w:tcPr>
            <w:tcW w:type="dxa" w:w="1776"/>
            <w:vAlign w:val="top"/>
          </w:tcPr>
          <w:p>
            <w:pPr>
              <w:spacing w:after="20"/>
            </w:pPr>
            <w:r>
              <w:rPr>
                <w:b/>
                <w:sz w:val="13"/>
              </w:rPr>
              <w:t>Review Management + Customer Reactivation + WhatsApp Loyalty</w:t>
            </w:r>
          </w:p>
        </w:tc>
        <w:tc>
          <w:tcPr>
            <w:tcW w:type="dxa" w:w="1776"/>
            <w:vAlign w:val="top"/>
          </w:tcPr>
          <w:p>
            <w:pPr>
              <w:spacing w:after="20"/>
            </w:pPr>
            <w:r>
              <w:rPr>
                <w:sz w:val="13"/>
              </w:rPr>
              <w:t>Aggregate Swiggy/Zomato reviews, draft responses, segment customers, reactivate lapsed buyers and run WhatsApp loyalty.</w:t>
            </w:r>
          </w:p>
        </w:tc>
        <w:tc>
          <w:tcPr>
            <w:tcW w:type="dxa" w:w="1776"/>
            <w:vAlign w:val="top"/>
          </w:tcPr>
          <w:p>
            <w:pPr>
              <w:spacing w:after="20"/>
            </w:pPr>
            <w:r>
              <w:rPr>
                <w:sz w:val="13"/>
              </w:rPr>
              <w:t>Rating 4.1→4.5+; ₹78L reported recovered revenue; repeat order rate 19%→33% across 18 locations.</w:t>
            </w:r>
          </w:p>
        </w:tc>
        <w:tc>
          <w:tcPr>
            <w:tcW w:type="dxa" w:w="1776"/>
            <w:vAlign w:val="top"/>
          </w:tcPr>
          <w:p>
            <w:pPr>
              <w:spacing w:after="20"/>
            </w:pPr>
            <w:r>
              <w:rPr>
                <w:sz w:val="13"/>
              </w:rPr>
              <w:t>https://ubermedialabs.com/case-studies/hospitality/hosp-cloud-kitchen</w:t>
            </w:r>
          </w:p>
        </w:tc>
      </w:tr>
      <w:tr>
        <w:tc>
          <w:tcPr>
            <w:tcW w:type="dxa" w:w="1776"/>
            <w:vAlign w:val="top"/>
          </w:tcPr>
          <w:p>
            <w:pPr>
              <w:spacing w:after="20"/>
            </w:pPr>
            <w:r>
              <w:rPr>
                <w:sz w:val="13"/>
              </w:rPr>
              <w:t>4</w:t>
            </w:r>
          </w:p>
        </w:tc>
        <w:tc>
          <w:tcPr>
            <w:tcW w:type="dxa" w:w="1776"/>
            <w:vAlign w:val="top"/>
          </w:tcPr>
          <w:p>
            <w:pPr>
              <w:spacing w:after="20"/>
            </w:pPr>
            <w:r>
              <w:rPr>
                <w:sz w:val="13"/>
              </w:rPr>
              <w:t>Hotels / Resorts</w:t>
            </w:r>
          </w:p>
        </w:tc>
        <w:tc>
          <w:tcPr>
            <w:tcW w:type="dxa" w:w="1776"/>
            <w:vAlign w:val="top"/>
          </w:tcPr>
          <w:p>
            <w:pPr>
              <w:spacing w:after="20"/>
            </w:pPr>
            <w:r>
              <w:rPr>
                <w:b/>
                <w:sz w:val="13"/>
              </w:rPr>
              <w:t>AI Concierge + Operations Brief + Anomaly Alerts</w:t>
            </w:r>
          </w:p>
        </w:tc>
        <w:tc>
          <w:tcPr>
            <w:tcW w:type="dxa" w:w="1776"/>
            <w:vAlign w:val="top"/>
          </w:tcPr>
          <w:p>
            <w:pPr>
              <w:spacing w:after="20"/>
            </w:pPr>
            <w:r>
              <w:rPr>
                <w:sz w:val="13"/>
              </w:rPr>
              <w:t>WhatsApp guest concierge connected to PMS, automated daily ops brief and alerts for low ratings/churn anomalies.</w:t>
            </w:r>
          </w:p>
        </w:tc>
        <w:tc>
          <w:tcPr>
            <w:tcW w:type="dxa" w:w="1776"/>
            <w:vAlign w:val="top"/>
          </w:tcPr>
          <w:p>
            <w:pPr>
              <w:spacing w:after="20"/>
            </w:pPr>
            <w:r>
              <w:rPr>
                <w:sz w:val="13"/>
              </w:rPr>
              <w:t>19 owner hours/week reportedly saved across 3 boutique properties; +16 NPS points.</w:t>
            </w:r>
          </w:p>
        </w:tc>
        <w:tc>
          <w:tcPr>
            <w:tcW w:type="dxa" w:w="1776"/>
            <w:vAlign w:val="top"/>
          </w:tcPr>
          <w:p>
            <w:pPr>
              <w:spacing w:after="20"/>
            </w:pPr>
            <w:r>
              <w:rPr>
                <w:sz w:val="13"/>
              </w:rPr>
              <w:t>https://ubermedialabs.com/case-studies/hospitality</w:t>
            </w:r>
          </w:p>
        </w:tc>
      </w:tr>
      <w:tr>
        <w:tc>
          <w:tcPr>
            <w:tcW w:type="dxa" w:w="1776"/>
            <w:vAlign w:val="top"/>
          </w:tcPr>
          <w:p>
            <w:pPr>
              <w:spacing w:after="20"/>
            </w:pPr>
            <w:r>
              <w:rPr>
                <w:sz w:val="13"/>
              </w:rPr>
              <w:t>5</w:t>
            </w:r>
          </w:p>
        </w:tc>
        <w:tc>
          <w:tcPr>
            <w:tcW w:type="dxa" w:w="1776"/>
            <w:vAlign w:val="top"/>
          </w:tcPr>
          <w:p>
            <w:pPr>
              <w:spacing w:after="20"/>
            </w:pPr>
            <w:r>
              <w:rPr>
                <w:sz w:val="13"/>
              </w:rPr>
              <w:t>Hotels</w:t>
            </w:r>
          </w:p>
        </w:tc>
        <w:tc>
          <w:tcPr>
            <w:tcW w:type="dxa" w:w="1776"/>
            <w:vAlign w:val="top"/>
          </w:tcPr>
          <w:p>
            <w:pPr>
              <w:spacing w:after="20"/>
            </w:pPr>
            <w:r>
              <w:rPr>
                <w:b/>
                <w:sz w:val="13"/>
              </w:rPr>
              <w:t>Central Reservations Bot + Group RFP Automation</w:t>
            </w:r>
          </w:p>
        </w:tc>
        <w:tc>
          <w:tcPr>
            <w:tcW w:type="dxa" w:w="1776"/>
            <w:vAlign w:val="top"/>
          </w:tcPr>
          <w:p>
            <w:pPr>
              <w:spacing w:after="20"/>
            </w:pPr>
            <w:r>
              <w:rPr>
                <w:sz w:val="13"/>
              </w:rPr>
              <w:t>Central bot for web/WhatsApp/voice reservations plus automated group-booking RFP quoting.</w:t>
            </w:r>
          </w:p>
        </w:tc>
        <w:tc>
          <w:tcPr>
            <w:tcW w:type="dxa" w:w="1776"/>
            <w:vAlign w:val="top"/>
          </w:tcPr>
          <w:p>
            <w:pPr>
              <w:spacing w:after="20"/>
            </w:pPr>
            <w:r>
              <w:rPr>
                <w:sz w:val="13"/>
              </w:rPr>
              <w:t>71% of central reservations automated across 12 properties; group RFP turnaround cut to 4 hours.</w:t>
            </w:r>
          </w:p>
        </w:tc>
        <w:tc>
          <w:tcPr>
            <w:tcW w:type="dxa" w:w="1776"/>
            <w:vAlign w:val="top"/>
          </w:tcPr>
          <w:p>
            <w:pPr>
              <w:spacing w:after="20"/>
            </w:pPr>
            <w:r>
              <w:rPr>
                <w:sz w:val="13"/>
              </w:rPr>
              <w:t>https://ubermedialabs.com/case-studies/hospitality</w:t>
            </w:r>
          </w:p>
        </w:tc>
      </w:tr>
      <w:tr>
        <w:tc>
          <w:tcPr>
            <w:tcW w:type="dxa" w:w="1776"/>
            <w:vAlign w:val="top"/>
          </w:tcPr>
          <w:p>
            <w:pPr>
              <w:spacing w:after="20"/>
            </w:pPr>
            <w:r>
              <w:rPr>
                <w:sz w:val="13"/>
              </w:rPr>
              <w:t>6</w:t>
            </w:r>
          </w:p>
        </w:tc>
        <w:tc>
          <w:tcPr>
            <w:tcW w:type="dxa" w:w="1776"/>
            <w:vAlign w:val="top"/>
          </w:tcPr>
          <w:p>
            <w:pPr>
              <w:spacing w:after="20"/>
            </w:pPr>
            <w:r>
              <w:rPr>
                <w:sz w:val="13"/>
              </w:rPr>
              <w:t>Cafés</w:t>
            </w:r>
          </w:p>
        </w:tc>
        <w:tc>
          <w:tcPr>
            <w:tcW w:type="dxa" w:w="1776"/>
            <w:vAlign w:val="top"/>
          </w:tcPr>
          <w:p>
            <w:pPr>
              <w:spacing w:after="20"/>
            </w:pPr>
            <w:r>
              <w:rPr>
                <w:b/>
                <w:sz w:val="13"/>
              </w:rPr>
              <w:t>WhatsApp Loyalty + Launch Waitlist + B2B Subscription Funnel</w:t>
            </w:r>
          </w:p>
        </w:tc>
        <w:tc>
          <w:tcPr>
            <w:tcW w:type="dxa" w:w="1776"/>
            <w:vAlign w:val="top"/>
          </w:tcPr>
          <w:p>
            <w:pPr>
              <w:spacing w:after="20"/>
            </w:pPr>
            <w:r>
              <w:rPr>
                <w:sz w:val="13"/>
              </w:rPr>
              <w:t>Automate loyalty, new-store launch waitlists and office/corporate coffee subscription acquisition.</w:t>
            </w:r>
          </w:p>
        </w:tc>
        <w:tc>
          <w:tcPr>
            <w:tcW w:type="dxa" w:w="1776"/>
            <w:vAlign w:val="top"/>
          </w:tcPr>
          <w:p>
            <w:pPr>
              <w:spacing w:after="20"/>
            </w:pPr>
            <w:r>
              <w:rPr>
                <w:sz w:val="13"/>
              </w:rPr>
              <w:t>2.8× loyalty active-base; 47 corporate coffee subscriptions across 23 cafés reported.</w:t>
            </w:r>
          </w:p>
        </w:tc>
        <w:tc>
          <w:tcPr>
            <w:tcW w:type="dxa" w:w="1776"/>
            <w:vAlign w:val="top"/>
          </w:tcPr>
          <w:p>
            <w:pPr>
              <w:spacing w:after="20"/>
            </w:pPr>
            <w:r>
              <w:rPr>
                <w:sz w:val="13"/>
              </w:rPr>
              <w:t>https://ubermedialabs.com/case-studies/hospitality</w:t>
            </w:r>
          </w:p>
        </w:tc>
      </w:tr>
      <w:tr>
        <w:tc>
          <w:tcPr>
            <w:tcW w:type="dxa" w:w="1776"/>
            <w:vAlign w:val="top"/>
          </w:tcPr>
          <w:p>
            <w:pPr>
              <w:spacing w:after="20"/>
            </w:pPr>
            <w:r>
              <w:rPr>
                <w:sz w:val="13"/>
              </w:rPr>
              <w:t>7</w:t>
            </w:r>
          </w:p>
        </w:tc>
        <w:tc>
          <w:tcPr>
            <w:tcW w:type="dxa" w:w="1776"/>
            <w:vAlign w:val="top"/>
          </w:tcPr>
          <w:p>
            <w:pPr>
              <w:spacing w:after="20"/>
            </w:pPr>
            <w:r>
              <w:rPr>
                <w:sz w:val="13"/>
              </w:rPr>
              <w:t>Spas / Wellness</w:t>
            </w:r>
          </w:p>
        </w:tc>
        <w:tc>
          <w:tcPr>
            <w:tcW w:type="dxa" w:w="1776"/>
            <w:vAlign w:val="top"/>
          </w:tcPr>
          <w:p>
            <w:pPr>
              <w:spacing w:after="20"/>
            </w:pPr>
            <w:r>
              <w:rPr>
                <w:b/>
                <w:sz w:val="13"/>
              </w:rPr>
              <w:t>Treatment Booking + Pre-Arrival Prep + Post-Stay Rebooking</w:t>
            </w:r>
          </w:p>
        </w:tc>
        <w:tc>
          <w:tcPr>
            <w:tcW w:type="dxa" w:w="1776"/>
            <w:vAlign w:val="top"/>
          </w:tcPr>
          <w:p>
            <w:pPr>
              <w:spacing w:after="20"/>
            </w:pPr>
            <w:r>
              <w:rPr>
                <w:sz w:val="13"/>
              </w:rPr>
              <w:t>Automate treatment booking, guest preparation and post-visit rebooking nurture.</w:t>
            </w:r>
          </w:p>
        </w:tc>
        <w:tc>
          <w:tcPr>
            <w:tcW w:type="dxa" w:w="1776"/>
            <w:vAlign w:val="top"/>
          </w:tcPr>
          <w:p>
            <w:pPr>
              <w:spacing w:after="20"/>
            </w:pPr>
            <w:r>
              <w:rPr>
                <w:sz w:val="13"/>
              </w:rPr>
              <w:t>+47% treatment occupancy; 31% post-stay rebook rate across 4 retreats reported.</w:t>
            </w:r>
          </w:p>
        </w:tc>
        <w:tc>
          <w:tcPr>
            <w:tcW w:type="dxa" w:w="1776"/>
            <w:vAlign w:val="top"/>
          </w:tcPr>
          <w:p>
            <w:pPr>
              <w:spacing w:after="20"/>
            </w:pPr>
            <w:r>
              <w:rPr>
                <w:sz w:val="13"/>
              </w:rPr>
              <w:t>https://ubermedialabs.com/case-studies/hospitality</w:t>
            </w:r>
          </w:p>
        </w:tc>
      </w:tr>
      <w:tr>
        <w:tc>
          <w:tcPr>
            <w:tcW w:type="dxa" w:w="1776"/>
            <w:vAlign w:val="top"/>
          </w:tcPr>
          <w:p>
            <w:pPr>
              <w:spacing w:after="20"/>
            </w:pPr>
            <w:r>
              <w:rPr>
                <w:sz w:val="13"/>
              </w:rPr>
              <w:t>8</w:t>
            </w:r>
          </w:p>
        </w:tc>
        <w:tc>
          <w:tcPr>
            <w:tcW w:type="dxa" w:w="1776"/>
            <w:vAlign w:val="top"/>
          </w:tcPr>
          <w:p>
            <w:pPr>
              <w:spacing w:after="20"/>
            </w:pPr>
            <w:r>
              <w:rPr>
                <w:sz w:val="13"/>
              </w:rPr>
              <w:t>Salons</w:t>
            </w:r>
          </w:p>
        </w:tc>
        <w:tc>
          <w:tcPr>
            <w:tcW w:type="dxa" w:w="1776"/>
            <w:vAlign w:val="top"/>
          </w:tcPr>
          <w:p>
            <w:pPr>
              <w:spacing w:after="20"/>
            </w:pPr>
            <w:r>
              <w:rPr>
                <w:b/>
                <w:sz w:val="13"/>
              </w:rPr>
              <w:t>AI Voice Appointment Confirmation + Rescheduling + Waitlist Fill</w:t>
            </w:r>
          </w:p>
        </w:tc>
        <w:tc>
          <w:tcPr>
            <w:tcW w:type="dxa" w:w="1776"/>
            <w:vAlign w:val="top"/>
          </w:tcPr>
          <w:p>
            <w:pPr>
              <w:spacing w:after="20"/>
            </w:pPr>
            <w:r>
              <w:rPr>
                <w:sz w:val="13"/>
              </w:rPr>
              <w:t>Multilingual AI calls clients, confirms appointments, reschedules, rebooks and fills cancelled peak slots from waitlist.</w:t>
            </w:r>
          </w:p>
        </w:tc>
        <w:tc>
          <w:tcPr>
            <w:tcW w:type="dxa" w:w="1776"/>
            <w:vAlign w:val="top"/>
          </w:tcPr>
          <w:p>
            <w:pPr>
              <w:spacing w:after="20"/>
            </w:pPr>
            <w:r>
              <w:rPr>
                <w:sz w:val="13"/>
              </w:rPr>
              <w:t>Pune case study reports 38% fewer no-shows, ₹4.6L monthly chair time recovered and 31 staff-hours/week reclaimed.</w:t>
            </w:r>
          </w:p>
        </w:tc>
        <w:tc>
          <w:tcPr>
            <w:tcW w:type="dxa" w:w="1776"/>
            <w:vAlign w:val="top"/>
          </w:tcPr>
          <w:p>
            <w:pPr>
              <w:spacing w:after="20"/>
            </w:pPr>
            <w:r>
              <w:rPr>
                <w:sz w:val="13"/>
              </w:rPr>
              <w:t>https://www.kallix.in/case-studies/salons-spas/pune-hair-studio/en</w:t>
            </w:r>
          </w:p>
        </w:tc>
      </w:tr>
      <w:tr>
        <w:tc>
          <w:tcPr>
            <w:tcW w:type="dxa" w:w="1776"/>
            <w:vAlign w:val="top"/>
          </w:tcPr>
          <w:p>
            <w:pPr>
              <w:spacing w:after="20"/>
            </w:pPr>
            <w:r>
              <w:rPr>
                <w:sz w:val="13"/>
              </w:rPr>
              <w:t>9</w:t>
            </w:r>
          </w:p>
        </w:tc>
        <w:tc>
          <w:tcPr>
            <w:tcW w:type="dxa" w:w="1776"/>
            <w:vAlign w:val="top"/>
          </w:tcPr>
          <w:p>
            <w:pPr>
              <w:spacing w:after="20"/>
            </w:pPr>
            <w:r>
              <w:rPr>
                <w:sz w:val="13"/>
              </w:rPr>
              <w:t>Salons</w:t>
            </w:r>
          </w:p>
        </w:tc>
        <w:tc>
          <w:tcPr>
            <w:tcW w:type="dxa" w:w="1776"/>
            <w:vAlign w:val="top"/>
          </w:tcPr>
          <w:p>
            <w:pPr>
              <w:spacing w:after="20"/>
            </w:pPr>
            <w:r>
              <w:rPr>
                <w:b/>
                <w:sz w:val="13"/>
              </w:rPr>
              <w:t>WhatsApp Booking + Calendar + Reminders + Reviews + Rebooking</w:t>
            </w:r>
          </w:p>
        </w:tc>
        <w:tc>
          <w:tcPr>
            <w:tcW w:type="dxa" w:w="1776"/>
            <w:vAlign w:val="top"/>
          </w:tcPr>
          <w:p>
            <w:pPr>
              <w:spacing w:after="20"/>
            </w:pPr>
            <w:r>
              <w:rPr>
                <w:sz w:val="13"/>
              </w:rPr>
              <w:t>WhatsApp booking flow connected to stylist calendar, 24h/1h reminders, review request and rebooking nurture.</w:t>
            </w:r>
          </w:p>
        </w:tc>
        <w:tc>
          <w:tcPr>
            <w:tcW w:type="dxa" w:w="1776"/>
            <w:vAlign w:val="top"/>
          </w:tcPr>
          <w:p>
            <w:pPr>
              <w:spacing w:after="20"/>
            </w:pPr>
            <w:r>
              <w:rPr>
                <w:sz w:val="13"/>
              </w:rPr>
              <w:t>South Delhi case study: salon was losing ₹40K+ monthly to no-shows; automated booking/reminder/review workflow implemented.</w:t>
            </w:r>
          </w:p>
        </w:tc>
        <w:tc>
          <w:tcPr>
            <w:tcW w:type="dxa" w:w="1776"/>
            <w:vAlign w:val="top"/>
          </w:tcPr>
          <w:p>
            <w:pPr>
              <w:spacing w:after="20"/>
            </w:pPr>
            <w:r>
              <w:rPr>
                <w:sz w:val="13"/>
              </w:rPr>
              <w:t>https://scallar.in/case-studies/salon-booking-reminder-automation</w:t>
            </w:r>
          </w:p>
        </w:tc>
      </w:tr>
      <w:tr>
        <w:tc>
          <w:tcPr>
            <w:tcW w:type="dxa" w:w="1776"/>
            <w:vAlign w:val="top"/>
          </w:tcPr>
          <w:p>
            <w:pPr>
              <w:spacing w:after="20"/>
            </w:pPr>
            <w:r>
              <w:rPr>
                <w:sz w:val="13"/>
              </w:rPr>
              <w:t>10</w:t>
            </w:r>
          </w:p>
        </w:tc>
        <w:tc>
          <w:tcPr>
            <w:tcW w:type="dxa" w:w="1776"/>
            <w:vAlign w:val="top"/>
          </w:tcPr>
          <w:p>
            <w:pPr>
              <w:spacing w:after="20"/>
            </w:pPr>
            <w:r>
              <w:rPr>
                <w:sz w:val="13"/>
              </w:rPr>
              <w:t>Fitness</w:t>
            </w:r>
          </w:p>
        </w:tc>
        <w:tc>
          <w:tcPr>
            <w:tcW w:type="dxa" w:w="1776"/>
            <w:vAlign w:val="top"/>
          </w:tcPr>
          <w:p>
            <w:pPr>
              <w:spacing w:after="20"/>
            </w:pPr>
            <w:r>
              <w:rPr>
                <w:b/>
                <w:sz w:val="13"/>
              </w:rPr>
              <w:t>Trial Booking + Membership Retention Automation</w:t>
            </w:r>
          </w:p>
        </w:tc>
        <w:tc>
          <w:tcPr>
            <w:tcW w:type="dxa" w:w="1776"/>
            <w:vAlign w:val="top"/>
          </w:tcPr>
          <w:p>
            <w:pPr>
              <w:spacing w:after="20"/>
            </w:pPr>
            <w:r>
              <w:rPr>
                <w:sz w:val="13"/>
              </w:rPr>
              <w:t>Trial lead → class reminder → attendance trigger → renewal reminder → inactive-member win-back.</w:t>
            </w:r>
          </w:p>
        </w:tc>
        <w:tc>
          <w:tcPr>
            <w:tcW w:type="dxa" w:w="1776"/>
            <w:vAlign w:val="top"/>
          </w:tcPr>
          <w:p>
            <w:pPr>
              <w:spacing w:after="20"/>
            </w:pPr>
            <w:r>
              <w:rPr>
                <w:sz w:val="13"/>
              </w:rPr>
              <w:t>Live Gurgaon implementation for a 350-member studio; workflow built around missed trials and renewals.</w:t>
            </w:r>
          </w:p>
        </w:tc>
        <w:tc>
          <w:tcPr>
            <w:tcW w:type="dxa" w:w="1776"/>
            <w:vAlign w:val="top"/>
          </w:tcPr>
          <w:p>
            <w:pPr>
              <w:spacing w:after="20"/>
            </w:pPr>
            <w:r>
              <w:rPr>
                <w:sz w:val="13"/>
              </w:rPr>
              <w:t>https://scallar.in/case-studies/fitness-studio-membership-retention-automation</w:t>
            </w:r>
          </w:p>
        </w:tc>
      </w:tr>
      <w:tr>
        <w:tc>
          <w:tcPr>
            <w:tcW w:type="dxa" w:w="1776"/>
            <w:vAlign w:val="top"/>
          </w:tcPr>
          <w:p>
            <w:pPr>
              <w:spacing w:after="20"/>
            </w:pPr>
            <w:r>
              <w:rPr>
                <w:sz w:val="13"/>
              </w:rPr>
              <w:t>11</w:t>
            </w:r>
          </w:p>
        </w:tc>
        <w:tc>
          <w:tcPr>
            <w:tcW w:type="dxa" w:w="1776"/>
            <w:vAlign w:val="top"/>
          </w:tcPr>
          <w:p>
            <w:pPr>
              <w:spacing w:after="20"/>
            </w:pPr>
            <w:r>
              <w:rPr>
                <w:sz w:val="13"/>
              </w:rPr>
              <w:t>Fitness</w:t>
            </w:r>
          </w:p>
        </w:tc>
        <w:tc>
          <w:tcPr>
            <w:tcW w:type="dxa" w:w="1776"/>
            <w:vAlign w:val="top"/>
          </w:tcPr>
          <w:p>
            <w:pPr>
              <w:spacing w:after="20"/>
            </w:pPr>
            <w:r>
              <w:rPr>
                <w:b/>
                <w:sz w:val="13"/>
              </w:rPr>
              <w:t>Trial-Class Booking + Retention Nudges + Subscription Renewals</w:t>
            </w:r>
          </w:p>
        </w:tc>
        <w:tc>
          <w:tcPr>
            <w:tcW w:type="dxa" w:w="1776"/>
            <w:vAlign w:val="top"/>
          </w:tcPr>
          <w:p>
            <w:pPr>
              <w:spacing w:after="20"/>
            </w:pPr>
            <w:r>
              <w:rPr>
                <w:sz w:val="13"/>
              </w:rPr>
              <w:t>Automate trial booking on WhatsApp, retention nudges and class-pack renewals.</w:t>
            </w:r>
          </w:p>
        </w:tc>
        <w:tc>
          <w:tcPr>
            <w:tcW w:type="dxa" w:w="1776"/>
            <w:vAlign w:val="top"/>
          </w:tcPr>
          <w:p>
            <w:pPr>
              <w:spacing w:after="20"/>
            </w:pPr>
            <w:r>
              <w:rPr>
                <w:sz w:val="13"/>
              </w:rPr>
              <w:t>2,400 trial bookings and +31% member retention reported across 9 studios.</w:t>
            </w:r>
          </w:p>
        </w:tc>
        <w:tc>
          <w:tcPr>
            <w:tcW w:type="dxa" w:w="1776"/>
            <w:vAlign w:val="top"/>
          </w:tcPr>
          <w:p>
            <w:pPr>
              <w:spacing w:after="20"/>
            </w:pPr>
            <w:r>
              <w:rPr>
                <w:sz w:val="13"/>
              </w:rPr>
              <w:t>https://ubermedialabs.com/case-studies/coaching</w:t>
            </w:r>
          </w:p>
        </w:tc>
      </w:tr>
      <w:tr>
        <w:tc>
          <w:tcPr>
            <w:tcW w:type="dxa" w:w="1776"/>
            <w:vAlign w:val="top"/>
          </w:tcPr>
          <w:p>
            <w:pPr>
              <w:spacing w:after="20"/>
            </w:pPr>
            <w:r>
              <w:rPr>
                <w:sz w:val="13"/>
              </w:rPr>
              <w:t>12</w:t>
            </w:r>
          </w:p>
        </w:tc>
        <w:tc>
          <w:tcPr>
            <w:tcW w:type="dxa" w:w="1776"/>
            <w:vAlign w:val="top"/>
          </w:tcPr>
          <w:p>
            <w:pPr>
              <w:spacing w:after="20"/>
            </w:pPr>
            <w:r>
              <w:rPr>
                <w:sz w:val="13"/>
              </w:rPr>
              <w:t>Beauty / Aesthetics</w:t>
            </w:r>
          </w:p>
        </w:tc>
        <w:tc>
          <w:tcPr>
            <w:tcW w:type="dxa" w:w="1776"/>
            <w:vAlign w:val="top"/>
          </w:tcPr>
          <w:p>
            <w:pPr>
              <w:spacing w:after="20"/>
            </w:pPr>
            <w:r>
              <w:rPr>
                <w:b/>
                <w:sz w:val="13"/>
              </w:rPr>
              <w:t>AI Consultation Booking + Lead Nurture</w:t>
            </w:r>
          </w:p>
        </w:tc>
        <w:tc>
          <w:tcPr>
            <w:tcW w:type="dxa" w:w="1776"/>
            <w:vAlign w:val="top"/>
          </w:tcPr>
          <w:p>
            <w:pPr>
              <w:spacing w:after="20"/>
            </w:pPr>
            <w:r>
              <w:rPr>
                <w:sz w:val="13"/>
              </w:rPr>
              <w:t>Route ad leads into AI consultation booking, intake and follow-up workflows.</w:t>
            </w:r>
          </w:p>
        </w:tc>
        <w:tc>
          <w:tcPr>
            <w:tcW w:type="dxa" w:w="1776"/>
            <w:vAlign w:val="top"/>
          </w:tcPr>
          <w:p>
            <w:pPr>
              <w:spacing w:after="20"/>
            </w:pPr>
            <w:r>
              <w:rPr>
                <w:sz w:val="13"/>
              </w:rPr>
              <w:t>Healthcare/aesthetics case study reports lead-to-consult conversion 9%→31% across 12 clinics.</w:t>
            </w:r>
          </w:p>
        </w:tc>
        <w:tc>
          <w:tcPr>
            <w:tcW w:type="dxa" w:w="1776"/>
            <w:vAlign w:val="top"/>
          </w:tcPr>
          <w:p>
            <w:pPr>
              <w:spacing w:after="20"/>
            </w:pPr>
            <w:r>
              <w:rPr>
                <w:sz w:val="13"/>
              </w:rPr>
              <w:t>https://ubermedialabs.com/case-studies/healthcare</w:t>
            </w:r>
          </w:p>
        </w:tc>
      </w:tr>
      <w:tr>
        <w:tc>
          <w:tcPr>
            <w:tcW w:type="dxa" w:w="1776"/>
            <w:vAlign w:val="top"/>
          </w:tcPr>
          <w:p>
            <w:pPr>
              <w:spacing w:after="20"/>
            </w:pPr>
            <w:r>
              <w:rPr>
                <w:sz w:val="13"/>
              </w:rPr>
              <w:t>13</w:t>
            </w:r>
          </w:p>
        </w:tc>
        <w:tc>
          <w:tcPr>
            <w:tcW w:type="dxa" w:w="1776"/>
            <w:vAlign w:val="top"/>
          </w:tcPr>
          <w:p>
            <w:pPr>
              <w:spacing w:after="20"/>
            </w:pPr>
            <w:r>
              <w:rPr>
                <w:sz w:val="13"/>
              </w:rPr>
              <w:t>Clinics / Dental</w:t>
            </w:r>
          </w:p>
        </w:tc>
        <w:tc>
          <w:tcPr>
            <w:tcW w:type="dxa" w:w="1776"/>
            <w:vAlign w:val="top"/>
          </w:tcPr>
          <w:p>
            <w:pPr>
              <w:spacing w:after="20"/>
            </w:pPr>
            <w:r>
              <w:rPr>
                <w:b/>
                <w:sz w:val="13"/>
              </w:rPr>
              <w:t>AI Receptionist + EMR Intake + Rescheduling</w:t>
            </w:r>
          </w:p>
        </w:tc>
        <w:tc>
          <w:tcPr>
            <w:tcW w:type="dxa" w:w="1776"/>
            <w:vAlign w:val="top"/>
          </w:tcPr>
          <w:p>
            <w:pPr>
              <w:spacing w:after="20"/>
            </w:pPr>
            <w:r>
              <w:rPr>
                <w:sz w:val="13"/>
              </w:rPr>
              <w:t>AI receptionist handles calls/scheduling, intake, reminders and rescheduling while connecting to practice workflows.</w:t>
            </w:r>
          </w:p>
        </w:tc>
        <w:tc>
          <w:tcPr>
            <w:tcW w:type="dxa" w:w="1776"/>
            <w:vAlign w:val="top"/>
          </w:tcPr>
          <w:p>
            <w:pPr>
              <w:spacing w:after="20"/>
            </w:pPr>
            <w:r>
              <w:rPr>
                <w:sz w:val="13"/>
              </w:rPr>
              <w:t>Multi-clinic case study reports 42% lower front-desk phone time and no-show rate 14%→9.1%.</w:t>
            </w:r>
          </w:p>
        </w:tc>
        <w:tc>
          <w:tcPr>
            <w:tcW w:type="dxa" w:w="1776"/>
            <w:vAlign w:val="top"/>
          </w:tcPr>
          <w:p>
            <w:pPr>
              <w:spacing w:after="20"/>
            </w:pPr>
            <w:r>
              <w:rPr>
                <w:sz w:val="13"/>
              </w:rPr>
              <w:t>https://ubermedialabs.com/case-studies/healthcare/healthcare-multi-clinic-dental</w:t>
            </w:r>
          </w:p>
        </w:tc>
      </w:tr>
      <w:tr>
        <w:tc>
          <w:tcPr>
            <w:tcW w:type="dxa" w:w="1776"/>
            <w:vAlign w:val="top"/>
          </w:tcPr>
          <w:p>
            <w:pPr>
              <w:spacing w:after="20"/>
            </w:pPr>
            <w:r>
              <w:rPr>
                <w:sz w:val="13"/>
              </w:rPr>
              <w:t>14</w:t>
            </w:r>
          </w:p>
        </w:tc>
        <w:tc>
          <w:tcPr>
            <w:tcW w:type="dxa" w:w="1776"/>
            <w:vAlign w:val="top"/>
          </w:tcPr>
          <w:p>
            <w:pPr>
              <w:spacing w:after="20"/>
            </w:pPr>
            <w:r>
              <w:rPr>
                <w:sz w:val="13"/>
              </w:rPr>
              <w:t>Clinics</w:t>
            </w:r>
          </w:p>
        </w:tc>
        <w:tc>
          <w:tcPr>
            <w:tcW w:type="dxa" w:w="1776"/>
            <w:vAlign w:val="top"/>
          </w:tcPr>
          <w:p>
            <w:pPr>
              <w:spacing w:after="20"/>
            </w:pPr>
            <w:r>
              <w:rPr>
                <w:b/>
                <w:sz w:val="13"/>
              </w:rPr>
              <w:t>Patient Recall / Follow-Up Automation</w:t>
            </w:r>
          </w:p>
        </w:tc>
        <w:tc>
          <w:tcPr>
            <w:tcW w:type="dxa" w:w="1776"/>
            <w:vAlign w:val="top"/>
          </w:tcPr>
          <w:p>
            <w:pPr>
              <w:spacing w:after="20"/>
            </w:pPr>
            <w:r>
              <w:rPr>
                <w:sz w:val="13"/>
              </w:rPr>
              <w:t>Automatically re-engage past patients, send care instructions and trigger recall appointments.</w:t>
            </w:r>
          </w:p>
        </w:tc>
        <w:tc>
          <w:tcPr>
            <w:tcW w:type="dxa" w:w="1776"/>
            <w:vAlign w:val="top"/>
          </w:tcPr>
          <w:p>
            <w:pPr>
              <w:spacing w:after="20"/>
            </w:pPr>
            <w:r>
              <w:rPr>
                <w:sz w:val="13"/>
              </w:rPr>
              <w:t>Hyderabad clinic implementation reports 100% automated post-visit care instructions and improved chronic-care recall adherence.</w:t>
            </w:r>
          </w:p>
        </w:tc>
        <w:tc>
          <w:tcPr>
            <w:tcW w:type="dxa" w:w="1776"/>
            <w:vAlign w:val="top"/>
          </w:tcPr>
          <w:p>
            <w:pPr>
              <w:spacing w:after="20"/>
            </w:pPr>
            <w:r>
              <w:rPr>
                <w:sz w:val="13"/>
              </w:rPr>
              <w:t>https://scallar.in/case-studies</w:t>
            </w:r>
          </w:p>
        </w:tc>
      </w:tr>
      <w:tr>
        <w:tc>
          <w:tcPr>
            <w:tcW w:type="dxa" w:w="1776"/>
            <w:vAlign w:val="top"/>
          </w:tcPr>
          <w:p>
            <w:pPr>
              <w:spacing w:after="20"/>
            </w:pPr>
            <w:r>
              <w:rPr>
                <w:sz w:val="13"/>
              </w:rPr>
              <w:t>15</w:t>
            </w:r>
          </w:p>
        </w:tc>
        <w:tc>
          <w:tcPr>
            <w:tcW w:type="dxa" w:w="1776"/>
            <w:vAlign w:val="top"/>
          </w:tcPr>
          <w:p>
            <w:pPr>
              <w:spacing w:after="20"/>
            </w:pPr>
            <w:r>
              <w:rPr>
                <w:sz w:val="13"/>
              </w:rPr>
              <w:t>D2C Fashion</w:t>
            </w:r>
          </w:p>
        </w:tc>
        <w:tc>
          <w:tcPr>
            <w:tcW w:type="dxa" w:w="1776"/>
            <w:vAlign w:val="top"/>
          </w:tcPr>
          <w:p>
            <w:pPr>
              <w:spacing w:after="20"/>
            </w:pPr>
            <w:r>
              <w:rPr>
                <w:b/>
                <w:sz w:val="13"/>
              </w:rPr>
              <w:t>AI Order Support on WhatsApp</w:t>
            </w:r>
          </w:p>
        </w:tc>
        <w:tc>
          <w:tcPr>
            <w:tcW w:type="dxa" w:w="1776"/>
            <w:vAlign w:val="top"/>
          </w:tcPr>
          <w:p>
            <w:pPr>
              <w:spacing w:after="20"/>
            </w:pPr>
            <w:r>
              <w:rPr>
                <w:sz w:val="13"/>
              </w:rPr>
              <w:t>Automate order-status questions, return initiation, delivery-delay alerts, reviews and escalation.</w:t>
            </w:r>
          </w:p>
        </w:tc>
        <w:tc>
          <w:tcPr>
            <w:tcW w:type="dxa" w:w="1776"/>
            <w:vAlign w:val="top"/>
          </w:tcPr>
          <w:p>
            <w:pPr>
              <w:spacing w:after="20"/>
            </w:pPr>
            <w:r>
              <w:rPr>
                <w:sz w:val="13"/>
              </w:rPr>
              <w:t>Mumbai D2C fashion brand: 500+ daily WhatsApp queries; 78% of query types automated.</w:t>
            </w:r>
          </w:p>
        </w:tc>
        <w:tc>
          <w:tcPr>
            <w:tcW w:type="dxa" w:w="1776"/>
            <w:vAlign w:val="top"/>
          </w:tcPr>
          <w:p>
            <w:pPr>
              <w:spacing w:after="20"/>
            </w:pPr>
            <w:r>
              <w:rPr>
                <w:sz w:val="13"/>
              </w:rPr>
              <w:t>https://scallar.in/case-studies/ecommerce-order-support-automation</w:t>
            </w:r>
          </w:p>
        </w:tc>
      </w:tr>
      <w:tr>
        <w:tc>
          <w:tcPr>
            <w:tcW w:type="dxa" w:w="1776"/>
            <w:vAlign w:val="top"/>
          </w:tcPr>
          <w:p>
            <w:pPr>
              <w:spacing w:after="20"/>
            </w:pPr>
            <w:r>
              <w:rPr>
                <w:sz w:val="13"/>
              </w:rPr>
              <w:t>16</w:t>
            </w:r>
          </w:p>
        </w:tc>
        <w:tc>
          <w:tcPr>
            <w:tcW w:type="dxa" w:w="1776"/>
            <w:vAlign w:val="top"/>
          </w:tcPr>
          <w:p>
            <w:pPr>
              <w:spacing w:after="20"/>
            </w:pPr>
            <w:r>
              <w:rPr>
                <w:sz w:val="13"/>
              </w:rPr>
              <w:t>D2C / Shopify</w:t>
            </w:r>
          </w:p>
        </w:tc>
        <w:tc>
          <w:tcPr>
            <w:tcW w:type="dxa" w:w="1776"/>
            <w:vAlign w:val="top"/>
          </w:tcPr>
          <w:p>
            <w:pPr>
              <w:spacing w:after="20"/>
            </w:pPr>
            <w:r>
              <w:rPr>
                <w:b/>
                <w:sz w:val="13"/>
              </w:rPr>
              <w:t>WhatsApp Abandoned-Cart + COD Confirmation + Post-Purchase</w:t>
            </w:r>
          </w:p>
        </w:tc>
        <w:tc>
          <w:tcPr>
            <w:tcW w:type="dxa" w:w="1776"/>
            <w:vAlign w:val="top"/>
          </w:tcPr>
          <w:p>
            <w:pPr>
              <w:spacing w:after="20"/>
            </w:pPr>
            <w:r>
              <w:rPr>
                <w:sz w:val="13"/>
              </w:rPr>
              <w:t>Trigger contextual WhatsApp cart recovery, confirm COD orders, provide shipping updates and request reviews.</w:t>
            </w:r>
          </w:p>
        </w:tc>
        <w:tc>
          <w:tcPr>
            <w:tcW w:type="dxa" w:w="1776"/>
            <w:vAlign w:val="top"/>
          </w:tcPr>
          <w:p>
            <w:pPr>
              <w:spacing w:after="20"/>
            </w:pPr>
            <w:r>
              <w:rPr>
                <w:sz w:val="13"/>
              </w:rPr>
              <w:t>Live Mumbai Shopify implementation connecting Shopify events, n8n and WhatsApp Business API.</w:t>
            </w:r>
          </w:p>
        </w:tc>
        <w:tc>
          <w:tcPr>
            <w:tcW w:type="dxa" w:w="1776"/>
            <w:vAlign w:val="top"/>
          </w:tcPr>
          <w:p>
            <w:pPr>
              <w:spacing w:after="20"/>
            </w:pPr>
            <w:r>
              <w:rPr>
                <w:sz w:val="13"/>
              </w:rPr>
              <w:t>https://scallar.in/case-studies/shopify-whatsapp-abandoned-cart-recovery-automation</w:t>
            </w:r>
          </w:p>
        </w:tc>
      </w:tr>
      <w:tr>
        <w:tc>
          <w:tcPr>
            <w:tcW w:type="dxa" w:w="1776"/>
            <w:vAlign w:val="top"/>
          </w:tcPr>
          <w:p>
            <w:pPr>
              <w:spacing w:after="20"/>
            </w:pPr>
            <w:r>
              <w:rPr>
                <w:sz w:val="13"/>
              </w:rPr>
              <w:t>17</w:t>
            </w:r>
          </w:p>
        </w:tc>
        <w:tc>
          <w:tcPr>
            <w:tcW w:type="dxa" w:w="1776"/>
            <w:vAlign w:val="top"/>
          </w:tcPr>
          <w:p>
            <w:pPr>
              <w:spacing w:after="20"/>
            </w:pPr>
            <w:r>
              <w:rPr>
                <w:sz w:val="13"/>
              </w:rPr>
              <w:t>Manufacturing</w:t>
            </w:r>
          </w:p>
        </w:tc>
        <w:tc>
          <w:tcPr>
            <w:tcW w:type="dxa" w:w="1776"/>
            <w:vAlign w:val="top"/>
          </w:tcPr>
          <w:p>
            <w:pPr>
              <w:spacing w:after="20"/>
            </w:pPr>
            <w:r>
              <w:rPr>
                <w:b/>
                <w:sz w:val="13"/>
              </w:rPr>
              <w:t>Product SEO + RFQ Capture + Sales Assignment + Quote Follow-Up</w:t>
            </w:r>
          </w:p>
        </w:tc>
        <w:tc>
          <w:tcPr>
            <w:tcW w:type="dxa" w:w="1776"/>
            <w:vAlign w:val="top"/>
          </w:tcPr>
          <w:p>
            <w:pPr>
              <w:spacing w:after="20"/>
            </w:pPr>
            <w:r>
              <w:rPr>
                <w:sz w:val="13"/>
              </w:rPr>
              <w:t>Product/specification pages capture procurement intent, structured RFQs enter CRM, route to sales and trigger quote reminders.</w:t>
            </w:r>
          </w:p>
        </w:tc>
        <w:tc>
          <w:tcPr>
            <w:tcW w:type="dxa" w:w="1776"/>
            <w:vAlign w:val="top"/>
          </w:tcPr>
          <w:p>
            <w:pPr>
              <w:spacing w:after="20"/>
            </w:pPr>
            <w:r>
              <w:rPr>
                <w:sz w:val="13"/>
              </w:rPr>
              <w:t>Faridabad industrial manufacturer implementation; documented RFQ-to-CRM-to-follow-up workflow.</w:t>
            </w:r>
          </w:p>
        </w:tc>
        <w:tc>
          <w:tcPr>
            <w:tcW w:type="dxa" w:w="1776"/>
            <w:vAlign w:val="top"/>
          </w:tcPr>
          <w:p>
            <w:pPr>
              <w:spacing w:after="20"/>
            </w:pPr>
            <w:r>
              <w:rPr>
                <w:sz w:val="13"/>
              </w:rPr>
              <w:t>https://scallar.in/case-studies/manufacturing-b2b-seo-lead-generation-crm-automation</w:t>
            </w:r>
          </w:p>
        </w:tc>
      </w:tr>
      <w:tr>
        <w:tc>
          <w:tcPr>
            <w:tcW w:type="dxa" w:w="1776"/>
            <w:vAlign w:val="top"/>
          </w:tcPr>
          <w:p>
            <w:pPr>
              <w:spacing w:after="20"/>
            </w:pPr>
            <w:r>
              <w:rPr>
                <w:sz w:val="13"/>
              </w:rPr>
              <w:t>18</w:t>
            </w:r>
          </w:p>
        </w:tc>
        <w:tc>
          <w:tcPr>
            <w:tcW w:type="dxa" w:w="1776"/>
            <w:vAlign w:val="top"/>
          </w:tcPr>
          <w:p>
            <w:pPr>
              <w:spacing w:after="20"/>
            </w:pPr>
            <w:r>
              <w:rPr>
                <w:sz w:val="13"/>
              </w:rPr>
              <w:t>Manufacturing / Garment-Adjacent</w:t>
            </w:r>
          </w:p>
        </w:tc>
        <w:tc>
          <w:tcPr>
            <w:tcW w:type="dxa" w:w="1776"/>
            <w:vAlign w:val="top"/>
          </w:tcPr>
          <w:p>
            <w:pPr>
              <w:spacing w:after="20"/>
            </w:pPr>
            <w:r>
              <w:rPr>
                <w:b/>
                <w:sz w:val="13"/>
              </w:rPr>
              <w:t>RFQ / Specification Capture + Quote Follow-Up</w:t>
            </w:r>
          </w:p>
        </w:tc>
        <w:tc>
          <w:tcPr>
            <w:tcW w:type="dxa" w:w="1776"/>
            <w:vAlign w:val="top"/>
          </w:tcPr>
          <w:p>
            <w:pPr>
              <w:spacing w:after="20"/>
            </w:pPr>
            <w:r>
              <w:rPr>
                <w:sz w:val="13"/>
              </w:rPr>
              <w:t>Adapt the manufacturing RFQ model to garment/textile suppliers: capture fabric/spec, quantity, delivery and buyer details, route and chase quotes.</w:t>
            </w:r>
          </w:p>
        </w:tc>
        <w:tc>
          <w:tcPr>
            <w:tcW w:type="dxa" w:w="1776"/>
            <w:vAlign w:val="top"/>
          </w:tcPr>
          <w:p>
            <w:pPr>
              <w:spacing w:after="20"/>
            </w:pPr>
            <w:r>
              <w:rPr>
                <w:sz w:val="13"/>
              </w:rPr>
              <w:t>Live manufacturing reference demonstrates the workflow; garment/textile adaptation is an inference, not a cited garment-specific deployment.</w:t>
            </w:r>
          </w:p>
        </w:tc>
        <w:tc>
          <w:tcPr>
            <w:tcW w:type="dxa" w:w="1776"/>
            <w:vAlign w:val="top"/>
          </w:tcPr>
          <w:p>
            <w:pPr>
              <w:spacing w:after="20"/>
            </w:pPr>
            <w:r>
              <w:rPr>
                <w:sz w:val="13"/>
              </w:rPr>
              <w:t>https://scallar.in/case-studies/manufacturing-b2b-seo-lead-generation-crm-automation</w:t>
            </w:r>
          </w:p>
        </w:tc>
      </w:tr>
      <w:tr>
        <w:tc>
          <w:tcPr>
            <w:tcW w:type="dxa" w:w="1776"/>
            <w:vAlign w:val="top"/>
          </w:tcPr>
          <w:p>
            <w:pPr>
              <w:spacing w:after="20"/>
            </w:pPr>
            <w:r>
              <w:rPr>
                <w:sz w:val="13"/>
              </w:rPr>
              <w:t>19</w:t>
            </w:r>
          </w:p>
        </w:tc>
        <w:tc>
          <w:tcPr>
            <w:tcW w:type="dxa" w:w="1776"/>
            <w:vAlign w:val="top"/>
          </w:tcPr>
          <w:p>
            <w:pPr>
              <w:spacing w:after="20"/>
            </w:pPr>
            <w:r>
              <w:rPr>
                <w:sz w:val="13"/>
              </w:rPr>
              <w:t>Logistics</w:t>
            </w:r>
          </w:p>
        </w:tc>
        <w:tc>
          <w:tcPr>
            <w:tcW w:type="dxa" w:w="1776"/>
            <w:vAlign w:val="top"/>
          </w:tcPr>
          <w:p>
            <w:pPr>
              <w:spacing w:after="20"/>
            </w:pPr>
            <w:r>
              <w:rPr>
                <w:b/>
                <w:sz w:val="13"/>
              </w:rPr>
              <w:t>RFQ-to-Quote + Customs Document Collection + WhatsApp Updates</w:t>
            </w:r>
          </w:p>
        </w:tc>
        <w:tc>
          <w:tcPr>
            <w:tcW w:type="dxa" w:w="1776"/>
            <w:vAlign w:val="top"/>
          </w:tcPr>
          <w:p>
            <w:pPr>
              <w:spacing w:after="20"/>
            </w:pPr>
            <w:r>
              <w:rPr>
                <w:sz w:val="13"/>
              </w:rPr>
              <w:t>Parse RFQs, retrieve carrier rates, collect customs docs and send shipment updates on WhatsApp.</w:t>
            </w:r>
          </w:p>
        </w:tc>
        <w:tc>
          <w:tcPr>
            <w:tcW w:type="dxa" w:w="1776"/>
            <w:vAlign w:val="top"/>
          </w:tcPr>
          <w:p>
            <w:pPr>
              <w:spacing w:after="20"/>
            </w:pPr>
            <w:r>
              <w:rPr>
                <w:sz w:val="13"/>
              </w:rPr>
              <w:t>Bangalore freight-forwarder case reports RFQ-to-quote turnaround 38h→22m and +2.4× RFQ volume.</w:t>
            </w:r>
          </w:p>
        </w:tc>
        <w:tc>
          <w:tcPr>
            <w:tcW w:type="dxa" w:w="1776"/>
            <w:vAlign w:val="top"/>
          </w:tcPr>
          <w:p>
            <w:pPr>
              <w:spacing w:after="20"/>
            </w:pPr>
            <w:r>
              <w:rPr>
                <w:sz w:val="13"/>
              </w:rPr>
              <w:t>https://ubermedialabs.com/case-studies/logistics</w:t>
            </w:r>
          </w:p>
        </w:tc>
      </w:tr>
      <w:tr>
        <w:tc>
          <w:tcPr>
            <w:tcW w:type="dxa" w:w="1776"/>
            <w:vAlign w:val="top"/>
          </w:tcPr>
          <w:p>
            <w:pPr>
              <w:spacing w:after="20"/>
            </w:pPr>
            <w:r>
              <w:rPr>
                <w:sz w:val="13"/>
              </w:rPr>
              <w:t>20</w:t>
            </w:r>
          </w:p>
        </w:tc>
        <w:tc>
          <w:tcPr>
            <w:tcW w:type="dxa" w:w="1776"/>
            <w:vAlign w:val="top"/>
          </w:tcPr>
          <w:p>
            <w:pPr>
              <w:spacing w:after="20"/>
            </w:pPr>
            <w:r>
              <w:rPr>
                <w:sz w:val="13"/>
              </w:rPr>
              <w:t>Logistics</w:t>
            </w:r>
          </w:p>
        </w:tc>
        <w:tc>
          <w:tcPr>
            <w:tcW w:type="dxa" w:w="1776"/>
            <w:vAlign w:val="top"/>
          </w:tcPr>
          <w:p>
            <w:pPr>
              <w:spacing w:after="20"/>
            </w:pPr>
            <w:r>
              <w:rPr>
                <w:b/>
                <w:sz w:val="13"/>
              </w:rPr>
              <w:t>Bill of Lading Extraction + ERP Sync</w:t>
            </w:r>
          </w:p>
        </w:tc>
        <w:tc>
          <w:tcPr>
            <w:tcW w:type="dxa" w:w="1776"/>
            <w:vAlign w:val="top"/>
          </w:tcPr>
          <w:p>
            <w:pPr>
              <w:spacing w:after="20"/>
            </w:pPr>
            <w:r>
              <w:rPr>
                <w:sz w:val="13"/>
              </w:rPr>
              <w:t>Extract BoL data with AI and sync it to ERP with a human exception workflow.</w:t>
            </w:r>
          </w:p>
        </w:tc>
        <w:tc>
          <w:tcPr>
            <w:tcW w:type="dxa" w:w="1776"/>
            <w:vAlign w:val="top"/>
          </w:tcPr>
          <w:p>
            <w:pPr>
              <w:spacing w:after="20"/>
            </w:pPr>
            <w:r>
              <w:rPr>
                <w:sz w:val="13"/>
              </w:rPr>
              <w:t>320 daily BoLs reportedly reduced from 9-minute manual entry to 14-second AI extraction.</w:t>
            </w:r>
          </w:p>
        </w:tc>
        <w:tc>
          <w:tcPr>
            <w:tcW w:type="dxa" w:w="1776"/>
            <w:vAlign w:val="top"/>
          </w:tcPr>
          <w:p>
            <w:pPr>
              <w:spacing w:after="20"/>
            </w:pPr>
            <w:r>
              <w:rPr>
                <w:sz w:val="13"/>
              </w:rPr>
              <w:t>https://ubermedialabs.com/case-studies/logistics</w:t>
            </w:r>
          </w:p>
        </w:tc>
      </w:tr>
      <w:tr>
        <w:tc>
          <w:tcPr>
            <w:tcW w:type="dxa" w:w="1776"/>
            <w:vAlign w:val="top"/>
          </w:tcPr>
          <w:p>
            <w:pPr>
              <w:spacing w:after="20"/>
            </w:pPr>
            <w:r>
              <w:rPr>
                <w:sz w:val="13"/>
              </w:rPr>
              <w:t>21</w:t>
            </w:r>
          </w:p>
        </w:tc>
        <w:tc>
          <w:tcPr>
            <w:tcW w:type="dxa" w:w="1776"/>
            <w:vAlign w:val="top"/>
          </w:tcPr>
          <w:p>
            <w:pPr>
              <w:spacing w:after="20"/>
            </w:pPr>
            <w:r>
              <w:rPr>
                <w:sz w:val="13"/>
              </w:rPr>
              <w:t>Automotive Dealers</w:t>
            </w:r>
          </w:p>
        </w:tc>
        <w:tc>
          <w:tcPr>
            <w:tcW w:type="dxa" w:w="1776"/>
            <w:vAlign w:val="top"/>
          </w:tcPr>
          <w:p>
            <w:pPr>
              <w:spacing w:after="20"/>
            </w:pPr>
            <w:r>
              <w:rPr>
                <w:b/>
                <w:sz w:val="13"/>
              </w:rPr>
              <w:t>Speed-to-Lead AI Voice Agent for Test Drives</w:t>
            </w:r>
          </w:p>
        </w:tc>
        <w:tc>
          <w:tcPr>
            <w:tcW w:type="dxa" w:w="1776"/>
            <w:vAlign w:val="top"/>
          </w:tcPr>
          <w:p>
            <w:pPr>
              <w:spacing w:after="20"/>
            </w:pPr>
            <w:r>
              <w:rPr>
                <w:sz w:val="13"/>
              </w:rPr>
              <w:t>Call every test-drive enquiry rapidly, qualify and move suitable prospects to booked drives.</w:t>
            </w:r>
          </w:p>
        </w:tc>
        <w:tc>
          <w:tcPr>
            <w:tcW w:type="dxa" w:w="1776"/>
            <w:vAlign w:val="top"/>
          </w:tcPr>
          <w:p>
            <w:pPr>
              <w:spacing w:after="20"/>
            </w:pPr>
            <w:r>
              <w:rPr>
                <w:sz w:val="13"/>
              </w:rPr>
              <w:t>Current case-study library reports 41-second average response and 96% lift in booked drives for one dealer group.</w:t>
            </w:r>
          </w:p>
        </w:tc>
        <w:tc>
          <w:tcPr>
            <w:tcW w:type="dxa" w:w="1776"/>
            <w:vAlign w:val="top"/>
          </w:tcPr>
          <w:p>
            <w:pPr>
              <w:spacing w:after="20"/>
            </w:pPr>
            <w:r>
              <w:rPr>
                <w:sz w:val="13"/>
              </w:rPr>
              <w:t>https://ubermedialabs.com/</w:t>
            </w:r>
          </w:p>
        </w:tc>
      </w:tr>
      <w:tr>
        <w:tc>
          <w:tcPr>
            <w:tcW w:type="dxa" w:w="1776"/>
            <w:vAlign w:val="top"/>
          </w:tcPr>
          <w:p>
            <w:pPr>
              <w:spacing w:after="20"/>
            </w:pPr>
            <w:r>
              <w:rPr>
                <w:sz w:val="13"/>
              </w:rPr>
              <w:t>22</w:t>
            </w:r>
          </w:p>
        </w:tc>
        <w:tc>
          <w:tcPr>
            <w:tcW w:type="dxa" w:w="1776"/>
            <w:vAlign w:val="top"/>
          </w:tcPr>
          <w:p>
            <w:pPr>
              <w:spacing w:after="20"/>
            </w:pPr>
            <w:r>
              <w:rPr>
                <w:sz w:val="13"/>
              </w:rPr>
              <w:t>Education</w:t>
            </w:r>
          </w:p>
        </w:tc>
        <w:tc>
          <w:tcPr>
            <w:tcW w:type="dxa" w:w="1776"/>
            <w:vAlign w:val="top"/>
          </w:tcPr>
          <w:p>
            <w:pPr>
              <w:spacing w:after="20"/>
            </w:pPr>
            <w:r>
              <w:rPr>
                <w:b/>
                <w:sz w:val="13"/>
              </w:rPr>
              <w:t>AI Admissions Counselor + Parent Communication + Fee Follow-Up</w:t>
            </w:r>
          </w:p>
        </w:tc>
        <w:tc>
          <w:tcPr>
            <w:tcW w:type="dxa" w:w="1776"/>
            <w:vAlign w:val="top"/>
          </w:tcPr>
          <w:p>
            <w:pPr>
              <w:spacing w:after="20"/>
            </w:pPr>
            <w:r>
              <w:rPr>
                <w:sz w:val="13"/>
              </w:rPr>
              <w:t>24/7 AI counselor, parent communication, document collection, fee reminders and enrollment follow-up.</w:t>
            </w:r>
          </w:p>
        </w:tc>
        <w:tc>
          <w:tcPr>
            <w:tcW w:type="dxa" w:w="1776"/>
            <w:vAlign w:val="top"/>
          </w:tcPr>
          <w:p>
            <w:pPr>
              <w:spacing w:after="20"/>
            </w:pPr>
            <w:r>
              <w:rPr>
                <w:sz w:val="13"/>
              </w:rPr>
              <w:t>Current education case-study portfolio lists these deployments across K-12, coaching, higher education and study abroad.</w:t>
            </w:r>
          </w:p>
        </w:tc>
        <w:tc>
          <w:tcPr>
            <w:tcW w:type="dxa" w:w="1776"/>
            <w:vAlign w:val="top"/>
          </w:tcPr>
          <w:p>
            <w:pPr>
              <w:spacing w:after="20"/>
            </w:pPr>
            <w:r>
              <w:rPr>
                <w:sz w:val="13"/>
              </w:rPr>
              <w:t>https://ubermedialabs.com/case-studies</w:t>
            </w:r>
          </w:p>
        </w:tc>
      </w:tr>
      <w:tr>
        <w:tc>
          <w:tcPr>
            <w:tcW w:type="dxa" w:w="1776"/>
            <w:vAlign w:val="top"/>
          </w:tcPr>
          <w:p>
            <w:pPr>
              <w:spacing w:after="20"/>
            </w:pPr>
            <w:r>
              <w:rPr>
                <w:sz w:val="13"/>
              </w:rPr>
              <w:t>23</w:t>
            </w:r>
          </w:p>
        </w:tc>
        <w:tc>
          <w:tcPr>
            <w:tcW w:type="dxa" w:w="1776"/>
            <w:vAlign w:val="top"/>
          </w:tcPr>
          <w:p>
            <w:pPr>
              <w:spacing w:after="20"/>
            </w:pPr>
            <w:r>
              <w:rPr>
                <w:sz w:val="13"/>
              </w:rPr>
              <w:t>Law Firms</w:t>
            </w:r>
          </w:p>
        </w:tc>
        <w:tc>
          <w:tcPr>
            <w:tcW w:type="dxa" w:w="1776"/>
            <w:vAlign w:val="top"/>
          </w:tcPr>
          <w:p>
            <w:pPr>
              <w:spacing w:after="20"/>
            </w:pPr>
            <w:r>
              <w:rPr>
                <w:b/>
                <w:sz w:val="13"/>
              </w:rPr>
              <w:t>Local SEO + AI Lead Intake + Consultation Booking</w:t>
            </w:r>
          </w:p>
        </w:tc>
        <w:tc>
          <w:tcPr>
            <w:tcW w:type="dxa" w:w="1776"/>
            <w:vAlign w:val="top"/>
          </w:tcPr>
          <w:p>
            <w:pPr>
              <w:spacing w:after="20"/>
            </w:pPr>
            <w:r>
              <w:rPr>
                <w:sz w:val="13"/>
              </w:rPr>
              <w:t>Capture high-intent legal searches, structure matter intake and book consultations.</w:t>
            </w:r>
          </w:p>
        </w:tc>
        <w:tc>
          <w:tcPr>
            <w:tcW w:type="dxa" w:w="1776"/>
            <w:vAlign w:val="top"/>
          </w:tcPr>
          <w:p>
            <w:pPr>
              <w:spacing w:after="20"/>
            </w:pPr>
            <w:r>
              <w:rPr>
                <w:sz w:val="13"/>
              </w:rPr>
              <w:t>Delhi NCR implementation reports service-specific lead capture with matter type, urgency and location pre-collected.</w:t>
            </w:r>
          </w:p>
        </w:tc>
        <w:tc>
          <w:tcPr>
            <w:tcW w:type="dxa" w:w="1776"/>
            <w:vAlign w:val="top"/>
          </w:tcPr>
          <w:p>
            <w:pPr>
              <w:spacing w:after="20"/>
            </w:pPr>
            <w:r>
              <w:rPr>
                <w:sz w:val="13"/>
              </w:rPr>
              <w:t>https://scallar.in/case-studies</w:t>
            </w:r>
          </w:p>
        </w:tc>
      </w:tr>
      <w:tr>
        <w:tc>
          <w:tcPr>
            <w:tcW w:type="dxa" w:w="1776"/>
            <w:vAlign w:val="top"/>
          </w:tcPr>
          <w:p>
            <w:pPr>
              <w:spacing w:after="20"/>
            </w:pPr>
            <w:r>
              <w:rPr>
                <w:sz w:val="13"/>
              </w:rPr>
              <w:t>24</w:t>
            </w:r>
          </w:p>
        </w:tc>
        <w:tc>
          <w:tcPr>
            <w:tcW w:type="dxa" w:w="1776"/>
            <w:vAlign w:val="top"/>
          </w:tcPr>
          <w:p>
            <w:pPr>
              <w:spacing w:after="20"/>
            </w:pPr>
            <w:r>
              <w:rPr>
                <w:sz w:val="13"/>
              </w:rPr>
              <w:t>Construction</w:t>
            </w:r>
          </w:p>
        </w:tc>
        <w:tc>
          <w:tcPr>
            <w:tcW w:type="dxa" w:w="1776"/>
            <w:vAlign w:val="top"/>
          </w:tcPr>
          <w:p>
            <w:pPr>
              <w:spacing w:after="20"/>
            </w:pPr>
            <w:r>
              <w:rPr>
                <w:b/>
                <w:sz w:val="13"/>
              </w:rPr>
              <w:t>Tender Lead + Site Visit + Quote Follow-Up Automation</w:t>
            </w:r>
          </w:p>
        </w:tc>
        <w:tc>
          <w:tcPr>
            <w:tcW w:type="dxa" w:w="1776"/>
            <w:vAlign w:val="top"/>
          </w:tcPr>
          <w:p>
            <w:pPr>
              <w:spacing w:after="20"/>
            </w:pPr>
            <w:r>
              <w:rPr>
                <w:sz w:val="13"/>
              </w:rPr>
              <w:t>Track tender leads, site visits and quotation follow-ups in a structured CRM workflow.</w:t>
            </w:r>
          </w:p>
        </w:tc>
        <w:tc>
          <w:tcPr>
            <w:tcW w:type="dxa" w:w="1776"/>
            <w:vAlign w:val="top"/>
          </w:tcPr>
          <w:p>
            <w:pPr>
              <w:spacing w:after="20"/>
            </w:pPr>
            <w:r>
              <w:rPr>
                <w:sz w:val="13"/>
              </w:rPr>
              <w:t>Current Scallar case-study index lists a construction CRM automation implementation focused on these workflows.</w:t>
            </w:r>
          </w:p>
        </w:tc>
        <w:tc>
          <w:tcPr>
            <w:tcW w:type="dxa" w:w="1776"/>
            <w:vAlign w:val="top"/>
          </w:tcPr>
          <w:p>
            <w:pPr>
              <w:spacing w:after="20"/>
            </w:pPr>
            <w:r>
              <w:rPr>
                <w:sz w:val="13"/>
              </w:rPr>
              <w:t>https://scallar.in/case-studies</w:t>
            </w:r>
          </w:p>
        </w:tc>
      </w:tr>
      <w:tr>
        <w:tc>
          <w:tcPr>
            <w:tcW w:type="dxa" w:w="1776"/>
            <w:vAlign w:val="top"/>
          </w:tcPr>
          <w:p>
            <w:pPr>
              <w:spacing w:after="20"/>
            </w:pPr>
            <w:r>
              <w:rPr>
                <w:sz w:val="13"/>
              </w:rPr>
              <w:t>25</w:t>
            </w:r>
          </w:p>
        </w:tc>
        <w:tc>
          <w:tcPr>
            <w:tcW w:type="dxa" w:w="1776"/>
            <w:vAlign w:val="top"/>
          </w:tcPr>
          <w:p>
            <w:pPr>
              <w:spacing w:after="20"/>
            </w:pPr>
            <w:r>
              <w:rPr>
                <w:sz w:val="13"/>
              </w:rPr>
              <w:t>Corporate Gifting / Food</w:t>
            </w:r>
          </w:p>
        </w:tc>
        <w:tc>
          <w:tcPr>
            <w:tcW w:type="dxa" w:w="1776"/>
            <w:vAlign w:val="top"/>
          </w:tcPr>
          <w:p>
            <w:pPr>
              <w:spacing w:after="20"/>
            </w:pPr>
            <w:r>
              <w:rPr>
                <w:b/>
                <w:sz w:val="13"/>
              </w:rPr>
              <w:t>AI RFQ Intake + Catalogue Generation + Multi-Address Shipping</w:t>
            </w:r>
          </w:p>
        </w:tc>
        <w:tc>
          <w:tcPr>
            <w:tcW w:type="dxa" w:w="1776"/>
            <w:vAlign w:val="top"/>
          </w:tcPr>
          <w:p>
            <w:pPr>
              <w:spacing w:after="20"/>
            </w:pPr>
            <w:r>
              <w:rPr>
                <w:sz w:val="13"/>
              </w:rPr>
              <w:t>Capture corporate gifting requirements, generate tiered catalogues, validate delivery addresses and automate repeat seasonal outreach.</w:t>
            </w:r>
          </w:p>
        </w:tc>
        <w:tc>
          <w:tcPr>
            <w:tcW w:type="dxa" w:w="1776"/>
            <w:vAlign w:val="top"/>
          </w:tcPr>
          <w:p>
            <w:pPr>
              <w:spacing w:after="20"/>
            </w:pPr>
            <w:r>
              <w:rPr>
                <w:sz w:val="13"/>
              </w:rPr>
              <w:t>₹9.6 Cr reported corporate gifting revenue; RFQ response time 2 days→21 minutes; 280 net-new enterprise accounts.</w:t>
            </w:r>
          </w:p>
        </w:tc>
        <w:tc>
          <w:tcPr>
            <w:tcW w:type="dxa" w:w="1776"/>
            <w:vAlign w:val="top"/>
          </w:tcPr>
          <w:p>
            <w:pPr>
              <w:spacing w:after="20"/>
            </w:pPr>
            <w:r>
              <w:rPr>
                <w:sz w:val="13"/>
              </w:rPr>
              <w:t>https://ubermedialabs.com/case-studies/ecommerce/ecom-gourmet-food</w:t>
            </w:r>
          </w:p>
        </w:tc>
      </w:tr>
      <w:tr>
        <w:tc>
          <w:tcPr>
            <w:tcW w:type="dxa" w:w="1776"/>
            <w:vAlign w:val="top"/>
          </w:tcPr>
          <w:p>
            <w:pPr>
              <w:spacing w:after="20"/>
            </w:pPr>
            <w:r>
              <w:rPr>
                <w:sz w:val="13"/>
              </w:rPr>
              <w:t>26</w:t>
            </w:r>
          </w:p>
        </w:tc>
        <w:tc>
          <w:tcPr>
            <w:tcW w:type="dxa" w:w="1776"/>
            <w:vAlign w:val="top"/>
          </w:tcPr>
          <w:p>
            <w:pPr>
              <w:spacing w:after="20"/>
            </w:pPr>
            <w:r>
              <w:rPr>
                <w:sz w:val="13"/>
              </w:rPr>
              <w:t>Coaching / Training</w:t>
            </w:r>
          </w:p>
        </w:tc>
        <w:tc>
          <w:tcPr>
            <w:tcW w:type="dxa" w:w="1776"/>
            <w:vAlign w:val="top"/>
          </w:tcPr>
          <w:p>
            <w:pPr>
              <w:spacing w:after="20"/>
            </w:pPr>
            <w:r>
              <w:rPr>
                <w:b/>
                <w:sz w:val="13"/>
              </w:rPr>
              <w:t>Corporate RFP Intake + AI Proposal Draft + Alumni Reactivation</w:t>
            </w:r>
          </w:p>
        </w:tc>
        <w:tc>
          <w:tcPr>
            <w:tcW w:type="dxa" w:w="1776"/>
            <w:vAlign w:val="top"/>
          </w:tcPr>
          <w:p>
            <w:pPr>
              <w:spacing w:after="20"/>
            </w:pPr>
            <w:r>
              <w:rPr>
                <w:sz w:val="13"/>
              </w:rPr>
              <w:t>Extract RFP requirements, draft proposals, route enquiries and reactivate alumni.</w:t>
            </w:r>
          </w:p>
        </w:tc>
        <w:tc>
          <w:tcPr>
            <w:tcW w:type="dxa" w:w="1776"/>
            <w:vAlign w:val="top"/>
          </w:tcPr>
          <w:p>
            <w:pPr>
              <w:spacing w:after="20"/>
            </w:pPr>
            <w:r>
              <w:rPr>
                <w:sz w:val="13"/>
              </w:rPr>
              <w:t>₹3.2 Cr corporate workshop revenue reported over two quarters; RFP response 14 days→2 days; 1,800 alumni reactivated.</w:t>
            </w:r>
          </w:p>
        </w:tc>
        <w:tc>
          <w:tcPr>
            <w:tcW w:type="dxa" w:w="1776"/>
            <w:vAlign w:val="top"/>
          </w:tcPr>
          <w:p>
            <w:pPr>
              <w:spacing w:after="20"/>
            </w:pPr>
            <w:r>
              <w:rPr>
                <w:sz w:val="13"/>
              </w:rPr>
              <w:t>https://ubermedialabs.com/case-studies/coaching/coaching-public-speaking</w:t>
            </w:r>
          </w:p>
        </w:tc>
      </w:tr>
    </w:tbl>
    <w:p>
      <w:pPr>
        <w:pStyle w:val="Heading1"/>
      </w:pPr>
      <w:r>
        <w:t>How to use this swipe file</w:t>
      </w:r>
    </w:p>
    <w:p>
      <w:pPr>
        <w:pStyle w:val="ListBullet"/>
      </w:pPr>
      <w:r>
        <w:t>Do not sell “AI automation” as the headline. Sell the business outcome: fewer no-shows, more booked tables, more repeat orders, faster RFQs, less support workload, faster response, or recovered revenue.</w:t>
      </w:r>
    </w:p>
    <w:p>
      <w:pPr>
        <w:pStyle w:val="ListBullet"/>
      </w:pPr>
      <w:r>
        <w:t>Start with a narrow workflow. A side-hustler can productize one workflow much faster than attempting an entire digital transformation.</w:t>
      </w:r>
    </w:p>
    <w:p>
      <w:pPr>
        <w:pStyle w:val="ListBullet"/>
      </w:pPr>
      <w:r>
        <w:t>Use the live examples as proof that the problem/solution category exists. Do not copy provider claims or imply that another client will receive the same result.</w:t>
      </w:r>
    </w:p>
    <w:p>
      <w:pPr>
        <w:pStyle w:val="ListBullet"/>
      </w:pPr>
      <w:r>
        <w:t>For garment/textile businesses, the closest verified live reference in this research is the manufacturing RFQ → specification capture → sales assignment → quote follow-up workflow. The garment-specific offer should be validated with buyers before being positioned as a proven garment case study.</w:t>
      </w:r>
    </w:p>
    <w:p>
      <w:pPr>
        <w:pStyle w:val="Heading1"/>
      </w:pPr>
      <w:r>
        <w:t>High-potential offer patterns from the live examples</w:t>
      </w:r>
    </w:p>
    <w:p>
      <w:pPr>
        <w:pStyle w:val="ListBullet"/>
      </w:pPr>
      <w:r>
        <w:t>AI Receptionist / Voice Agent</w:t>
      </w:r>
    </w:p>
    <w:p>
      <w:pPr>
        <w:pStyle w:val="ListBullet"/>
      </w:pPr>
      <w:r>
        <w:t>WhatsApp Booking + Reminder + Rebooking</w:t>
      </w:r>
    </w:p>
    <w:p>
      <w:pPr>
        <w:pStyle w:val="ListBullet"/>
      </w:pPr>
      <w:r>
        <w:t>Dormant Customer Reactivation</w:t>
      </w:r>
    </w:p>
    <w:p>
      <w:pPr>
        <w:pStyle w:val="ListBullet"/>
      </w:pPr>
      <w:r>
        <w:t>Review Intelligence + Review Response</w:t>
      </w:r>
    </w:p>
    <w:p>
      <w:pPr>
        <w:pStyle w:val="ListBullet"/>
      </w:pPr>
      <w:r>
        <w:t>Lead Qualification + Speed-to-Lead</w:t>
      </w:r>
    </w:p>
    <w:p>
      <w:pPr>
        <w:pStyle w:val="ListBullet"/>
      </w:pPr>
      <w:r>
        <w:t>RFQ Capture + Quote Follow-Up</w:t>
      </w:r>
    </w:p>
    <w:p>
      <w:pPr>
        <w:pStyle w:val="ListBullet"/>
      </w:pPr>
      <w:r>
        <w:t>AI Customer Support / Order Status</w:t>
      </w:r>
    </w:p>
    <w:p>
      <w:pPr>
        <w:pStyle w:val="ListBullet"/>
      </w:pPr>
      <w:r>
        <w:t>Appointment No-Show Recovery</w:t>
      </w:r>
    </w:p>
    <w:p>
      <w:pPr>
        <w:pStyle w:val="ListBullet"/>
      </w:pPr>
      <w:r>
        <w:t>Waitlist / Empty-Slot Recovery</w:t>
      </w:r>
    </w:p>
    <w:p>
      <w:pPr>
        <w:pStyle w:val="ListBullet"/>
      </w:pPr>
      <w:r>
        <w:t>Loyalty + Repeat Purchase Automation</w:t>
      </w:r>
    </w:p>
    <w:p>
      <w:pPr>
        <w:pStyle w:val="ListBullet"/>
      </w:pPr>
      <w:r>
        <w:t>AI RFP / Proposal Generation</w:t>
      </w:r>
    </w:p>
    <w:p>
      <w:pPr>
        <w:pStyle w:val="ListBullet"/>
      </w:pPr>
      <w:r>
        <w:t>AI Document Extraction + CRM/ERP Sync</w:t>
      </w:r>
    </w:p>
    <w:p>
      <w:pPr>
        <w:pStyle w:val="ListBullet"/>
      </w:pPr>
      <w:r>
        <w:t>Management Dashboard + Anomaly Alerts</w:t>
      </w:r>
    </w:p>
    <w:sectPr w:rsidR="00FC693F" w:rsidRPr="0006063C" w:rsidSect="00034616">
      <w:footerReference w:type="default" r:id="rId9"/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5"/>
      </w:rPr>
      <w:t>Live B2B AI Agency Offer Swipe File • September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