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B27C"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6151264C"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01371724" w14:textId="77777777" w:rsidR="00D7522C" w:rsidRDefault="00D7522C" w:rsidP="003B4E04">
      <w:pPr>
        <w:pStyle w:val="Author"/>
        <w:spacing w:before="100" w:beforeAutospacing="1" w:after="100" w:afterAutospacing="1" w:line="120" w:lineRule="auto"/>
        <w:rPr>
          <w:sz w:val="16"/>
          <w:szCs w:val="16"/>
        </w:rPr>
      </w:pPr>
    </w:p>
    <w:p w14:paraId="397F784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6A35F81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37C37F1"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F7AF65D"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B4A1125"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3809D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82AB27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0CC4A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9E0796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39E5C9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D53674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ADAE6A" w14:textId="77777777" w:rsidR="009303D9" w:rsidRPr="006B6B66" w:rsidRDefault="009303D9" w:rsidP="006B6B66">
      <w:pPr>
        <w:pStyle w:val="Heading1"/>
      </w:pPr>
      <w:r w:rsidRPr="006B6B66">
        <w:t>Ease of Use</w:t>
      </w:r>
    </w:p>
    <w:p w14:paraId="0908E503" w14:textId="77777777" w:rsidR="009303D9" w:rsidRDefault="009303D9" w:rsidP="00ED0149">
      <w:pPr>
        <w:pStyle w:val="Heading2"/>
      </w:pPr>
      <w:r>
        <w:t xml:space="preserve">Selecting a </w:t>
      </w:r>
      <w:r w:rsidRPr="00F271DE">
        <w:t>Template</w:t>
      </w:r>
      <w:r>
        <w:t xml:space="preserve"> (Heading 2)</w:t>
      </w:r>
    </w:p>
    <w:p w14:paraId="3546690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937E936" w14:textId="77777777" w:rsidR="009303D9" w:rsidRPr="005B520E" w:rsidRDefault="009303D9" w:rsidP="00ED0149">
      <w:pPr>
        <w:pStyle w:val="Heading2"/>
      </w:pPr>
      <w:r w:rsidRPr="005B520E">
        <w:t>Maintaining the Integrity of the Specifications</w:t>
      </w:r>
    </w:p>
    <w:p w14:paraId="20FABB40"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4DEE38AD" w14:textId="77777777" w:rsidR="009303D9" w:rsidRDefault="009303D9" w:rsidP="006B6B66">
      <w:pPr>
        <w:pStyle w:val="Heading1"/>
      </w:pPr>
      <w:r>
        <w:t xml:space="preserve">Prepare Your Paper </w:t>
      </w:r>
      <w:r w:rsidRPr="005B520E">
        <w:t>Before</w:t>
      </w:r>
      <w:r>
        <w:t xml:space="preserve"> Styling</w:t>
      </w:r>
    </w:p>
    <w:p w14:paraId="4701280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126A677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0F4966" w14:textId="77777777" w:rsidR="009303D9" w:rsidRDefault="009303D9" w:rsidP="00ED0149">
      <w:pPr>
        <w:pStyle w:val="Heading2"/>
      </w:pPr>
      <w:r w:rsidRPr="00ED0149">
        <w:t>Abbreviations</w:t>
      </w:r>
      <w:r>
        <w:t xml:space="preserve"> and Acronyms</w:t>
      </w:r>
    </w:p>
    <w:p w14:paraId="407F7E6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6205582" w14:textId="77777777" w:rsidR="009303D9" w:rsidRDefault="009303D9" w:rsidP="00ED0149">
      <w:pPr>
        <w:pStyle w:val="Heading2"/>
      </w:pPr>
      <w:r>
        <w:t>Units</w:t>
      </w:r>
    </w:p>
    <w:p w14:paraId="517D493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E6FDAD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42A511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6762FB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F11F83F"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3F6D3E29" w14:textId="77777777" w:rsidR="009303D9" w:rsidRPr="005B520E" w:rsidRDefault="009303D9" w:rsidP="00ED0149">
      <w:pPr>
        <w:pStyle w:val="Heading2"/>
      </w:pPr>
      <w:r w:rsidRPr="005B520E">
        <w:t>Equations</w:t>
      </w:r>
    </w:p>
    <w:p w14:paraId="5CF68A5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926884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46964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D00327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B9D68DC" w14:textId="77777777" w:rsidR="009303D9" w:rsidRDefault="009303D9" w:rsidP="00ED0149">
      <w:pPr>
        <w:pStyle w:val="Heading2"/>
      </w:pPr>
      <w:r>
        <w:t>Some Common Mistakes</w:t>
      </w:r>
    </w:p>
    <w:p w14:paraId="20CC8130" w14:textId="77777777" w:rsidR="009303D9" w:rsidRPr="005B520E" w:rsidRDefault="009303D9" w:rsidP="00E7596C">
      <w:pPr>
        <w:pStyle w:val="bulletlist"/>
      </w:pPr>
      <w:r w:rsidRPr="005B520E">
        <w:t>The word “data” is plural, not singular.</w:t>
      </w:r>
    </w:p>
    <w:p w14:paraId="6084C9E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14391D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3ED1E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D075ADE" w14:textId="77777777" w:rsidR="009303D9" w:rsidRPr="005B520E" w:rsidRDefault="009303D9" w:rsidP="00E7596C">
      <w:pPr>
        <w:pStyle w:val="bulletlist"/>
      </w:pPr>
      <w:r w:rsidRPr="005B520E">
        <w:t>Do not use the word “essentially” to mean “approximately” or “effectively”.</w:t>
      </w:r>
    </w:p>
    <w:p w14:paraId="3E35C94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078298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CDCD285" w14:textId="77777777" w:rsidR="009303D9" w:rsidRPr="005B520E" w:rsidRDefault="009303D9" w:rsidP="00E7596C">
      <w:pPr>
        <w:pStyle w:val="bulletlist"/>
      </w:pPr>
      <w:r w:rsidRPr="005B520E">
        <w:t>Do not confuse “imply” and “infer”.</w:t>
      </w:r>
    </w:p>
    <w:p w14:paraId="0E84E294" w14:textId="77777777" w:rsidR="009303D9" w:rsidRPr="005B520E" w:rsidRDefault="009303D9" w:rsidP="00E7596C">
      <w:pPr>
        <w:pStyle w:val="bulletlist"/>
      </w:pPr>
      <w:r w:rsidRPr="005B520E">
        <w:t>The prefix “non” is not a word; it should be joined to the word it modifies, usually without a hyphen.</w:t>
      </w:r>
    </w:p>
    <w:p w14:paraId="1AF50C54" w14:textId="77777777" w:rsidR="009303D9" w:rsidRPr="005B520E" w:rsidRDefault="009303D9" w:rsidP="00E7596C">
      <w:pPr>
        <w:pStyle w:val="bulletlist"/>
      </w:pPr>
      <w:r w:rsidRPr="005B520E">
        <w:t>There is no period after the “et” in the Latin abbreviation “et al.”.</w:t>
      </w:r>
    </w:p>
    <w:p w14:paraId="45E6ADB5" w14:textId="77777777" w:rsidR="009303D9" w:rsidRPr="005B520E" w:rsidRDefault="009303D9" w:rsidP="00E7596C">
      <w:pPr>
        <w:pStyle w:val="bulletlist"/>
      </w:pPr>
      <w:r w:rsidRPr="005B520E">
        <w:t>The abbreviation “i.e.” means “that is”, and the abbreviation “e.g.” means “for example”.</w:t>
      </w:r>
    </w:p>
    <w:p w14:paraId="3DA2E5A0" w14:textId="77777777" w:rsidR="009303D9" w:rsidRPr="005B520E" w:rsidRDefault="009303D9" w:rsidP="00E7596C">
      <w:pPr>
        <w:pStyle w:val="BodyText"/>
      </w:pPr>
      <w:r w:rsidRPr="005B520E">
        <w:t>An excellent style manual for science writers is [7].</w:t>
      </w:r>
    </w:p>
    <w:p w14:paraId="2D50020B" w14:textId="77777777" w:rsidR="009303D9" w:rsidRDefault="009303D9" w:rsidP="006B6B66">
      <w:pPr>
        <w:pStyle w:val="Heading1"/>
      </w:pPr>
      <w:r>
        <w:t xml:space="preserve">Using the </w:t>
      </w:r>
      <w:r w:rsidRPr="005B520E">
        <w:t>Template</w:t>
      </w:r>
    </w:p>
    <w:p w14:paraId="716B2E7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7E1AC13" w14:textId="77777777" w:rsidR="009303D9" w:rsidRDefault="009303D9" w:rsidP="00ED0149">
      <w:pPr>
        <w:pStyle w:val="Heading2"/>
      </w:pPr>
      <w:r w:rsidRPr="005B520E">
        <w:t>Authors</w:t>
      </w:r>
      <w:r>
        <w:t xml:space="preserve"> and Affiliations</w:t>
      </w:r>
    </w:p>
    <w:p w14:paraId="679314A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8CADB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F0941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B6E8EB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B67256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F12CF7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FADC333" w14:textId="77777777" w:rsidR="006F6D3D" w:rsidRDefault="006F6D3D" w:rsidP="006F6D3D">
      <w:pPr>
        <w:jc w:val="left"/>
        <w:rPr>
          <w:i/>
          <w:iCs/>
          <w:noProof/>
        </w:rPr>
      </w:pPr>
    </w:p>
    <w:p w14:paraId="08265392" w14:textId="77777777" w:rsidR="009303D9" w:rsidRDefault="009303D9" w:rsidP="00ED0149">
      <w:pPr>
        <w:pStyle w:val="Heading2"/>
      </w:pPr>
      <w:r w:rsidRPr="005B520E">
        <w:t>Identify</w:t>
      </w:r>
      <w:r>
        <w:t xml:space="preserve"> the Headings</w:t>
      </w:r>
    </w:p>
    <w:p w14:paraId="4160CBE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97C0C4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6F0D191"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w:t>
      </w:r>
      <w:r w:rsidRPr="005B520E">
        <w:lastRenderedPageBreak/>
        <w:t>conversely, if there are not at least two sub-topics, then no subheads should be introduced. Styles named “Heading 1”, “Heading 2”, “Heading 3”, and “Heading 4” are prescribed.</w:t>
      </w:r>
    </w:p>
    <w:p w14:paraId="3FA4A196" w14:textId="77777777" w:rsidR="009303D9" w:rsidRDefault="009303D9" w:rsidP="00ED0149">
      <w:pPr>
        <w:pStyle w:val="Heading2"/>
      </w:pPr>
      <w:r>
        <w:t>Figures and Tables</w:t>
      </w:r>
    </w:p>
    <w:p w14:paraId="29D7BF46" w14:textId="46BADFA3" w:rsidR="009303D9" w:rsidRDefault="0004781E" w:rsidP="00FA4C32">
      <w:pPr>
        <w:pStyle w:val="Heading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2254D9" w14:textId="6249B9DA" w:rsidR="00BA041C" w:rsidRPr="00BA041C" w:rsidRDefault="00BA041C" w:rsidP="00B70F9E">
      <w:pPr>
        <w:jc w:val="both"/>
        <w:rPr>
          <w:iCs/>
          <w:noProof/>
        </w:rPr>
      </w:pPr>
      <w:r w:rsidRPr="00BA041C">
        <w:rPr>
          <w:iCs/>
          <w:noProof/>
        </w:rPr>
        <w:t>Note that the table has been added using the insert table functionality within Word, rather than being an image pasted into the document. Because this is created using Word and is fully editable, it is fine to include in the manuscript itself.</w:t>
      </w:r>
    </w:p>
    <w:p w14:paraId="54D1BAB8" w14:textId="77777777" w:rsidR="009303D9" w:rsidRPr="00BA041C" w:rsidRDefault="009303D9">
      <w:pPr>
        <w:pStyle w:val="tablehead"/>
        <w:rPr>
          <w:iCs/>
          <w:smallCaps w:val="0"/>
          <w:sz w:val="20"/>
          <w:szCs w:val="20"/>
        </w:rPr>
      </w:pPr>
      <w:r w:rsidRPr="00BA041C">
        <w:rPr>
          <w:iCs/>
          <w:smallCaps w:val="0"/>
          <w:sz w:val="20"/>
          <w:szCs w:val="2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E74A82A" w14:textId="77777777">
        <w:trPr>
          <w:cantSplit/>
          <w:trHeight w:val="240"/>
          <w:tblHeader/>
          <w:jc w:val="center"/>
        </w:trPr>
        <w:tc>
          <w:tcPr>
            <w:tcW w:w="720" w:type="dxa"/>
            <w:vMerge w:val="restart"/>
            <w:vAlign w:val="center"/>
          </w:tcPr>
          <w:p w14:paraId="0CF4F9F7" w14:textId="77777777" w:rsidR="009303D9" w:rsidRDefault="009303D9">
            <w:pPr>
              <w:pStyle w:val="tablecolhead"/>
            </w:pPr>
            <w:r>
              <w:t>Table Head</w:t>
            </w:r>
          </w:p>
        </w:tc>
        <w:tc>
          <w:tcPr>
            <w:tcW w:w="4140" w:type="dxa"/>
            <w:gridSpan w:val="3"/>
            <w:vAlign w:val="center"/>
          </w:tcPr>
          <w:p w14:paraId="2D263965" w14:textId="77777777" w:rsidR="009303D9" w:rsidRDefault="009303D9">
            <w:pPr>
              <w:pStyle w:val="tablecolhead"/>
            </w:pPr>
            <w:r>
              <w:t>Table Column Head</w:t>
            </w:r>
          </w:p>
        </w:tc>
      </w:tr>
      <w:tr w:rsidR="009303D9" w14:paraId="6A4584C1" w14:textId="77777777">
        <w:trPr>
          <w:cantSplit/>
          <w:trHeight w:val="240"/>
          <w:tblHeader/>
          <w:jc w:val="center"/>
        </w:trPr>
        <w:tc>
          <w:tcPr>
            <w:tcW w:w="720" w:type="dxa"/>
            <w:vMerge/>
          </w:tcPr>
          <w:p w14:paraId="4C64303E" w14:textId="77777777" w:rsidR="009303D9" w:rsidRDefault="009303D9">
            <w:pPr>
              <w:rPr>
                <w:sz w:val="16"/>
                <w:szCs w:val="16"/>
              </w:rPr>
            </w:pPr>
          </w:p>
        </w:tc>
        <w:tc>
          <w:tcPr>
            <w:tcW w:w="2340" w:type="dxa"/>
            <w:vAlign w:val="center"/>
          </w:tcPr>
          <w:p w14:paraId="3A9BA453" w14:textId="77777777" w:rsidR="009303D9" w:rsidRDefault="009303D9">
            <w:pPr>
              <w:pStyle w:val="tablecolsubhead"/>
            </w:pPr>
            <w:r>
              <w:t>Table column subhead</w:t>
            </w:r>
          </w:p>
        </w:tc>
        <w:tc>
          <w:tcPr>
            <w:tcW w:w="900" w:type="dxa"/>
            <w:vAlign w:val="center"/>
          </w:tcPr>
          <w:p w14:paraId="7FFBC9E8" w14:textId="77777777" w:rsidR="009303D9" w:rsidRDefault="009303D9">
            <w:pPr>
              <w:pStyle w:val="tablecolsubhead"/>
            </w:pPr>
            <w:r>
              <w:t>Subhead</w:t>
            </w:r>
          </w:p>
        </w:tc>
        <w:tc>
          <w:tcPr>
            <w:tcW w:w="900" w:type="dxa"/>
            <w:vAlign w:val="center"/>
          </w:tcPr>
          <w:p w14:paraId="797DCD9A" w14:textId="77777777" w:rsidR="009303D9" w:rsidRDefault="009303D9">
            <w:pPr>
              <w:pStyle w:val="tablecolsubhead"/>
            </w:pPr>
            <w:r>
              <w:t>Subhead</w:t>
            </w:r>
          </w:p>
        </w:tc>
      </w:tr>
      <w:tr w:rsidR="009303D9" w14:paraId="4321FAE7" w14:textId="77777777">
        <w:trPr>
          <w:trHeight w:val="320"/>
          <w:jc w:val="center"/>
        </w:trPr>
        <w:tc>
          <w:tcPr>
            <w:tcW w:w="720" w:type="dxa"/>
            <w:vAlign w:val="center"/>
          </w:tcPr>
          <w:p w14:paraId="0802CB0A" w14:textId="77777777" w:rsidR="009303D9" w:rsidRDefault="009303D9">
            <w:pPr>
              <w:pStyle w:val="tablecopy"/>
              <w:rPr>
                <w:sz w:val="8"/>
                <w:szCs w:val="8"/>
              </w:rPr>
            </w:pPr>
            <w:r>
              <w:t>copy</w:t>
            </w:r>
          </w:p>
        </w:tc>
        <w:tc>
          <w:tcPr>
            <w:tcW w:w="2340" w:type="dxa"/>
            <w:vAlign w:val="center"/>
          </w:tcPr>
          <w:p w14:paraId="6E33F9D3" w14:textId="77777777" w:rsidR="009303D9" w:rsidRDefault="009303D9">
            <w:pPr>
              <w:pStyle w:val="tablecopy"/>
            </w:pPr>
            <w:r>
              <w:t>More table copy</w:t>
            </w:r>
            <w:r>
              <w:rPr>
                <w:vertAlign w:val="superscript"/>
              </w:rPr>
              <w:t>a</w:t>
            </w:r>
          </w:p>
        </w:tc>
        <w:tc>
          <w:tcPr>
            <w:tcW w:w="900" w:type="dxa"/>
            <w:vAlign w:val="center"/>
          </w:tcPr>
          <w:p w14:paraId="5B040086" w14:textId="77777777" w:rsidR="009303D9" w:rsidRDefault="009303D9">
            <w:pPr>
              <w:rPr>
                <w:sz w:val="16"/>
                <w:szCs w:val="16"/>
              </w:rPr>
            </w:pPr>
          </w:p>
        </w:tc>
        <w:tc>
          <w:tcPr>
            <w:tcW w:w="900" w:type="dxa"/>
            <w:vAlign w:val="center"/>
          </w:tcPr>
          <w:p w14:paraId="4394EBAC" w14:textId="77777777" w:rsidR="009303D9" w:rsidRDefault="009303D9">
            <w:pPr>
              <w:rPr>
                <w:sz w:val="16"/>
                <w:szCs w:val="16"/>
              </w:rPr>
            </w:pPr>
          </w:p>
        </w:tc>
      </w:tr>
    </w:tbl>
    <w:p w14:paraId="09A34C7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8B8E47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822944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19E83B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92EDD5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EF1E50" w14:textId="77777777" w:rsidR="009303D9" w:rsidRDefault="009303D9" w:rsidP="00A059B3">
      <w:pPr>
        <w:pStyle w:val="Heading5"/>
      </w:pPr>
      <w:r w:rsidRPr="005B520E">
        <w:t>References</w:t>
      </w:r>
    </w:p>
    <w:p w14:paraId="386E19D2" w14:textId="324F9771" w:rsidR="000B2167" w:rsidRDefault="000B2167" w:rsidP="000B2167">
      <w:pPr>
        <w:pStyle w:val="BodyText"/>
        <w:spacing w:before="120"/>
        <w:ind w:left="139" w:right="194"/>
      </w:pPr>
      <w:r>
        <w:t xml:space="preserve">CRC Press/Taylor &amp; Francis follows </w:t>
      </w:r>
      <w:r>
        <w:rPr>
          <w:i/>
        </w:rPr>
        <w:t>Chicago Manual of Style, 16</w:t>
      </w:r>
      <w:r>
        <w:rPr>
          <w:i/>
          <w:vertAlign w:val="superscript"/>
        </w:rPr>
        <w:t>th</w:t>
      </w:r>
      <w:r>
        <w:rPr>
          <w:i/>
        </w:rPr>
        <w:t xml:space="preserve"> edition </w:t>
      </w:r>
      <w:r>
        <w:t>for reference style. However, as long as consistent style is maintained within any one work, logical variations are acceptable (please notify us if you are using a style other than Chicago Manual of Style, 16</w:t>
      </w:r>
      <w:r>
        <w:rPr>
          <w:vertAlign w:val="superscript"/>
        </w:rPr>
        <w:t>th</w:t>
      </w:r>
      <w:r>
        <w:t xml:space="preserve"> edition so we can ensure it is retained).</w:t>
      </w:r>
    </w:p>
    <w:p w14:paraId="72E154D8" w14:textId="77777777" w:rsidR="000B2167" w:rsidRDefault="000B2167" w:rsidP="000B2167">
      <w:pPr>
        <w:pStyle w:val="BodyText"/>
        <w:spacing w:line="237" w:lineRule="auto"/>
        <w:ind w:left="139" w:right="460"/>
      </w:pPr>
      <w:r>
        <w:t>Common reference uses for the Chicago Manual of Style, 16</w:t>
      </w:r>
      <w:r>
        <w:rPr>
          <w:vertAlign w:val="superscript"/>
        </w:rPr>
        <w:t>th</w:t>
      </w:r>
      <w:r>
        <w:t xml:space="preserve"> Edition are below. If you require information on a different style, please contact your Project Coordinator.</w:t>
      </w:r>
    </w:p>
    <w:p w14:paraId="1629249F" w14:textId="77777777" w:rsidR="009303D9" w:rsidRPr="005B520E" w:rsidRDefault="009303D9"/>
    <w:p w14:paraId="7DFE055A" w14:textId="77777777" w:rsidR="000B2167" w:rsidRDefault="000B2167" w:rsidP="000B2167">
      <w:pPr>
        <w:pStyle w:val="references"/>
      </w:pPr>
      <w:r>
        <w:rPr>
          <w:b/>
          <w:i/>
        </w:rPr>
        <w:t xml:space="preserve">Authored book: </w:t>
      </w:r>
      <w:r>
        <w:t xml:space="preserve">Woods, D. D. and E. Hollnagel. 2012. </w:t>
      </w:r>
      <w:r>
        <w:rPr>
          <w:i/>
        </w:rPr>
        <w:t>Joint cognitive systems</w:t>
      </w:r>
      <w:r>
        <w:t>. Boca Raton: CRC Press/Taylor &amp; Francis.</w:t>
      </w:r>
    </w:p>
    <w:p w14:paraId="437921C5" w14:textId="77777777" w:rsidR="000B2167" w:rsidRDefault="000B2167" w:rsidP="000B2167">
      <w:pPr>
        <w:pStyle w:val="references"/>
        <w:numPr>
          <w:ilvl w:val="0"/>
          <w:numId w:val="0"/>
        </w:numPr>
        <w:ind w:left="360"/>
        <w:rPr>
          <w:i/>
        </w:rPr>
      </w:pPr>
    </w:p>
    <w:p w14:paraId="13AF7E6D" w14:textId="035087DF" w:rsidR="000B2167" w:rsidRDefault="000B2167" w:rsidP="000B2167">
      <w:pPr>
        <w:pStyle w:val="references"/>
        <w:numPr>
          <w:ilvl w:val="0"/>
          <w:numId w:val="0"/>
        </w:numPr>
        <w:ind w:left="360"/>
      </w:pPr>
      <w:r w:rsidRPr="000B2167">
        <w:rPr>
          <w:i/>
        </w:rPr>
        <w:t xml:space="preserve">In text: </w:t>
      </w:r>
      <w:r>
        <w:t>(Woods and Hollnagel 2012)</w:t>
      </w:r>
    </w:p>
    <w:p w14:paraId="3238B540" w14:textId="77777777" w:rsidR="000B2167" w:rsidRDefault="000B2167" w:rsidP="000B2167">
      <w:pPr>
        <w:pStyle w:val="references"/>
        <w:numPr>
          <w:ilvl w:val="0"/>
          <w:numId w:val="0"/>
        </w:numPr>
        <w:ind w:left="360"/>
      </w:pPr>
    </w:p>
    <w:p w14:paraId="6A7EFD4D" w14:textId="1A112024" w:rsidR="000B2167" w:rsidRDefault="000B2167" w:rsidP="000B2167">
      <w:pPr>
        <w:pStyle w:val="references"/>
      </w:pPr>
      <w:r>
        <w:rPr>
          <w:b/>
          <w:i/>
        </w:rPr>
        <w:t xml:space="preserve">Chapter in multi authored book: </w:t>
      </w:r>
      <w:r>
        <w:t xml:space="preserve">Wiens, J. A. 2005. Avian community ecology: An iconoclastic view. In </w:t>
      </w:r>
      <w:r w:rsidRPr="000B2167">
        <w:rPr>
          <w:i/>
        </w:rPr>
        <w:t>Perspectives in ornithology</w:t>
      </w:r>
      <w:r>
        <w:t>, ed. A. H. Brush, and G. A. Clark, 355–403. Cambridge: Cambridge Univ. Press.</w:t>
      </w:r>
    </w:p>
    <w:p w14:paraId="42243D4D" w14:textId="77777777" w:rsidR="000B2167" w:rsidRDefault="000B2167" w:rsidP="000B2167">
      <w:pPr>
        <w:pStyle w:val="references"/>
        <w:numPr>
          <w:ilvl w:val="0"/>
          <w:numId w:val="0"/>
        </w:numPr>
        <w:ind w:left="360"/>
        <w:rPr>
          <w:i/>
        </w:rPr>
      </w:pPr>
    </w:p>
    <w:p w14:paraId="36B2B125" w14:textId="2F008612" w:rsidR="000B2167" w:rsidRDefault="000B2167" w:rsidP="000B2167">
      <w:pPr>
        <w:pStyle w:val="references"/>
        <w:numPr>
          <w:ilvl w:val="0"/>
          <w:numId w:val="0"/>
        </w:numPr>
        <w:ind w:left="360"/>
      </w:pPr>
      <w:r w:rsidRPr="000B2167">
        <w:rPr>
          <w:i/>
        </w:rPr>
        <w:t xml:space="preserve">Note: </w:t>
      </w:r>
      <w:r>
        <w:t>In Reference section, when there are more than six authors, first three are listed, followed by et al. In text, first author listed followed by et al.</w:t>
      </w:r>
    </w:p>
    <w:p w14:paraId="47E312E0" w14:textId="77777777" w:rsidR="000B2167" w:rsidRDefault="000B2167" w:rsidP="000B2167">
      <w:pPr>
        <w:pStyle w:val="references"/>
        <w:numPr>
          <w:ilvl w:val="0"/>
          <w:numId w:val="0"/>
        </w:numPr>
        <w:ind w:left="360"/>
      </w:pPr>
    </w:p>
    <w:p w14:paraId="64476669" w14:textId="77777777" w:rsidR="000B2167" w:rsidRDefault="000B2167" w:rsidP="000B2167">
      <w:pPr>
        <w:pStyle w:val="references"/>
      </w:pPr>
      <w:r>
        <w:rPr>
          <w:b/>
        </w:rPr>
        <w:t xml:space="preserve">Journals: </w:t>
      </w:r>
      <w:r>
        <w:t xml:space="preserve">Terborgh, J. 2009. Preservation of natural diversity. </w:t>
      </w:r>
      <w:r>
        <w:rPr>
          <w:i/>
        </w:rPr>
        <w:t xml:space="preserve">BioScience </w:t>
      </w:r>
      <w:r>
        <w:t>24:715-22.</w:t>
      </w:r>
    </w:p>
    <w:p w14:paraId="48FD0DA0" w14:textId="77777777" w:rsidR="000B2167" w:rsidRDefault="000B2167" w:rsidP="000B2167">
      <w:pPr>
        <w:pStyle w:val="references"/>
        <w:numPr>
          <w:ilvl w:val="0"/>
          <w:numId w:val="0"/>
        </w:numPr>
        <w:ind w:left="360"/>
        <w:rPr>
          <w:b/>
          <w:i/>
        </w:rPr>
      </w:pPr>
    </w:p>
    <w:p w14:paraId="40743C2F" w14:textId="5808143B" w:rsidR="000B2167" w:rsidRDefault="000B2167" w:rsidP="000B2167">
      <w:pPr>
        <w:pStyle w:val="references"/>
        <w:numPr>
          <w:ilvl w:val="0"/>
          <w:numId w:val="0"/>
        </w:numPr>
        <w:ind w:left="360"/>
      </w:pPr>
      <w:r w:rsidRPr="000B2167">
        <w:rPr>
          <w:b/>
          <w:i/>
        </w:rPr>
        <w:t xml:space="preserve">Electronic journal: </w:t>
      </w:r>
      <w:r>
        <w:t xml:space="preserve">Testa, B., and L. B. Kier. 2013. Emergence and dissolvence in the self-organisation of complex systems. </w:t>
      </w:r>
      <w:r w:rsidRPr="000B2167">
        <w:rPr>
          <w:i/>
        </w:rPr>
        <w:t xml:space="preserve">Entropy </w:t>
      </w:r>
      <w:r>
        <w:t xml:space="preserve">2, no. 1 (March): 1-25. </w:t>
      </w:r>
      <w:hyperlink r:id="rId14">
        <w:r>
          <w:t>http://www.mdpi.org/entropy/papers/e2010001.pdf.</w:t>
        </w:r>
      </w:hyperlink>
    </w:p>
    <w:p w14:paraId="568628A1" w14:textId="77777777" w:rsidR="000B2167" w:rsidRDefault="000B2167" w:rsidP="000B2167">
      <w:pPr>
        <w:pStyle w:val="references"/>
        <w:numPr>
          <w:ilvl w:val="0"/>
          <w:numId w:val="0"/>
        </w:numPr>
        <w:ind w:left="360"/>
      </w:pPr>
    </w:p>
    <w:p w14:paraId="28CACB9B" w14:textId="77777777" w:rsidR="000B2167" w:rsidRPr="000B2167" w:rsidRDefault="000B2167" w:rsidP="000B2167">
      <w:pPr>
        <w:pStyle w:val="references"/>
        <w:rPr>
          <w:i/>
          <w:iCs/>
        </w:rPr>
      </w:pPr>
      <w:r w:rsidRPr="000B2167">
        <w:rPr>
          <w:b/>
          <w:bCs/>
        </w:rPr>
        <w:t xml:space="preserve"> Unpublished Documents</w:t>
      </w:r>
      <w:r w:rsidRPr="000B2167">
        <w:rPr>
          <w:i/>
          <w:iCs/>
        </w:rPr>
        <w:t>:</w:t>
      </w:r>
      <w:r>
        <w:t>Schwartz, G. J. 2012. Multiwavelength analyses of classical carbon-oxygen novae. PhD diss., Arizona State Univ.</w:t>
      </w:r>
    </w:p>
    <w:p w14:paraId="18D5AAD9" w14:textId="77777777" w:rsidR="000B2167" w:rsidRDefault="000B2167" w:rsidP="000B2167">
      <w:pPr>
        <w:pStyle w:val="references"/>
        <w:numPr>
          <w:ilvl w:val="0"/>
          <w:numId w:val="0"/>
        </w:numPr>
        <w:ind w:left="360"/>
      </w:pPr>
    </w:p>
    <w:p w14:paraId="7F19F133" w14:textId="16BE2D1F" w:rsidR="000B2167" w:rsidRDefault="000B2167" w:rsidP="000B2167">
      <w:pPr>
        <w:pStyle w:val="references"/>
        <w:numPr>
          <w:ilvl w:val="0"/>
          <w:numId w:val="0"/>
        </w:numPr>
        <w:ind w:left="360"/>
      </w:pPr>
      <w:r>
        <w:t>O’Guinn, T. C. 2014. Touching greatness. Paper presented at the annual meeting of the American Psychological Association, New York.</w:t>
      </w:r>
    </w:p>
    <w:p w14:paraId="01C8FDD3" w14:textId="77777777" w:rsidR="000B2167" w:rsidRPr="000B2167" w:rsidRDefault="000B2167" w:rsidP="000B2167">
      <w:pPr>
        <w:pStyle w:val="references"/>
        <w:numPr>
          <w:ilvl w:val="0"/>
          <w:numId w:val="0"/>
        </w:numPr>
        <w:ind w:left="360"/>
        <w:rPr>
          <w:i/>
          <w:iCs/>
        </w:rPr>
      </w:pPr>
    </w:p>
    <w:p w14:paraId="72F79822" w14:textId="439419BE" w:rsidR="000B2167" w:rsidRPr="000B2167" w:rsidRDefault="000B2167" w:rsidP="000B2167">
      <w:pPr>
        <w:pStyle w:val="references"/>
        <w:jc w:val="left"/>
      </w:pPr>
      <w:r w:rsidRPr="000B2167">
        <w:t xml:space="preserve"> </w:t>
      </w:r>
      <w:r w:rsidRPr="000B2167">
        <w:rPr>
          <w:b/>
          <w:bCs/>
        </w:rPr>
        <w:t>Online Documents</w:t>
      </w:r>
      <w:r w:rsidRPr="000B2167">
        <w:t>: Adamic, L. A., and B. A. Huberman. 2006. The nature of markets in the World Wide Web. Working paper, Xerox Palo Alto</w:t>
      </w:r>
      <w:r>
        <w:t xml:space="preserve"> </w:t>
      </w:r>
      <w:r w:rsidRPr="000B2167">
        <w:t>Research</w:t>
      </w:r>
      <w:r>
        <w:t xml:space="preserve"> </w:t>
      </w:r>
      <w:r w:rsidRPr="000B2167">
        <w:t>Center.</w:t>
      </w:r>
      <w:r>
        <w:t xml:space="preserve"> </w:t>
      </w:r>
      <w:hyperlink r:id="rId15" w:history="1">
        <w:r w:rsidRPr="00E94D23">
          <w:rPr>
            <w:rStyle w:val="Hyperlink"/>
          </w:rPr>
          <w:t xml:space="preserve">http://www.parc.xerox.com/istl/groups/iea/www/webmarkets.html </w:t>
        </w:r>
      </w:hyperlink>
      <w:r w:rsidRPr="000B2167">
        <w:t>(accessed March 12, 2014).</w:t>
      </w:r>
    </w:p>
    <w:p w14:paraId="165F1AB8" w14:textId="77777777" w:rsidR="000B2167" w:rsidRPr="000B2167" w:rsidRDefault="000B2167" w:rsidP="000B2167"/>
    <w:p w14:paraId="6521ABE3" w14:textId="736F8812" w:rsidR="000B2167" w:rsidRDefault="000B2167" w:rsidP="000B2167">
      <w:pPr>
        <w:pStyle w:val="Heading2"/>
        <w:numPr>
          <w:ilvl w:val="0"/>
          <w:numId w:val="0"/>
        </w:numPr>
        <w:spacing w:before="1"/>
        <w:ind w:left="288"/>
        <w:rPr>
          <w:rFonts w:eastAsia="MS Mincho"/>
          <w:i w:val="0"/>
          <w:iCs w:val="0"/>
          <w:sz w:val="16"/>
          <w:szCs w:val="16"/>
        </w:rPr>
      </w:pPr>
      <w:r w:rsidRPr="000B2167">
        <w:rPr>
          <w:rFonts w:eastAsia="MS Mincho"/>
          <w:i w:val="0"/>
          <w:iCs w:val="0"/>
          <w:sz w:val="16"/>
          <w:szCs w:val="16"/>
        </w:rPr>
        <w:t>U.S. Census Bureau. 2013. Health insurance coverage status and type of coverage by sex, race, and Hispanic origin. Health Insurance Historical Table</w:t>
      </w:r>
      <w:r>
        <w:rPr>
          <w:rFonts w:eastAsia="MS Mincho"/>
          <w:i w:val="0"/>
          <w:iCs w:val="0"/>
          <w:sz w:val="16"/>
          <w:szCs w:val="16"/>
        </w:rPr>
        <w:t xml:space="preserve">1. </w:t>
      </w:r>
      <w:hyperlink r:id="rId16" w:history="1">
        <w:r w:rsidRPr="00E94D23">
          <w:rPr>
            <w:rStyle w:val="Hyperlink"/>
            <w:rFonts w:eastAsia="MS Mincho"/>
            <w:i w:val="0"/>
            <w:iCs w:val="0"/>
            <w:sz w:val="16"/>
            <w:szCs w:val="16"/>
          </w:rPr>
          <w:t>http://www.census.gov/hhes/hlthins/historic/hihisttl.html.</w:t>
        </w:r>
      </w:hyperlink>
    </w:p>
    <w:p w14:paraId="18C4199F" w14:textId="77777777" w:rsidR="000B2167" w:rsidRPr="000B2167" w:rsidRDefault="000B2167" w:rsidP="000B2167"/>
    <w:p w14:paraId="14B15B1B" w14:textId="76C3DD96" w:rsidR="00836367" w:rsidRPr="000B2167" w:rsidRDefault="00836367" w:rsidP="000B2167">
      <w:pPr>
        <w:pStyle w:val="references"/>
        <w:ind w:left="354" w:hanging="354"/>
        <w:sectPr w:rsidR="00836367" w:rsidRPr="000B2167" w:rsidSect="003B4E04">
          <w:type w:val="continuous"/>
          <w:pgSz w:w="11906" w:h="16838" w:code="9"/>
          <w:pgMar w:top="1080" w:right="907" w:bottom="1440" w:left="907" w:header="720" w:footer="720" w:gutter="0"/>
          <w:cols w:num="2" w:space="360"/>
          <w:docGrid w:linePitch="360"/>
        </w:sectPr>
      </w:pPr>
    </w:p>
    <w:p w14:paraId="7300C836" w14:textId="77777777" w:rsidR="009303D9" w:rsidRDefault="000C442B" w:rsidP="000B2167">
      <w:pPr>
        <w:jc w:val="both"/>
      </w:pPr>
      <w:r>
        <w:rPr>
          <w:noProof/>
        </w:rPr>
        <mc:AlternateContent>
          <mc:Choice Requires="wps">
            <w:drawing>
              <wp:anchor distT="0" distB="0" distL="114300" distR="114300" simplePos="0" relativeHeight="251657728" behindDoc="1" locked="0" layoutInCell="1" allowOverlap="1" wp14:anchorId="000DC2AC" wp14:editId="2AF1E820">
                <wp:simplePos x="0" y="0"/>
                <wp:positionH relativeFrom="margin">
                  <wp:align>left</wp:align>
                </wp:positionH>
                <wp:positionV relativeFrom="paragraph">
                  <wp:posOffset>251460</wp:posOffset>
                </wp:positionV>
                <wp:extent cx="3200400" cy="1143000"/>
                <wp:effectExtent l="0" t="0" r="0" b="0"/>
                <wp:wrapTight wrapText="bothSides">
                  <wp:wrapPolygon edited="0">
                    <wp:start x="0" y="0"/>
                    <wp:lineTo x="0" y="21600"/>
                    <wp:lineTo x="21600" y="21600"/>
                    <wp:lineTo x="21600" y="0"/>
                    <wp:lineTo x="0" y="0"/>
                  </wp:wrapPolygon>
                </wp:wrapTight>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49EBA8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65BB3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C2AC" id="_x0000_t202" coordsize="21600,21600" o:spt="202" path="m,l,21600r21600,l21600,xe">
                <v:stroke joinstyle="miter"/>
                <v:path gradientshapeok="t" o:connecttype="rect"/>
              </v:shapetype>
              <v:shape id="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eDFQIAADIEAAAOAAAAZHJzL2Uyb0RvYy54bWysU9uO0zAQfUfiHyy/06TdFrpR0xXsUoS0&#10;XKSFD5jYTmPhG7bbZPn6HTvdNsAbIg+WJ+f4eObMeHMzaEWOwgdpTU3ns5ISYZjl0uxr+v3b7tWa&#10;khDBcFDWiJo+ikBvti9fbHpXiYXtrOLCExQxoepdTbsYXVUUgXVCQ5hZJwyCrfUaIoZ+X3APPapr&#10;VSzK8nXRW8+dt0yEgH/vRpBus37bCha/tG0QkaiaYm4xrz6vTVqL7QaqvQfXSXZKA/4hCw3S4KVn&#10;qTuIQA5e/iWlJfM22DbOmNWFbVvJRK4Bq5mXf1Tz0IETuRY0J7izTeH/ybLPx6+eSI69o8SAxhaR&#10;dXKld6FC8MEhHId3dkiMVGFw95b9CEgpJpzxQEjspv9kOerAIdp8Ymi9TiexWoIy2IbHs/ViiITh&#10;zyts5rJEiCE2ny+vSgzSHVA9H3c+xA/CapI2NfXY2ywPx/sQR+ozJedpleQ7qVQO/L65VZ4cAedg&#10;l7+TepjSlCF9Ta9Xi9VY6hQLUwnM7pLgbxJaRhxoJXVN12cSVJ0A/t5wTBOqCFKNe6xOmZORybvR&#10;xTg0AxKTu43lj2ipt+Pg4kPDTWf9L0p6HNqahp8H8IIS9dHgVFzPl8s05TlYrt4sMPBTpJkiYBhK&#10;1TRSMm5v4/gyDs7LfYc3jR039i22spXZ5EtWp7xxMHObTo8oTf40zqzLU98+AQAA//8DAFBLAwQU&#10;AAYACAAAACEAP2pXJ90AAAAHAQAADwAAAGRycy9kb3ducmV2LnhtbEyPzU7DMBCE70i8g7VI3KjT&#10;hlYQsqn4ERJCSBVNH8CNlzgQr6PYbcPbs5zgODOrmW/L9eR7daQxdoER5rMMFHETbMctwq5+vroB&#10;FZNha/rAhPBNEdbV+VlpChtO/E7HbWqVlHAsDIJLaSi0jo0jb+IsDMSSfYTRmyRybLUdzUnKfa8X&#10;WbbS3nQsC84M9Oio+doePMLTZ77ZceesH/KX17p+m5Yb/YB4eTHd34FKNKW/Y/jFF3SohGkfDmyj&#10;6hHkkYSQ365ASbrMrsXYIyzm4uiq1P/5qx8AAAD//wMAUEsBAi0AFAAGAAgAAAAhALaDOJL+AAAA&#10;4QEAABMAAAAAAAAAAAAAAAAAAAAAAFtDb250ZW50X1R5cGVzXS54bWxQSwECLQAUAAYACAAAACEA&#10;OP0h/9YAAACUAQAACwAAAAAAAAAAAAAAAAAvAQAAX3JlbHMvLnJlbHNQSwECLQAUAAYACAAAACEA&#10;AO53gxUCAAAyBAAADgAAAAAAAAAAAAAAAAAuAgAAZHJzL2Uyb0RvYy54bWxQSwECLQAUAAYACAAA&#10;ACEAP2pXJ90AAAAHAQAADwAAAAAAAAAAAAAAAABvBAAAZHJzL2Rvd25yZXYueG1sUEsFBgAAAAAE&#10;AAQA8wAAAHkFAAAAAA==&#10;">
                <v:path arrowok="t"/>
                <v:textbox>
                  <w:txbxContent>
                    <w:p w14:paraId="649EBA8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65BB3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B316F" w14:textId="77777777" w:rsidR="00633A19" w:rsidRDefault="00633A19" w:rsidP="001A3B3D">
      <w:r>
        <w:separator/>
      </w:r>
    </w:p>
  </w:endnote>
  <w:endnote w:type="continuationSeparator" w:id="0">
    <w:p w14:paraId="1018F1B6" w14:textId="77777777" w:rsidR="00633A19" w:rsidRDefault="00633A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2D1CE" w14:textId="77777777" w:rsidR="000B2167" w:rsidRDefault="000B2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5285" w14:textId="35AD6FE5" w:rsidR="00E010E3" w:rsidRDefault="00E010E3">
    <w:pPr>
      <w:pStyle w:val="Footer"/>
    </w:pPr>
    <w:r>
      <w:rPr>
        <w:noProof/>
      </w:rPr>
      <mc:AlternateContent>
        <mc:Choice Requires="wps">
          <w:drawing>
            <wp:anchor distT="0" distB="0" distL="114300" distR="114300" simplePos="0" relativeHeight="251659264" behindDoc="0" locked="0" layoutInCell="0" allowOverlap="1" wp14:anchorId="59AA727D" wp14:editId="27A7E84B">
              <wp:simplePos x="0" y="0"/>
              <wp:positionH relativeFrom="page">
                <wp:posOffset>0</wp:posOffset>
              </wp:positionH>
              <wp:positionV relativeFrom="page">
                <wp:posOffset>10234930</wp:posOffset>
              </wp:positionV>
              <wp:extent cx="7560310" cy="266700"/>
              <wp:effectExtent l="0" t="0" r="0" b="0"/>
              <wp:wrapNone/>
              <wp:docPr id="2" name="MSIPCM32df4bdfae9fc5512bdc8e9d" descr="{&quot;HashCode&quot;:-13484030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7BBC59" w14:textId="44753360"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9AA727D" id="_x0000_t202" coordsize="21600,21600" o:spt="202" path="m,l,21600r21600,l21600,xe">
              <v:stroke joinstyle="miter"/>
              <v:path gradientshapeok="t" o:connecttype="rect"/>
            </v:shapetype>
            <v:shape id="MSIPCM32df4bdfae9fc5512bdc8e9d" o:spid="_x0000_s1027" type="#_x0000_t202" alt="{&quot;HashCode&quot;:-1348403003,&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g6tAIAAEgFAAAOAAAAZHJzL2Uyb0RvYy54bWysVMlu2zAQvRfoPxA89NREkrfYbuTAdeAm&#10;gJMYcIqcaS6WAIlkSDqWW/TfO6Qop017KnohZ+Msb2Z4edXUFXrhxpZK5jg7TzHikipWyl2Ovz4u&#10;z8YYWUckI5WSPMdHbvHV7P27y4Oe8p4qVMW4QeBE2ulB57hwTk+TxNKC18SeK80lKIUyNXHAml3C&#10;DDmA97pKemk6Sg7KMG0U5daC9LpV4lnwLwSn7kEIyx2qcgy5uXCacG79mcwuyXRniC5KGtMg/5BF&#10;TUoJQU+urokjaG/KP1zVJTXKKuHOqaoTJURJeagBqsnSN9VsCqJ5qAXAsfoEk/1/bun9y9qgkuW4&#10;h5EkNbTobnO7Xtz1e0wMtkwQPhF0OMx6W0bHfMIwYtxSQPD7h+e9cp9uiC0WivGWm55l/cF4kPbT&#10;tP8xGvByV7ioHg9gRKLiqWSuiPLhZHiSrytCec1l96Y1WSrluGnp6OBWMt5EB+21NmVNzPE3qw3M&#10;AAxntMvi20eloyQ9BV5x0cUE4Q8/GwdtpwDRRgNIrvmsGpjxTm5B6FveCFP7G5qJQA9TdjxNFm8c&#10;oiC8GI7SfgYqCrreaHSRhtFLXl9rY90XrmrkiRwbyDoMFHlZWQeZgGln4oNJtSyrKkxvJdEhx6P+&#10;MA0PThp4UUl46Gtoc/WUa7ZNLGyr2BHqMqrdCqvpsoTgK2LdmhhYA8gXVts9wCEqBUFUpDAqlPn2&#10;N7m3h+kELUYHWKsc2+c9MRyj6lbC3PaGgxRqRy5wQJhATLLBAJhtJ5X7eqFgZTP4PTQNpLd1VUcK&#10;o+onWP25DwcqIikEzfG2IxcOOFDA10H5fB5oWDlN3EpuNPWuPY4e08fmiRgdgXfQsnvVbR6ZvsG/&#10;tW07MN87JcrQHI9sC2cEHNY19Cx+Lf4/+JUPVq8f4Own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FmEaDq0AgAASAUA&#10;AA4AAAAAAAAAAAAAAAAALgIAAGRycy9lMm9Eb2MueG1sUEsBAi0AFAAGAAgAAAAhAGARxibeAAAA&#10;CwEAAA8AAAAAAAAAAAAAAAAADgUAAGRycy9kb3ducmV2LnhtbFBLBQYAAAAABAAEAPMAAAAZBgAA&#10;AAA=&#10;" o:allowincell="f" filled="f" stroked="f" strokeweight=".5pt">
              <v:textbox inset="20pt,0,,0">
                <w:txbxContent>
                  <w:p w14:paraId="757BBC59" w14:textId="44753360"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B40AF" w14:textId="34246586" w:rsidR="001A3B3D" w:rsidRPr="006F6D3D" w:rsidRDefault="00E010E3" w:rsidP="0056610F">
    <w:pPr>
      <w:pStyle w:val="Footer"/>
      <w:jc w:val="left"/>
      <w:rPr>
        <w:sz w:val="16"/>
        <w:szCs w:val="16"/>
      </w:rPr>
    </w:pPr>
    <w:r>
      <w:rPr>
        <w:noProof/>
        <w:sz w:val="16"/>
        <w:szCs w:val="16"/>
      </w:rPr>
      <mc:AlternateContent>
        <mc:Choice Requires="wps">
          <w:drawing>
            <wp:anchor distT="0" distB="0" distL="114300" distR="114300" simplePos="0" relativeHeight="251660288" behindDoc="0" locked="0" layoutInCell="0" allowOverlap="1" wp14:anchorId="73579061" wp14:editId="19BC9908">
              <wp:simplePos x="0" y="0"/>
              <wp:positionH relativeFrom="page">
                <wp:posOffset>0</wp:posOffset>
              </wp:positionH>
              <wp:positionV relativeFrom="page">
                <wp:posOffset>10234930</wp:posOffset>
              </wp:positionV>
              <wp:extent cx="7560310" cy="266700"/>
              <wp:effectExtent l="0" t="0" r="0" b="0"/>
              <wp:wrapNone/>
              <wp:docPr id="3" name="MSIPCM19f54959ba542ccbd2b4bbb8" descr="{&quot;HashCode&quot;:-13484030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EAF83E" w14:textId="019D1ED4"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3579061" id="_x0000_t202" coordsize="21600,21600" o:spt="202" path="m,l,21600r21600,l21600,xe">
              <v:stroke joinstyle="miter"/>
              <v:path gradientshapeok="t" o:connecttype="rect"/>
            </v:shapetype>
            <v:shape id="MSIPCM19f54959ba542ccbd2b4bbb8" o:spid="_x0000_s1028" type="#_x0000_t202" alt="{&quot;HashCode&quot;:-1348403003,&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AItgIAAFEFAAAOAAAAZHJzL2Uyb0RvYy54bWysVFtP2zAUfp+0/2D5YU+DpG1SaEeKuiI2&#10;pAKVysSz4zhNpMTH2C4Nm/bfd+w4ZWJ7mvaSnJvP5TuXi8uubciz0KYGmdHRaUyJkByKWu4y+u3h&#10;+uScEmOZLFgDUmT0RRh6uXj/7uKg5mIMFTSF0ASdSDM/qIxW1qp5FBleiZaZU1BCorIE3TKLrN5F&#10;hWYH9N420TiOp9EBdKE0cGEMSq96JV14/2UpuL0vSyMsaTKKuVn/1f6bu2+0uGDznWaqqnlIg/1D&#10;Fi2rJQY9urpilpG9rv9w1dZcg4HSnnJoIyjLmgtfA1Yzit9Us62YEr4WBMeoI0zm/7nld88bTeoi&#10;oxNKJGuxRbfbm83qdjQr02SWznKWJmPO82KcJ3meYzsLYTgi+OPD0x7sp6/MVCsoRM/NT0aT5DyJ&#10;J3E8+RgMRL2rbFCfJzgiQfFYF7YK8nSWHuWbhnHRCjm86U2uAazQPR0c3MhCdMFBMKq1sRu2C9kE&#10;uy1OAY5nsBwF6QOoIImPodeiHKKi8KebjoMycwRpqxAm232GDqd8kBsUuqZ3pW7dH9tJUI9z9nKc&#10;LdFZwlF4lk7jyQhVHHXj6fQs9sMXvb5WmPsXAS1xREY1Zu1Hij2vjcVM0HQwccEkXNdN4+e3keSQ&#10;0ekkjf2DowZfNBIfuhr6XB1lu7zzHT/WkUPxguVp6NfDKH7tgFwzB6bGfcC0ccftPX7KBjAWBIqS&#10;CvT3v8mdPY4paik54H5l1DztmRaUNDcSB3icJjFCQKznkNCemI2SBJl8kMp9uwLc3RGeEcU96Wxt&#10;M5ClhvYRb8DShUMVkxyDZjQfyJVFDhV4Q7hYLj2Nu6eYXcut4s61g9NB+9A9Mq0C/hY7dwfDCrL5&#10;mzb0tn0jlnsLZe175ADu4Qy449761oUb4w7D77y3er2Ei18AAAD//wMAUEsDBBQABgAIAAAAIQBg&#10;EcYm3gAAAAsBAAAPAAAAZHJzL2Rvd25yZXYueG1sTI/BTsMwEETvSPyDtUjcqGMQURviVFWlIsEB&#10;QegHuPE2SWuvI9tpw9/jnOC4M6PZeeV6soZd0IfekQSxyIAhNU731ErYf+8elsBCVKSVcYQSfjDA&#10;urq9KVWh3ZW+8FLHlqUSCoWS0MU4FJyHpkOrwsINSMk7Om9VTKdvufbqmsqt4Y9ZlnOrekofOjXg&#10;tsPmXI9WwgZHEd7M7vTa7+vP99NH9Hq7kvL+btq8AIs4xb8wzPPTdKjSpoMbSQdmJCSQmNRciEQw&#10;+2KV5cAOs/b8tARelfw/Q/ULAAD//wMAUEsBAi0AFAAGAAgAAAAhALaDOJL+AAAA4QEAABMAAAAA&#10;AAAAAAAAAAAAAAAAAFtDb250ZW50X1R5cGVzXS54bWxQSwECLQAUAAYACAAAACEAOP0h/9YAAACU&#10;AQAACwAAAAAAAAAAAAAAAAAvAQAAX3JlbHMvLnJlbHNQSwECLQAUAAYACAAAACEAbrrACLYCAABR&#10;BQAADgAAAAAAAAAAAAAAAAAuAgAAZHJzL2Uyb0RvYy54bWxQSwECLQAUAAYACAAAACEAYBHGJt4A&#10;AAALAQAADwAAAAAAAAAAAAAAAAAQBQAAZHJzL2Rvd25yZXYueG1sUEsFBgAAAAAEAAQA8wAAABsG&#10;AAAAAA==&#10;" o:allowincell="f" filled="f" stroked="f" strokeweight=".5pt">
              <v:textbox inset="20pt,0,,0">
                <w:txbxContent>
                  <w:p w14:paraId="27EAF83E" w14:textId="019D1ED4"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v:textbox>
              <w10:wrap anchorx="page" anchory="page"/>
            </v:shape>
          </w:pict>
        </mc:Fallback>
      </mc:AlternateContent>
    </w:r>
    <w:r w:rsidR="001A3B3D"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2CA7A" w14:textId="77777777" w:rsidR="00633A19" w:rsidRDefault="00633A19" w:rsidP="001A3B3D">
      <w:r>
        <w:separator/>
      </w:r>
    </w:p>
  </w:footnote>
  <w:footnote w:type="continuationSeparator" w:id="0">
    <w:p w14:paraId="4832D7D5" w14:textId="77777777" w:rsidR="00633A19" w:rsidRDefault="00633A1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6B718" w14:textId="77777777" w:rsidR="000B2167" w:rsidRDefault="000B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ED6F6" w14:textId="77777777" w:rsidR="000B2167" w:rsidRDefault="000B2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A749F" w14:textId="77777777" w:rsidR="000B2167" w:rsidRDefault="000B2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691358"/>
    <w:multiLevelType w:val="hybridMultilevel"/>
    <w:tmpl w:val="900C8216"/>
    <w:lvl w:ilvl="0" w:tplc="E334D352">
      <w:numFmt w:val="bullet"/>
      <w:lvlText w:val="•"/>
      <w:lvlJc w:val="left"/>
      <w:pPr>
        <w:ind w:left="591" w:hanging="360"/>
      </w:pPr>
      <w:rPr>
        <w:rFonts w:ascii="Arial" w:eastAsia="Arial" w:hAnsi="Arial" w:cs="Arial" w:hint="default"/>
        <w:w w:val="99"/>
        <w:sz w:val="20"/>
        <w:szCs w:val="20"/>
        <w:lang w:val="en-US" w:eastAsia="en-US" w:bidi="ar-SA"/>
      </w:rPr>
    </w:lvl>
    <w:lvl w:ilvl="1" w:tplc="981AA48A">
      <w:numFmt w:val="bullet"/>
      <w:lvlText w:val="•"/>
      <w:lvlJc w:val="left"/>
      <w:pPr>
        <w:ind w:left="1504" w:hanging="360"/>
      </w:pPr>
      <w:rPr>
        <w:rFonts w:hint="default"/>
        <w:lang w:val="en-US" w:eastAsia="en-US" w:bidi="ar-SA"/>
      </w:rPr>
    </w:lvl>
    <w:lvl w:ilvl="2" w:tplc="E312CE30">
      <w:numFmt w:val="bullet"/>
      <w:lvlText w:val="•"/>
      <w:lvlJc w:val="left"/>
      <w:pPr>
        <w:ind w:left="2408" w:hanging="360"/>
      </w:pPr>
      <w:rPr>
        <w:rFonts w:hint="default"/>
        <w:lang w:val="en-US" w:eastAsia="en-US" w:bidi="ar-SA"/>
      </w:rPr>
    </w:lvl>
    <w:lvl w:ilvl="3" w:tplc="81D2BACE">
      <w:numFmt w:val="bullet"/>
      <w:lvlText w:val="•"/>
      <w:lvlJc w:val="left"/>
      <w:pPr>
        <w:ind w:left="3312" w:hanging="360"/>
      </w:pPr>
      <w:rPr>
        <w:rFonts w:hint="default"/>
        <w:lang w:val="en-US" w:eastAsia="en-US" w:bidi="ar-SA"/>
      </w:rPr>
    </w:lvl>
    <w:lvl w:ilvl="4" w:tplc="E7ECDBB0">
      <w:numFmt w:val="bullet"/>
      <w:lvlText w:val="•"/>
      <w:lvlJc w:val="left"/>
      <w:pPr>
        <w:ind w:left="4216" w:hanging="360"/>
      </w:pPr>
      <w:rPr>
        <w:rFonts w:hint="default"/>
        <w:lang w:val="en-US" w:eastAsia="en-US" w:bidi="ar-SA"/>
      </w:rPr>
    </w:lvl>
    <w:lvl w:ilvl="5" w:tplc="6D889C1E">
      <w:numFmt w:val="bullet"/>
      <w:lvlText w:val="•"/>
      <w:lvlJc w:val="left"/>
      <w:pPr>
        <w:ind w:left="5120" w:hanging="360"/>
      </w:pPr>
      <w:rPr>
        <w:rFonts w:hint="default"/>
        <w:lang w:val="en-US" w:eastAsia="en-US" w:bidi="ar-SA"/>
      </w:rPr>
    </w:lvl>
    <w:lvl w:ilvl="6" w:tplc="954E5A08">
      <w:numFmt w:val="bullet"/>
      <w:lvlText w:val="•"/>
      <w:lvlJc w:val="left"/>
      <w:pPr>
        <w:ind w:left="6024" w:hanging="360"/>
      </w:pPr>
      <w:rPr>
        <w:rFonts w:hint="default"/>
        <w:lang w:val="en-US" w:eastAsia="en-US" w:bidi="ar-SA"/>
      </w:rPr>
    </w:lvl>
    <w:lvl w:ilvl="7" w:tplc="81E4A3A4">
      <w:numFmt w:val="bullet"/>
      <w:lvlText w:val="•"/>
      <w:lvlJc w:val="left"/>
      <w:pPr>
        <w:ind w:left="6928" w:hanging="360"/>
      </w:pPr>
      <w:rPr>
        <w:rFonts w:hint="default"/>
        <w:lang w:val="en-US" w:eastAsia="en-US" w:bidi="ar-SA"/>
      </w:rPr>
    </w:lvl>
    <w:lvl w:ilvl="8" w:tplc="78EC85F6">
      <w:numFmt w:val="bullet"/>
      <w:lvlText w:val="•"/>
      <w:lvlJc w:val="left"/>
      <w:pPr>
        <w:ind w:left="7832" w:hanging="360"/>
      </w:pPr>
      <w:rPr>
        <w:rFonts w:hint="default"/>
        <w:lang w:val="en-US" w:eastAsia="en-US" w:bidi="ar-SA"/>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rCwNDMzMzQ0NjFT0lEKTi0uzszPAykwrQUAYNH6PiwAAAA="/>
  </w:docVars>
  <w:rsids>
    <w:rsidRoot w:val="009303D9"/>
    <w:rsid w:val="0004781E"/>
    <w:rsid w:val="0008758A"/>
    <w:rsid w:val="000B2167"/>
    <w:rsid w:val="000C1E68"/>
    <w:rsid w:val="000C442B"/>
    <w:rsid w:val="001A2EFD"/>
    <w:rsid w:val="001A3B3D"/>
    <w:rsid w:val="001B67DC"/>
    <w:rsid w:val="002254A9"/>
    <w:rsid w:val="00233D97"/>
    <w:rsid w:val="002347A2"/>
    <w:rsid w:val="00261532"/>
    <w:rsid w:val="00263C2C"/>
    <w:rsid w:val="002850E3"/>
    <w:rsid w:val="0030037C"/>
    <w:rsid w:val="00354FCF"/>
    <w:rsid w:val="003A19E2"/>
    <w:rsid w:val="003B4E04"/>
    <w:rsid w:val="003F5A08"/>
    <w:rsid w:val="00420716"/>
    <w:rsid w:val="004325FB"/>
    <w:rsid w:val="004432BA"/>
    <w:rsid w:val="0044407E"/>
    <w:rsid w:val="00447BB9"/>
    <w:rsid w:val="0046031D"/>
    <w:rsid w:val="004D72B5"/>
    <w:rsid w:val="00551B7F"/>
    <w:rsid w:val="0056610F"/>
    <w:rsid w:val="005754ED"/>
    <w:rsid w:val="00575BCA"/>
    <w:rsid w:val="005B0344"/>
    <w:rsid w:val="005B520E"/>
    <w:rsid w:val="005E2800"/>
    <w:rsid w:val="00605825"/>
    <w:rsid w:val="00633A19"/>
    <w:rsid w:val="00645D22"/>
    <w:rsid w:val="00651A08"/>
    <w:rsid w:val="00654204"/>
    <w:rsid w:val="006573E7"/>
    <w:rsid w:val="00670434"/>
    <w:rsid w:val="006B6B66"/>
    <w:rsid w:val="006F6D3D"/>
    <w:rsid w:val="00715BEA"/>
    <w:rsid w:val="00740EEA"/>
    <w:rsid w:val="00794804"/>
    <w:rsid w:val="007B33F1"/>
    <w:rsid w:val="007B6DDA"/>
    <w:rsid w:val="007C0308"/>
    <w:rsid w:val="007C2FF2"/>
    <w:rsid w:val="007D6232"/>
    <w:rsid w:val="007E11A1"/>
    <w:rsid w:val="007F1F99"/>
    <w:rsid w:val="007F768F"/>
    <w:rsid w:val="0080791D"/>
    <w:rsid w:val="00821463"/>
    <w:rsid w:val="00836367"/>
    <w:rsid w:val="00873603"/>
    <w:rsid w:val="008A2C7D"/>
    <w:rsid w:val="008C4B23"/>
    <w:rsid w:val="008F6E2C"/>
    <w:rsid w:val="009303D9"/>
    <w:rsid w:val="00933C64"/>
    <w:rsid w:val="00972203"/>
    <w:rsid w:val="009F1D79"/>
    <w:rsid w:val="00A059B3"/>
    <w:rsid w:val="00A36F7C"/>
    <w:rsid w:val="00AE3409"/>
    <w:rsid w:val="00B11A60"/>
    <w:rsid w:val="00B22613"/>
    <w:rsid w:val="00B70F9E"/>
    <w:rsid w:val="00B768D1"/>
    <w:rsid w:val="00B94B13"/>
    <w:rsid w:val="00BA041C"/>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7DA9"/>
    <w:rsid w:val="00E010E3"/>
    <w:rsid w:val="00E07383"/>
    <w:rsid w:val="00E165BC"/>
    <w:rsid w:val="00E61E12"/>
    <w:rsid w:val="00E7596C"/>
    <w:rsid w:val="00E878F2"/>
    <w:rsid w:val="00ED0149"/>
    <w:rsid w:val="00EF7DE3"/>
    <w:rsid w:val="00F03103"/>
    <w:rsid w:val="00F271DE"/>
    <w:rsid w:val="00F5389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891A3B8"/>
  <w15:chartTrackingRefBased/>
  <w15:docId w15:val="{B90F419C-9F3A-4944-8389-EF8CCC59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B2167"/>
    <w:rPr>
      <w:color w:val="0563C1" w:themeColor="hyperlink"/>
      <w:u w:val="single"/>
    </w:rPr>
  </w:style>
  <w:style w:type="character" w:styleId="UnresolvedMention">
    <w:name w:val="Unresolved Mention"/>
    <w:basedOn w:val="DefaultParagraphFont"/>
    <w:uiPriority w:val="99"/>
    <w:semiHidden/>
    <w:unhideWhenUsed/>
    <w:rsid w:val="000B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ensus.gov/hhes/hlthins/historic/hihistt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arc.xerox.com/istl/groups/iea/www/webmarkets.html%2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dpi.org/entropy/papers/e201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3131-45F1-4110-A6DC-E84F10D6E22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2333</Words>
  <Characters>12280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Ayub, Aafreen</cp:lastModifiedBy>
  <cp:revision>14</cp:revision>
  <dcterms:created xsi:type="dcterms:W3CDTF">2021-03-04T09:54:00Z</dcterms:created>
  <dcterms:modified xsi:type="dcterms:W3CDTF">2021-04-15T12:44:00Z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Aafreen.Ayub@informa.com</vt:lpwstr>
  </property>
  <property fmtid="{D5CDD505-2E9C-101B-9397-08002B2CF9AE}" pid="5" name="MSIP_Label_181c070e-054b-4d1c-ba4c-fc70b099192e_SetDate">
    <vt:lpwstr>2021-03-04T08:42:48.2269927Z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f425a3dd-f8e8-44c9-89bb-8df9a41334a7</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Aafreen.Ayub@informa.com</vt:lpwstr>
  </property>
  <property fmtid="{D5CDD505-2E9C-101B-9397-08002B2CF9AE}" pid="13" name="MSIP_Label_2bbab825-a111-45e4-86a1-18cee0005896_SetDate">
    <vt:lpwstr>2021-03-04T08:42:48.2269927Z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f425a3dd-f8e8-44c9-89bb-8df9a41334a7</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