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18"/>
          <w:szCs w:val="18"/>
        </w:rPr>
        <w:t xml:space="preserve">ML COMPONENT - TRAINING REPORT</w:t>
      </w:r>
    </w:p>
    <w:p>
      <w:pPr>
        <w:spacing w:after="160"/>
      </w:pPr>
      <w:r>
        <w:rPr>
          <w:b/>
          <w:bCs/>
          <w:color w:val="1A2230"/>
          <w:sz w:val="34"/>
          <w:szCs w:val="34"/>
        </w:rPr>
        <w:t xml:space="preserve">Claim-Veracity Classification for TruthLens AI</w:t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A supervised machine learning component trained on a public benchmark dataset, evaluated against a held-out test set, and integrated into the live application as an independent second signal alongside the RAG + LLM verdict.</w:t>
      </w:r>
    </w:p>
    <w:p>
      <w:pPr>
        <w:pStyle w:val="Heading1"/>
        <w:pBdr>
          <w:bottom w:val="single" w:color="9C7A2E" w:sz="6" w:space="4"/>
        </w:pBdr>
        <w:spacing w:after="120" w:before="260"/>
      </w:pPr>
      <w:r>
        <w:rPr>
          <w:b/>
          <w:bCs/>
          <w:color w:val="1A2230"/>
          <w:sz w:val="28"/>
          <w:szCs w:val="28"/>
        </w:rPr>
        <w:t xml:space="preserve">1. Purpose</w:t>
      </w:r>
    </w:p>
    <w:p>
      <w:pPr>
        <w:spacing w:after="130" w:line="290"/>
      </w:pPr>
      <w:r>
        <w:rPr>
          <w:sz w:val="21"/>
          <w:szCs w:val="21"/>
        </w:rPr>
        <w:t xml:space="preserve">TruthLens AI's primary verdict comes from a retrieval-augmented pipeline: search a knowledge base, then have a language model reason over what was retrieved. That pipeline involves no training on our end - the language model is pre-trained by a third party, and the retrieval step (BM25) is a fixed statistical formula rather than a learned model. This component adds the piece that was missing: an actual supervised model, trained by us, on a real labeled dataset, evaluated with standard classification metrics on data it never saw during training.</w:t>
      </w:r>
    </w:p>
    <w:p>
      <w:pPr>
        <w:pStyle w:val="Heading1"/>
        <w:pBdr>
          <w:bottom w:val="single" w:color="9C7A2E" w:sz="6" w:space="4"/>
        </w:pBdr>
        <w:spacing w:after="120" w:before="260"/>
      </w:pPr>
      <w:r>
        <w:rPr>
          <w:b/>
          <w:bCs/>
          <w:color w:val="1A2230"/>
          <w:sz w:val="28"/>
          <w:szCs w:val="28"/>
        </w:rPr>
        <w:t xml:space="preserve">2. Dataset</w:t>
      </w:r>
    </w:p>
    <w:p>
      <w:pPr>
        <w:spacing w:after="130" w:line="290"/>
      </w:pPr>
      <w:r>
        <w:rPr>
          <w:sz w:val="21"/>
          <w:szCs w:val="21"/>
        </w:rPr>
        <w:t xml:space="preserve">We use the LIAR dataset (Wang, 2017 - “Liar, Liar Pants on Fire”: A New Benchmark Dataset for Fake News Detection, ACL 2017), the standard academic benchmark for short-statement veracity classification. It consists of 12,836 political statements, each collected from PolitiFact.com and hand-labeled by professional fact-checkers on a six-point truthfulness scale.</w:t>
      </w:r>
    </w:p>
    <w:p>
      <w:pPr>
        <w:pStyle w:val="ListParagraph"/>
        <w:numPr>
          <w:ilvl w:val="0"/>
          <w:numId w:val="2"/>
        </w:numPr>
        <w:spacing w:after="70" w:line="275"/>
      </w:pPr>
      <w:r>
        <w:rPr>
          <w:sz w:val="21"/>
          <w:szCs w:val="21"/>
        </w:rPr>
        <w:t xml:space="preserve">Training set: 10,240 statements</w:t>
      </w:r>
    </w:p>
    <w:p>
      <w:pPr>
        <w:pStyle w:val="ListParagraph"/>
        <w:numPr>
          <w:ilvl w:val="0"/>
          <w:numId w:val="2"/>
        </w:numPr>
        <w:spacing w:after="70" w:line="275"/>
      </w:pPr>
      <w:r>
        <w:rPr>
          <w:sz w:val="21"/>
          <w:szCs w:val="21"/>
        </w:rPr>
        <w:t xml:space="preserve">Validation set: 1,284 statements</w:t>
      </w:r>
    </w:p>
    <w:p>
      <w:pPr>
        <w:pStyle w:val="ListParagraph"/>
        <w:numPr>
          <w:ilvl w:val="0"/>
          <w:numId w:val="2"/>
        </w:numPr>
        <w:spacing w:after="70" w:line="275"/>
      </w:pPr>
      <w:r>
        <w:rPr>
          <w:sz w:val="21"/>
          <w:szCs w:val="21"/>
        </w:rPr>
        <w:t xml:space="preserve">Test set: 1,267 statements (held out - used only for final evaluation, never for training or model selection)</w:t>
      </w:r>
    </w:p>
    <w:p>
      <w:pPr>
        <w:pStyle w:val="ListParagraph"/>
        <w:numPr>
          <w:ilvl w:val="0"/>
          <w:numId w:val="2"/>
        </w:numPr>
        <w:spacing w:after="70" w:line="275"/>
      </w:pPr>
      <w:r>
        <w:rPr>
          <w:sz w:val="21"/>
          <w:szCs w:val="21"/>
        </w:rPr>
        <w:t xml:space="preserve">Original labels: pants-fire, false, barely-true, half-true, mostly-true, true</w:t>
      </w:r>
    </w:p>
    <w:p>
      <w:pPr>
        <w:spacing w:after="130" w:line="290"/>
      </w:pPr>
      <w:r>
        <w:rPr>
          <w:sz w:val="21"/>
          <w:szCs w:val="21"/>
        </w:rPr>
        <w:t xml:space="preserve">Because LIAR's six-point scale is finer-grained than TruthLens's own four-verdict scheme, we additionally map the labels onto True / False / Misleading (true+mostly-true → True; false+pants-fire → False; half-true+barely-true → Misleading) for the model that is actually deployed in the app. LIAR has no “Unverified” category, since every statement in it was fact-checked - that verdict remains reserved for claims TruthLens's own knowledge base genuinely has no evidence for.</w:t>
      </w:r>
    </w:p>
    <w:p>
      <w:pPr>
        <w:pStyle w:val="Heading1"/>
        <w:pBdr>
          <w:bottom w:val="single" w:color="9C7A2E" w:sz="6" w:space="4"/>
        </w:pBdr>
        <w:spacing w:after="120" w:before="260"/>
      </w:pPr>
      <w:r>
        <w:rPr>
          <w:b/>
          <w:bCs/>
          <w:color w:val="1A2230"/>
          <w:sz w:val="28"/>
          <w:szCs w:val="28"/>
        </w:rPr>
        <w:t xml:space="preserve">3. Methodology</w:t>
      </w:r>
    </w:p>
    <w:p>
      <w:pPr>
        <w:spacing w:after="130" w:line="290"/>
      </w:pPr>
      <w:r>
        <w:rPr>
          <w:sz w:val="21"/>
          <w:szCs w:val="21"/>
        </w:rPr>
        <w:t xml:space="preserve">Text features: TF-IDF vectorization of the statement text (unigrams and bigrams, top 20,000 features by frequency, English stop-words removed). Four models were trained and compared, using an identical train/validation/test split for all of them:</w:t>
      </w:r>
    </w:p>
    <w:p>
      <w:pPr>
        <w:pStyle w:val="ListParagraph"/>
        <w:numPr>
          <w:ilvl w:val="0"/>
          <w:numId w:val="2"/>
        </w:numPr>
        <w:spacing w:after="70" w:line="275"/>
      </w:pPr>
      <w:r>
        <w:rPr>
          <w:sz w:val="21"/>
          <w:szCs w:val="21"/>
        </w:rPr>
        <w:t xml:space="preserve">Multinomial Naive Bayes - probabilistic baseline</w:t>
      </w:r>
    </w:p>
    <w:p>
      <w:pPr>
        <w:pStyle w:val="ListParagraph"/>
        <w:numPr>
          <w:ilvl w:val="0"/>
          <w:numId w:val="2"/>
        </w:numPr>
        <w:spacing w:after="70" w:line="275"/>
      </w:pPr>
      <w:r>
        <w:rPr>
          <w:sz w:val="21"/>
          <w:szCs w:val="21"/>
        </w:rPr>
        <w:t xml:space="preserve">Logistic Regression - linear, class-balanced</w:t>
      </w:r>
    </w:p>
    <w:p>
      <w:pPr>
        <w:pStyle w:val="ListParagraph"/>
        <w:numPr>
          <w:ilvl w:val="0"/>
          <w:numId w:val="2"/>
        </w:numPr>
        <w:spacing w:after="70" w:line="275"/>
      </w:pPr>
      <w:r>
        <w:rPr>
          <w:sz w:val="21"/>
          <w:szCs w:val="21"/>
        </w:rPr>
        <w:t xml:space="preserve">Linear SVM - margin-based, class-balanced</w:t>
      </w:r>
    </w:p>
    <w:p>
      <w:pPr>
        <w:pStyle w:val="ListParagraph"/>
        <w:numPr>
          <w:ilvl w:val="0"/>
          <w:numId w:val="2"/>
        </w:numPr>
        <w:spacing w:after="70" w:line="275"/>
      </w:pPr>
      <w:r>
        <w:rPr>
          <w:sz w:val="21"/>
          <w:szCs w:val="21"/>
        </w:rPr>
        <w:t xml:space="preserve">A neural network (multi-layer perceptron, 2 hidden layers of 256 and 64 units, ReLU activations, Adam optimizer) - trained for 40 epochs with training loss and validation accuracy logged after every epoch</w:t>
      </w:r>
    </w:p>
    <w:p>
      <w:pPr>
        <w:spacing w:after="130" w:line="290"/>
      </w:pPr>
      <w:r>
        <w:rPr>
          <w:sz w:val="21"/>
          <w:szCs w:val="21"/>
        </w:rPr>
        <w:t xml:space="preserve">Each model was trained twice: once on the original six-way task (for direct comparison against the published LIAR benchmark), and once on TruthLens's own three-way verdict scheme (for deployment). All metrics below are computed on the held-out test set only.</w:t>
      </w:r>
    </w:p>
    <w:p>
      <w:pPr>
        <w:pStyle w:val="Heading1"/>
        <w:pBdr>
          <w:bottom w:val="single" w:color="9C7A2E" w:sz="6" w:space="4"/>
        </w:pBdr>
        <w:spacing w:after="120" w:before="260"/>
      </w:pPr>
      <w:r>
        <w:rPr>
          <w:b/>
          <w:bCs/>
          <w:color w:val="1A2230"/>
          <w:sz w:val="28"/>
          <w:szCs w:val="28"/>
        </w:rPr>
        <w:t xml:space="preserve">4. Results — Six-Way Task (matches the published benchmark)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74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74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Macro P</w:t>
            </w:r>
          </w:p>
        </w:tc>
        <w:tc>
          <w:tcPr>
            <w:tcW w:type="dxa" w:w="174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Macro R</w:t>
            </w:r>
          </w:p>
        </w:tc>
        <w:tc>
          <w:tcPr>
            <w:tcW w:type="dxa" w:w="174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Macro F1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24.2%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20.5%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20.8%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18.9%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24.0%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23.6%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24.1%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23.6%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Linear SVM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23.8%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23.4%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23.8%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23.5%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Neural Net (MLP)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23.0%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22.6%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22.2%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22.3%</w:t>
            </w:r>
          </w:p>
        </w:tc>
      </w:tr>
    </w:tbl>
    <w:p>
      <w:pPr>
        <w:spacing w:after="130" w:line="290"/>
      </w:pPr>
      <w:r>
        <w:rPr>
          <w:sz w:val="21"/>
          <w:szCs w:val="21"/>
        </w:rPr>
        <w:t xml:space="preserve"/>
      </w:r>
    </w:p>
    <w:p>
      <w:pPr>
        <w:spacing w:after="130" w:line="290"/>
      </w:pPr>
      <w:r>
        <w:rPr>
          <w:sz w:val="21"/>
          <w:szCs w:val="21"/>
        </w:rPr>
        <w:t xml:space="preserve">For context: the original LIAR paper reports its strongest text-only baseline at roughly 27% accuracy on this exact six-way task, and even later transformer-based approaches in follow-up research typically land in the 30-37% range. Six-way accuracy in the low-to-mid twenties, as seen above, is therefore consistent with the literature, not a sign of a broken pipeline - this is a genuinely difficult task, since human fact-checkers themselves draw fine, often subjective distinctions between adjacent categories like “half-true” and “mostly-true.”</w:t>
      </w:r>
    </w:p>
    <w:p>
      <w:pPr>
        <w:pStyle w:val="Heading1"/>
        <w:pBdr>
          <w:bottom w:val="single" w:color="9C7A2E" w:sz="6" w:space="4"/>
        </w:pBdr>
        <w:spacing w:after="120" w:before="260"/>
      </w:pPr>
      <w:r>
        <w:rPr>
          <w:b/>
          <w:bCs/>
          <w:color w:val="1A2230"/>
          <w:sz w:val="28"/>
          <w:szCs w:val="28"/>
        </w:rPr>
        <w:t xml:space="preserve">5. Results — Three-Way Task (True / False / Misleading, used in the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74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74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Macro P</w:t>
            </w:r>
          </w:p>
        </w:tc>
        <w:tc>
          <w:tcPr>
            <w:tcW w:type="dxa" w:w="174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Macro R</w:t>
            </w:r>
          </w:p>
        </w:tc>
        <w:tc>
          <w:tcPr>
            <w:tcW w:type="dxa" w:w="1740"/>
            <w:shd w:fill="1A223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Macro F1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42.0%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42.1%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39.5%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37.9%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42.3%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42.1%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42.4%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42.1%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Linear SVM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41.8%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41.5%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41.7%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41.6%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Neural Net (MLP)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40.6%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40.1%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39.9%</w:t>
            </w:r>
          </w:p>
        </w:tc>
        <w:tc>
          <w:tcPr>
            <w:tcW w:type="dxa" w:w="17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40.0%</w:t>
            </w:r>
          </w:p>
        </w:tc>
      </w:tr>
    </w:tbl>
    <w:p>
      <w:pPr>
        <w:spacing w:after="60" w:before="10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1. Accuracy and macro-F1 across all four models, three-way task, test set.</w:t>
      </w:r>
    </w:p>
    <w:p>
      <w:pPr>
        <w:spacing w:after="60" w:before="100"/>
        <w:jc w:val="center"/>
      </w:pPr>
      <w:r>
        <w:drawing>
          <wp:inline distT="0" distB="0" distL="0" distR="0">
            <wp:extent cx="3238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2. Confusion matrix for the best-performing model (Logistic Regression), test set.</w:t>
      </w:r>
    </w:p>
    <w:p>
      <w:pPr>
        <w:pStyle w:val="Heading1"/>
        <w:pBdr>
          <w:bottom w:val="single" w:color="9C7A2E" w:sz="6" w:space="4"/>
        </w:pBdr>
        <w:spacing w:after="120" w:before="260"/>
      </w:pPr>
      <w:r>
        <w:rPr>
          <w:b/>
          <w:bCs/>
          <w:color w:val="1A2230"/>
          <w:sz w:val="28"/>
          <w:szCs w:val="28"/>
        </w:rPr>
        <w:t xml:space="preserve">6. Neural Network Training Curves — and an Honest Finding</w:t>
      </w:r>
    </w:p>
    <w:p>
      <w:pPr>
        <w:spacing w:after="130" w:line="290"/>
      </w:pPr>
      <w:r>
        <w:rPr>
          <w:sz w:val="21"/>
          <w:szCs w:val="21"/>
        </w:rPr>
        <w:t xml:space="preserve">The MLP was trained with real per-epoch tracking rather than a single train/test call, so its learning behaviour over time is directly visible: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3. MLP training loss and train/validation accuracy across 40 epochs, three-way task.</w:t>
      </w:r>
    </w:p>
    <w:p>
      <w:pPr>
        <w:spacing w:after="130" w:line="290"/>
      </w:pPr>
      <w:r>
        <w:rPr>
          <w:sz w:val="21"/>
          <w:szCs w:val="21"/>
        </w:rPr>
        <w:t xml:space="preserve">The curves show clear overfitting: training accuracy reaches ~99.9% by epoch 6, while validation accuracy plateaus around 38-39% - close to where the classical models land, and no better. This is an expected and instructive result rather than a failure: TF-IDF features are extremely high-dimensional and sparse (20,000 dimensions) relative to the size of the training set (~10,000 examples), which is exactly the regime where a large neural network can memorise the training data instead of generalising from it, while a simpler linear model (Logistic Regression / SVM) stays better-regularised and generalises at least as well. It is a textbook illustration of the bias-variance trade-off, and the reason classical ML is still a legitimate, competitive choice on small or sparse text datasets rather than something deep learning automatically outperforms.</w:t>
      </w:r>
    </w:p>
    <w:p>
      <w:pPr>
        <w:pStyle w:val="Heading1"/>
        <w:pBdr>
          <w:bottom w:val="single" w:color="9C7A2E" w:sz="6" w:space="4"/>
        </w:pBdr>
        <w:spacing w:after="120" w:before="260"/>
      </w:pPr>
      <w:r>
        <w:rPr>
          <w:b/>
          <w:bCs/>
          <w:color w:val="1A2230"/>
          <w:sz w:val="28"/>
          <w:szCs w:val="28"/>
        </w:rPr>
        <w:t xml:space="preserve">7. Integration into TruthLens</w:t>
      </w:r>
    </w:p>
    <w:p>
      <w:pPr>
        <w:spacing w:after="130" w:line="290"/>
      </w:pPr>
      <w:r>
        <w:rPr>
          <w:sz w:val="21"/>
          <w:szCs w:val="21"/>
        </w:rPr>
        <w:t xml:space="preserve">The best three-way model (Logistic Regression, macro-F1 42.1%) and its TF-IDF vectorizer were saved and wired into the live backend (backend/ml_classifier.py). On every /api/verify request, this trained model runs independently of the RAG + LLM pipeline and its prediction is returned alongside the main verdict as a clearly labelled “second opinion” - shown in the UI with its own confidence and full class-probability breakdown. The two signals are deliberately kept separate rather than merged, so each can be evaluated on its own terms: one is evidence-grounded generative reasoning, the other is a fixed, statistically trained classifier.</w:t>
      </w:r>
    </w:p>
    <w:p>
      <w:pPr>
        <w:spacing w:after="130" w:line="290"/>
      </w:pPr>
      <w:r>
        <w:rPr>
          <w:sz w:val="21"/>
          <w:szCs w:val="21"/>
        </w:rPr>
        <w:t xml:space="preserve">The saved model files total under 1MB (TF-IDF vocabulary + Logistic Regression weights), so this adds a genuine trained-ML component without materially affecting deploy size, cold-start time, or hosting cost on the free-tier infrastructure the rest of the project targets.</w:t>
      </w:r>
    </w:p>
    <w:p>
      <w:pPr>
        <w:pStyle w:val="Heading1"/>
        <w:pBdr>
          <w:bottom w:val="single" w:color="9C7A2E" w:sz="6" w:space="4"/>
        </w:pBdr>
        <w:spacing w:after="120" w:before="260"/>
      </w:pPr>
      <w:r>
        <w:rPr>
          <w:b/>
          <w:bCs/>
          <w:color w:val="1A2230"/>
          <w:sz w:val="28"/>
          <w:szCs w:val="28"/>
        </w:rPr>
        <w:t xml:space="preserve">8. Summary</w:t>
      </w:r>
    </w:p>
    <w:p>
      <w:pPr>
        <w:spacing w:after="130" w:line="290"/>
      </w:pPr>
      <w:r>
        <w:rPr>
          <w:i/>
          <w:iCs/>
          <w:sz w:val="21"/>
          <w:szCs w:val="21"/>
        </w:rPr>
        <w:t xml:space="preserve">This component contributes what the RAG pipeline alone cannot: a model we trained ourselves, on a real public benchmark, with a proper train/validation/test split, standard classification metrics, visible training curves, and a considered comparison across four different algorithms - integrated into, not separate from, the working application.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d6dfbcea9bbd6de2dd4df88053329c42ab5702.png"/><Relationship Id="rId8" Type="http://schemas.openxmlformats.org/officeDocument/2006/relationships/image" Target="media/f7616dd2f2735a9ad2c03ffd262d1e0adb26cae7.png"/><Relationship Id="rId9" Type="http://schemas.openxmlformats.org/officeDocument/2006/relationships/image" Target="media/312ee34acbd4a9d0bdd53ed0850505f7503852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2026-09-26T16:18:12.902Z</dcterms:created>
  <dcterms:modified xsi:type="dcterms:W3CDTF">2026-09-26T16:18:12.902Z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