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25d8cbb177ea62700daf5ac13c7e0986c1fa4d"/>
    <w:p>
      <w:pPr>
        <w:pStyle w:val="Heading2"/>
      </w:pPr>
      <w:r>
        <w:t xml:space="preserve">Core Architecture Principle – Single Trade Lifecycle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Trading Journal shall maintain a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every trade throughout its lifecycle. This ensures data consistency, eliminates duplication, and guarantees that all modules operate on the same underlying trade record.</w:t>
      </w:r>
    </w:p>
    <w:bookmarkEnd w:id="20"/>
    <w:bookmarkStart w:id="21" w:name="business-rule"/>
    <w:p>
      <w:pPr>
        <w:pStyle w:val="Heading3"/>
      </w:pPr>
      <w:r>
        <w:t xml:space="preserve">Business Rule</w:t>
      </w:r>
    </w:p>
    <w:p>
      <w:pPr>
        <w:pStyle w:val="FirstParagraph"/>
      </w:pPr>
      <w:r>
        <w:t xml:space="preserve">Every trade created in the system shall have</w:t>
      </w:r>
      <w:r>
        <w:t xml:space="preserve"> </w:t>
      </w:r>
      <w:r>
        <w:rPr>
          <w:b/>
          <w:bCs/>
        </w:rPr>
        <w:t xml:space="preserve">exactly one Trade Lifecycle Record</w:t>
      </w:r>
      <w:r>
        <w:t xml:space="preserve">.</w:t>
      </w:r>
    </w:p>
    <w:p>
      <w:pPr>
        <w:pStyle w:val="BodyText"/>
      </w:pPr>
      <w:r>
        <w:t xml:space="preserve">The Trade Lifecycle Record shall contain the complete chronological history of the trade, including but not limited to:</w:t>
      </w:r>
    </w:p>
    <w:p>
      <w:pPr>
        <w:pStyle w:val="Compact"/>
        <w:numPr>
          <w:ilvl w:val="0"/>
          <w:numId w:val="1001"/>
        </w:numPr>
      </w:pPr>
      <w:r>
        <w:t xml:space="preserve">Initial Entry</w:t>
      </w:r>
    </w:p>
    <w:p>
      <w:pPr>
        <w:pStyle w:val="Compact"/>
        <w:numPr>
          <w:ilvl w:val="0"/>
          <w:numId w:val="1001"/>
        </w:numPr>
      </w:pPr>
      <w:r>
        <w:t xml:space="preserve">Pyramid Entries</w:t>
      </w:r>
    </w:p>
    <w:p>
      <w:pPr>
        <w:pStyle w:val="Compact"/>
        <w:numPr>
          <w:ilvl w:val="0"/>
          <w:numId w:val="1001"/>
        </w:numPr>
      </w:pPr>
      <w:r>
        <w:t xml:space="preserve">Stop Loss Revisions</w:t>
      </w:r>
    </w:p>
    <w:p>
      <w:pPr>
        <w:pStyle w:val="Compact"/>
        <w:numPr>
          <w:ilvl w:val="0"/>
          <w:numId w:val="1001"/>
        </w:numPr>
      </w:pPr>
      <w:r>
        <w:t xml:space="preserve">Partial Exits</w:t>
      </w:r>
    </w:p>
    <w:p>
      <w:pPr>
        <w:pStyle w:val="Compact"/>
        <w:numPr>
          <w:ilvl w:val="0"/>
          <w:numId w:val="1001"/>
        </w:numPr>
      </w:pPr>
      <w:r>
        <w:t xml:space="preserve">Final Exit</w:t>
      </w:r>
    </w:p>
    <w:p>
      <w:pPr>
        <w:pStyle w:val="Compact"/>
        <w:numPr>
          <w:ilvl w:val="0"/>
          <w:numId w:val="1001"/>
        </w:numPr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Attachments</w:t>
      </w:r>
    </w:p>
    <w:p>
      <w:pPr>
        <w:pStyle w:val="Compact"/>
        <w:numPr>
          <w:ilvl w:val="0"/>
          <w:numId w:val="1001"/>
        </w:numPr>
      </w:pPr>
      <w:r>
        <w:t xml:space="preserve">Rule Monitoring Events</w:t>
      </w:r>
    </w:p>
    <w:p>
      <w:pPr>
        <w:pStyle w:val="Compact"/>
        <w:numPr>
          <w:ilvl w:val="0"/>
          <w:numId w:val="1001"/>
        </w:numPr>
      </w:pPr>
      <w:r>
        <w:t xml:space="preserve">User Modifications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Trade Detail Panel</w:t>
      </w:r>
      <w:r>
        <w:t xml:space="preserve"> </w:t>
      </w:r>
      <w:r>
        <w:t xml:space="preserve">shall be the only interface responsible for maintaining and editing this lifecycle.</w:t>
      </w:r>
    </w:p>
    <w:bookmarkEnd w:id="21"/>
    <w:bookmarkStart w:id="22" w:name="single-source-of-truth-ssot"/>
    <w:p>
      <w:pPr>
        <w:pStyle w:val="Heading3"/>
      </w:pPr>
      <w:r>
        <w:t xml:space="preserve">Single Source of Truth (SSOT)</w:t>
      </w:r>
    </w:p>
    <w:p>
      <w:pPr>
        <w:pStyle w:val="FirstParagraph"/>
      </w:pPr>
      <w:r>
        <w:t xml:space="preserve">The Trade Detail Panel shall act as the</w:t>
      </w:r>
      <w:r>
        <w:t xml:space="preserve"> </w:t>
      </w:r>
      <w:r>
        <w:rPr>
          <w:b/>
          <w:bCs/>
        </w:rPr>
        <w:t xml:space="preserve">Single Source of Truth (SSOT)</w:t>
      </w:r>
      <w:r>
        <w:t xml:space="preserve"> </w:t>
      </w:r>
      <w:r>
        <w:t xml:space="preserve">for the trade lifecycle.</w:t>
      </w:r>
    </w:p>
    <w:p>
      <w:pPr>
        <w:pStyle w:val="BodyText"/>
      </w:pPr>
      <w:r>
        <w:t xml:space="preserve">No module shall maintain duplicate trade transaction data.</w:t>
      </w:r>
    </w:p>
    <w:p>
      <w:pPr>
        <w:pStyle w:val="BodyText"/>
      </w:pPr>
      <w:r>
        <w:t xml:space="preserve">Any modification made within the Trade Detail Panel shall automatically update the Trade Lifecycle Record.</w:t>
      </w:r>
    </w:p>
    <w:bookmarkEnd w:id="22"/>
    <w:bookmarkStart w:id="23" w:name="module-behaviour"/>
    <w:p>
      <w:pPr>
        <w:pStyle w:val="Heading3"/>
      </w:pPr>
      <w:r>
        <w:t xml:space="preserve">Module Behaviour</w:t>
      </w:r>
    </w:p>
    <w:p>
      <w:pPr>
        <w:pStyle w:val="FirstParagraph"/>
      </w:pPr>
      <w:r>
        <w:t xml:space="preserve">All application modules shall consume information from the same Trade Lifecycle Record.</w:t>
      </w:r>
    </w:p>
    <w:p>
      <w:pPr>
        <w:pStyle w:val="BodyText"/>
      </w:pPr>
      <w:r>
        <w:t xml:space="preserve">The modules shall present different views of the same data based on their functional responsibility.</w:t>
      </w:r>
    </w:p>
    <w:p>
      <w:pPr>
        <w:pStyle w:val="Compact"/>
        <w:numPr>
          <w:ilvl w:val="0"/>
          <w:numId w:val="1002"/>
        </w:numPr>
      </w:pPr>
      <w:r>
        <w:t xml:space="preserve">Dashboard – Current business health and alerts.</w:t>
      </w:r>
    </w:p>
    <w:p>
      <w:pPr>
        <w:pStyle w:val="Compact"/>
        <w:numPr>
          <w:ilvl w:val="0"/>
          <w:numId w:val="1002"/>
        </w:numPr>
      </w:pPr>
      <w:r>
        <w:t xml:space="preserve">Positions – Open position monitoring and risk management.</w:t>
      </w:r>
    </w:p>
    <w:p>
      <w:pPr>
        <w:pStyle w:val="Compact"/>
        <w:numPr>
          <w:ilvl w:val="0"/>
          <w:numId w:val="1002"/>
        </w:numPr>
      </w:pPr>
      <w:r>
        <w:t xml:space="preserve">Trades – Closed trade history and trade review.</w:t>
      </w:r>
    </w:p>
    <w:p>
      <w:pPr>
        <w:pStyle w:val="Compact"/>
        <w:numPr>
          <w:ilvl w:val="0"/>
          <w:numId w:val="1002"/>
        </w:numPr>
      </w:pPr>
      <w:r>
        <w:t xml:space="preserve">Summary – Performance analytics.</w:t>
      </w:r>
    </w:p>
    <w:p>
      <w:pPr>
        <w:pStyle w:val="Compact"/>
        <w:numPr>
          <w:ilvl w:val="0"/>
          <w:numId w:val="1002"/>
        </w:numPr>
      </w:pPr>
      <w:r>
        <w:t xml:space="preserve">Capital – Capital and portfolio statistics.</w:t>
      </w:r>
    </w:p>
    <w:p>
      <w:pPr>
        <w:pStyle w:val="Compact"/>
        <w:numPr>
          <w:ilvl w:val="0"/>
          <w:numId w:val="1002"/>
        </w:numPr>
      </w:pPr>
      <w:r>
        <w:t xml:space="preserve">Playbook – Trade setup classification and analysis.</w:t>
      </w:r>
    </w:p>
    <w:p>
      <w:pPr>
        <w:pStyle w:val="Compact"/>
        <w:numPr>
          <w:ilvl w:val="0"/>
          <w:numId w:val="1002"/>
        </w:numPr>
      </w:pPr>
      <w:r>
        <w:t xml:space="preserve">Diary – Personal observations and trading journal.</w:t>
      </w:r>
    </w:p>
    <w:p>
      <w:pPr>
        <w:pStyle w:val="FirstParagraph"/>
      </w:pPr>
      <w:r>
        <w:t xml:space="preserve">No module shall store an independent copy of trade transactions.</w:t>
      </w:r>
    </w:p>
    <w:bookmarkEnd w:id="23"/>
    <w:bookmarkStart w:id="24" w:name="trade-status-determination"/>
    <w:p>
      <w:pPr>
        <w:pStyle w:val="Heading3"/>
      </w:pPr>
      <w:r>
        <w:t xml:space="preserve">Trade Status Determination</w:t>
      </w:r>
    </w:p>
    <w:p>
      <w:pPr>
        <w:pStyle w:val="FirstParagraph"/>
      </w:pPr>
      <w:r>
        <w:t xml:space="preserve">Trade status shall be determined automatically by the system.</w:t>
      </w:r>
    </w:p>
    <w:p>
      <w:pPr>
        <w:pStyle w:val="BodyText"/>
      </w:pPr>
      <w:r>
        <w:rPr>
          <w:b/>
          <w:bCs/>
        </w:rPr>
        <w:t xml:space="preserve">OPEN</w:t>
      </w:r>
    </w:p>
    <w:p>
      <w:pPr>
        <w:pStyle w:val="BodyText"/>
      </w:pPr>
      <w:r>
        <w:t xml:space="preserve">Remaining Quantity &gt; 0</w:t>
      </w:r>
    </w:p>
    <w:p>
      <w:pPr>
        <w:pStyle w:val="BodyText"/>
      </w:pPr>
      <w:r>
        <w:rPr>
          <w:b/>
          <w:bCs/>
        </w:rPr>
        <w:t xml:space="preserve">CLOSED</w:t>
      </w:r>
    </w:p>
    <w:p>
      <w:pPr>
        <w:pStyle w:val="BodyText"/>
      </w:pPr>
      <w:r>
        <w:t xml:space="preserve">Remaining Quantity = 0</w:t>
      </w:r>
    </w:p>
    <w:p>
      <w:pPr>
        <w:pStyle w:val="BodyText"/>
      </w:pPr>
      <w:r>
        <w:t xml:space="preserve">Trade status shall never be manually assigned by the user.</w:t>
      </w:r>
    </w:p>
    <w:bookmarkEnd w:id="24"/>
    <w:bookmarkStart w:id="25" w:name="automatic-module-visibility"/>
    <w:p>
      <w:pPr>
        <w:pStyle w:val="Heading3"/>
      </w:pPr>
      <w:r>
        <w:t xml:space="preserve">Automatic Module Visibility</w:t>
      </w:r>
    </w:p>
    <w:p>
      <w:pPr>
        <w:pStyle w:val="FirstParagraph"/>
      </w:pPr>
      <w:r>
        <w:t xml:space="preserve">The visibility of a trade shall depend solely on its computed status.</w:t>
      </w:r>
    </w:p>
    <w:p>
      <w:pPr>
        <w:pStyle w:val="Compact"/>
        <w:numPr>
          <w:ilvl w:val="0"/>
          <w:numId w:val="1003"/>
        </w:numPr>
      </w:pPr>
      <w:r>
        <w:t xml:space="preserve">OPEN trades shall appear in the Positions module.</w:t>
      </w:r>
    </w:p>
    <w:p>
      <w:pPr>
        <w:pStyle w:val="Compact"/>
        <w:numPr>
          <w:ilvl w:val="0"/>
          <w:numId w:val="1003"/>
        </w:numPr>
      </w:pPr>
      <w:r>
        <w:t xml:space="preserve">CLOSED trades shall appear in the Trades module.</w:t>
      </w:r>
    </w:p>
    <w:p>
      <w:pPr>
        <w:pStyle w:val="FirstParagraph"/>
      </w:pPr>
      <w:r>
        <w:t xml:space="preserve">No manual action shall be required to move trades between modules.</w:t>
      </w:r>
    </w:p>
    <w:bookmarkEnd w:id="25"/>
    <w:bookmarkStart w:id="26" w:name="automatic-recalculation"/>
    <w:p>
      <w:pPr>
        <w:pStyle w:val="Heading3"/>
      </w:pPr>
      <w:r>
        <w:t xml:space="preserve">Automatic Recalculation</w:t>
      </w:r>
    </w:p>
    <w:p>
      <w:pPr>
        <w:pStyle w:val="FirstParagraph"/>
      </w:pPr>
      <w:r>
        <w:t xml:space="preserve">Whenever any lifecycle transaction is:</w:t>
      </w:r>
    </w:p>
    <w:p>
      <w:pPr>
        <w:pStyle w:val="Compact"/>
        <w:numPr>
          <w:ilvl w:val="0"/>
          <w:numId w:val="1004"/>
        </w:numPr>
      </w:pPr>
      <w:r>
        <w:t xml:space="preserve">Added</w:t>
      </w:r>
    </w:p>
    <w:p>
      <w:pPr>
        <w:pStyle w:val="Compact"/>
        <w:numPr>
          <w:ilvl w:val="0"/>
          <w:numId w:val="1004"/>
        </w:numPr>
      </w:pPr>
      <w:r>
        <w:t xml:space="preserve">Edited</w:t>
      </w:r>
    </w:p>
    <w:p>
      <w:pPr>
        <w:pStyle w:val="Compact"/>
        <w:numPr>
          <w:ilvl w:val="0"/>
          <w:numId w:val="1004"/>
        </w:numPr>
      </w:pPr>
      <w:r>
        <w:t xml:space="preserve">Deleted</w:t>
      </w:r>
    </w:p>
    <w:p>
      <w:pPr>
        <w:pStyle w:val="FirstParagraph"/>
      </w:pPr>
      <w:r>
        <w:t xml:space="preserve">the system shall automatically recalculate all dependent values, including but not limited to:</w:t>
      </w:r>
    </w:p>
    <w:p>
      <w:pPr>
        <w:pStyle w:val="Compact"/>
        <w:numPr>
          <w:ilvl w:val="0"/>
          <w:numId w:val="1005"/>
        </w:numPr>
      </w:pPr>
      <w:r>
        <w:t xml:space="preserve">Average Entry Price</w:t>
      </w:r>
    </w:p>
    <w:p>
      <w:pPr>
        <w:pStyle w:val="Compact"/>
        <w:numPr>
          <w:ilvl w:val="0"/>
          <w:numId w:val="1005"/>
        </w:numPr>
      </w:pPr>
      <w:r>
        <w:t xml:space="preserve">Average Exit Price</w:t>
      </w:r>
    </w:p>
    <w:p>
      <w:pPr>
        <w:pStyle w:val="Compact"/>
        <w:numPr>
          <w:ilvl w:val="0"/>
          <w:numId w:val="1005"/>
        </w:numPr>
      </w:pPr>
      <w:r>
        <w:t xml:space="preserve">Remaining Quantity</w:t>
      </w:r>
    </w:p>
    <w:p>
      <w:pPr>
        <w:pStyle w:val="Compact"/>
        <w:numPr>
          <w:ilvl w:val="0"/>
          <w:numId w:val="1005"/>
        </w:numPr>
      </w:pPr>
      <w:r>
        <w:t xml:space="preserve">Current Exposure</w:t>
      </w:r>
    </w:p>
    <w:p>
      <w:pPr>
        <w:pStyle w:val="Compact"/>
        <w:numPr>
          <w:ilvl w:val="0"/>
          <w:numId w:val="1005"/>
        </w:numPr>
      </w:pPr>
      <w:r>
        <w:t xml:space="preserve">Position Size</w:t>
      </w:r>
    </w:p>
    <w:p>
      <w:pPr>
        <w:pStyle w:val="Compact"/>
        <w:numPr>
          <w:ilvl w:val="0"/>
          <w:numId w:val="1005"/>
        </w:numPr>
      </w:pPr>
      <w:r>
        <w:t xml:space="preserve">Current Position Risk</w:t>
      </w:r>
    </w:p>
    <w:p>
      <w:pPr>
        <w:pStyle w:val="Compact"/>
        <w:numPr>
          <w:ilvl w:val="0"/>
          <w:numId w:val="1005"/>
        </w:numPr>
      </w:pPr>
      <w:r>
        <w:t xml:space="preserve">RPT</w:t>
      </w:r>
    </w:p>
    <w:p>
      <w:pPr>
        <w:pStyle w:val="Compact"/>
        <w:numPr>
          <w:ilvl w:val="0"/>
          <w:numId w:val="1005"/>
        </w:numPr>
      </w:pPr>
      <w:r>
        <w:t xml:space="preserve">Portfolio Heat</w:t>
      </w:r>
    </w:p>
    <w:p>
      <w:pPr>
        <w:pStyle w:val="Compact"/>
        <w:numPr>
          <w:ilvl w:val="0"/>
          <w:numId w:val="1005"/>
        </w:numPr>
      </w:pPr>
      <w:r>
        <w:t xml:space="preserve">Net Profit</w:t>
      </w:r>
    </w:p>
    <w:p>
      <w:pPr>
        <w:pStyle w:val="Compact"/>
        <w:numPr>
          <w:ilvl w:val="0"/>
          <w:numId w:val="1005"/>
        </w:numPr>
      </w:pPr>
      <w:r>
        <w:t xml:space="preserve">Unrealized Profit</w:t>
      </w:r>
    </w:p>
    <w:p>
      <w:pPr>
        <w:pStyle w:val="Compact"/>
        <w:numPr>
          <w:ilvl w:val="0"/>
          <w:numId w:val="1005"/>
        </w:numPr>
      </w:pPr>
      <w:r>
        <w:t xml:space="preserve">R Multiple</w:t>
      </w:r>
    </w:p>
    <w:p>
      <w:pPr>
        <w:pStyle w:val="Compact"/>
        <w:numPr>
          <w:ilvl w:val="0"/>
          <w:numId w:val="1005"/>
        </w:numPr>
      </w:pPr>
      <w:r>
        <w:t xml:space="preserve">Dashboard Metrics</w:t>
      </w:r>
    </w:p>
    <w:p>
      <w:pPr>
        <w:pStyle w:val="Compact"/>
        <w:numPr>
          <w:ilvl w:val="0"/>
          <w:numId w:val="1005"/>
        </w:numPr>
      </w:pPr>
      <w:r>
        <w:t xml:space="preserve">Summary Metrics</w:t>
      </w:r>
    </w:p>
    <w:p>
      <w:pPr>
        <w:pStyle w:val="Compact"/>
        <w:numPr>
          <w:ilvl w:val="0"/>
          <w:numId w:val="1005"/>
        </w:numPr>
      </w:pPr>
      <w:r>
        <w:t xml:space="preserve">Capital Metrics</w:t>
      </w:r>
    </w:p>
    <w:p>
      <w:pPr>
        <w:pStyle w:val="Compact"/>
        <w:numPr>
          <w:ilvl w:val="0"/>
          <w:numId w:val="1005"/>
        </w:numPr>
      </w:pPr>
      <w:r>
        <w:t xml:space="preserve">Alerts and Rule Status</w:t>
      </w:r>
    </w:p>
    <w:bookmarkEnd w:id="26"/>
    <w:bookmarkStart w:id="27" w:name="automatic-module-transition"/>
    <w:p>
      <w:pPr>
        <w:pStyle w:val="Heading3"/>
      </w:pPr>
      <w:r>
        <w:t xml:space="preserve">Automatic Module Transition</w:t>
      </w:r>
    </w:p>
    <w:p>
      <w:pPr>
        <w:pStyle w:val="FirstParagraph"/>
      </w:pPr>
      <w:r>
        <w:t xml:space="preserve">If a lifecycle modification changes the Remaining Quantity:</w:t>
      </w:r>
    </w:p>
    <w:p>
      <w:pPr>
        <w:numPr>
          <w:ilvl w:val="0"/>
          <w:numId w:val="1006"/>
        </w:numPr>
      </w:pPr>
      <w:r>
        <w:t xml:space="preserve">from</w:t>
      </w:r>
      <w:r>
        <w:t xml:space="preserve"> </w:t>
      </w:r>
      <w:r>
        <w:rPr>
          <w:b/>
          <w:bCs/>
        </w:rPr>
        <w:t xml:space="preserve">0 to greater than 0</w:t>
      </w:r>
      <w:r>
        <w:t xml:space="preserve">, the trade shall automatically be removed from the Trades module and reappear in the Positions module.</w:t>
      </w:r>
    </w:p>
    <w:p>
      <w:pPr>
        <w:numPr>
          <w:ilvl w:val="0"/>
          <w:numId w:val="1006"/>
        </w:numPr>
      </w:pPr>
      <w:r>
        <w:t xml:space="preserve">from</w:t>
      </w:r>
      <w:r>
        <w:t xml:space="preserve"> </w:t>
      </w:r>
      <w:r>
        <w:rPr>
          <w:b/>
          <w:bCs/>
        </w:rPr>
        <w:t xml:space="preserve">greater than 0 to 0</w:t>
      </w:r>
      <w:r>
        <w:t xml:space="preserve">, the trade shall automatically be removed from the Positions module and appear in the Trades module.</w:t>
      </w:r>
    </w:p>
    <w:p>
      <w:pPr>
        <w:pStyle w:val="FirstParagraph"/>
      </w:pPr>
      <w:r>
        <w:t xml:space="preserve">This transition shall occur automatically without requiring any manual intervention.</w:t>
      </w:r>
    </w:p>
    <w:bookmarkEnd w:id="27"/>
    <w:bookmarkStart w:id="28" w:name="design-objective"/>
    <w:p>
      <w:pPr>
        <w:pStyle w:val="Heading3"/>
      </w:pPr>
      <w:r>
        <w:t xml:space="preserve">Design Objective</w:t>
      </w:r>
    </w:p>
    <w:p>
      <w:pPr>
        <w:pStyle w:val="FirstParagraph"/>
      </w:pPr>
      <w:r>
        <w:t xml:space="preserve">This architecture guarantees:</w:t>
      </w:r>
    </w:p>
    <w:p>
      <w:pPr>
        <w:pStyle w:val="Compact"/>
        <w:numPr>
          <w:ilvl w:val="0"/>
          <w:numId w:val="1007"/>
        </w:numPr>
      </w:pPr>
      <w:r>
        <w:t xml:space="preserve">Single Source of Truth (SSOT)</w:t>
      </w:r>
    </w:p>
    <w:p>
      <w:pPr>
        <w:pStyle w:val="Compact"/>
        <w:numPr>
          <w:ilvl w:val="0"/>
          <w:numId w:val="1007"/>
        </w:numPr>
      </w:pPr>
      <w:r>
        <w:t xml:space="preserve">No duplicate trade records</w:t>
      </w:r>
    </w:p>
    <w:p>
      <w:pPr>
        <w:pStyle w:val="Compact"/>
        <w:numPr>
          <w:ilvl w:val="0"/>
          <w:numId w:val="1007"/>
        </w:numPr>
      </w:pPr>
      <w:r>
        <w:t xml:space="preserve">No synchronization issues</w:t>
      </w:r>
    </w:p>
    <w:p>
      <w:pPr>
        <w:pStyle w:val="Compact"/>
        <w:numPr>
          <w:ilvl w:val="0"/>
          <w:numId w:val="1007"/>
        </w:numPr>
      </w:pPr>
      <w:r>
        <w:t xml:space="preserve">Automatic consistency across all modules</w:t>
      </w:r>
    </w:p>
    <w:p>
      <w:pPr>
        <w:pStyle w:val="Compact"/>
        <w:numPr>
          <w:ilvl w:val="0"/>
          <w:numId w:val="1007"/>
        </w:numPr>
      </w:pPr>
      <w:r>
        <w:t xml:space="preserve">Simplified maintenance</w:t>
      </w:r>
    </w:p>
    <w:p>
      <w:pPr>
        <w:pStyle w:val="Compact"/>
        <w:numPr>
          <w:ilvl w:val="0"/>
          <w:numId w:val="1007"/>
        </w:numPr>
      </w:pPr>
      <w:r>
        <w:t xml:space="preserve">Reliable historical analytics</w:t>
      </w:r>
    </w:p>
    <w:p>
      <w:pPr>
        <w:pStyle w:val="Compact"/>
        <w:numPr>
          <w:ilvl w:val="0"/>
          <w:numId w:val="1007"/>
        </w:numPr>
      </w:pPr>
      <w:r>
        <w:t xml:space="preserve">Accurate portfolio and performance calculations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2026-06-26T00:51:11Z</dcterms:created>
  <dcterms:modified xsi:type="dcterms:W3CDTF">2026-06-26T00:51:11Z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