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DISCHARGE SUMMARY</w:t>
      </w:r>
    </w:p>
    <w:p>
      <w:r>
        <w:t>FICTIONAL SAMPLE - FOR SOFTWARE TESTING ONLY - NOT CLINICAL CONTENT</w:t>
      </w:r>
    </w:p>
    <w:p>
      <w:r>
        <w:t>Patient: Jane Example (fictional)</w:t>
      </w:r>
    </w:p>
    <w:p>
      <w:pPr>
        <w:pStyle w:val="Heading1"/>
      </w:pPr>
      <w:r>
        <w:t>Procedure</w:t>
      </w:r>
    </w:p>
    <w:p>
      <w:r>
        <w:t>Procedure: Total knee replacement, right knee.</w:t>
      </w:r>
    </w:p>
    <w:p>
      <w:pPr>
        <w:pStyle w:val="Heading1"/>
      </w:pPr>
      <w:r>
        <w:t>Medications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Medication</w:t>
            </w:r>
          </w:p>
        </w:tc>
        <w:tc>
          <w:tcPr>
            <w:tcW w:type="dxa" w:w="2160"/>
          </w:tcPr>
          <w:p>
            <w:r>
              <w:t>Dose</w:t>
            </w:r>
          </w:p>
        </w:tc>
        <w:tc>
          <w:tcPr>
            <w:tcW w:type="dxa" w:w="2160"/>
          </w:tcPr>
          <w:p>
            <w:r>
              <w:t>Frequency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</w:tr>
      <w:tr>
        <w:tc>
          <w:tcPr>
            <w:tcW w:type="dxa" w:w="2160"/>
          </w:tcPr>
          <w:p>
            <w:r>
              <w:t>Examplamol</w:t>
            </w:r>
          </w:p>
        </w:tc>
        <w:tc>
          <w:tcPr>
            <w:tcW w:type="dxa" w:w="2160"/>
          </w:tcPr>
          <w:p>
            <w:r>
              <w:t>500 mg</w:t>
            </w:r>
          </w:p>
        </w:tc>
        <w:tc>
          <w:tcPr>
            <w:tcW w:type="dxa" w:w="2160"/>
          </w:tcPr>
          <w:p>
            <w:r>
              <w:t>Every 6 hours</w:t>
            </w:r>
          </w:p>
        </w:tc>
        <w:tc>
          <w:tcPr>
            <w:tcW w:type="dxa" w:w="2160"/>
          </w:tcPr>
          <w:p>
            <w:r>
              <w:t>7 days</w:t>
            </w:r>
          </w:p>
        </w:tc>
      </w:tr>
      <w:tr>
        <w:tc>
          <w:tcPr>
            <w:tcW w:type="dxa" w:w="2160"/>
          </w:tcPr>
          <w:p>
            <w:r>
              <w:t>Testocillin</w:t>
            </w:r>
          </w:p>
        </w:tc>
        <w:tc>
          <w:tcPr>
            <w:tcW w:type="dxa" w:w="2160"/>
          </w:tcPr>
          <w:p>
            <w:r>
              <w:t>250 mg</w:t>
            </w:r>
          </w:p>
        </w:tc>
        <w:tc>
          <w:tcPr>
            <w:tcW w:type="dxa" w:w="2160"/>
          </w:tcPr>
          <w:p>
            <w:r>
              <w:t>Twice daily</w:t>
            </w:r>
          </w:p>
        </w:tc>
        <w:tc>
          <w:tcPr>
            <w:tcW w:type="dxa" w:w="2160"/>
          </w:tcPr>
          <w:p>
            <w:r>
              <w:t>5 days</w:t>
            </w:r>
          </w:p>
        </w:tc>
      </w:tr>
      <w:tr>
        <w:tc>
          <w:tcPr>
            <w:tcW w:type="dxa" w:w="2160"/>
          </w:tcPr>
          <w:p>
            <w:r>
              <w:t>Placebex</w:t>
            </w:r>
          </w:p>
        </w:tc>
        <w:tc>
          <w:tcPr>
            <w:tcW w:type="dxa" w:w="2160"/>
          </w:tcPr>
          <w:p>
            <w:r>
              <w:t>1-2 tablets</w:t>
            </w:r>
          </w:p>
        </w:tc>
        <w:tc>
          <w:tcPr>
            <w:tcW w:type="dxa" w:w="2160"/>
          </w:tcPr>
          <w:p>
            <w:r>
              <w:t>As needed</w:t>
            </w:r>
          </w:p>
        </w:tc>
        <w:tc>
          <w:tcPr>
            <w:tcW w:type="dxa" w:w="2160"/>
          </w:tcPr>
          <w:p>
            <w:r>
              <w:t>Until review</w:t>
            </w:r>
          </w:p>
        </w:tc>
      </w:tr>
    </w:tbl>
    <w:p>
      <w:pPr>
        <w:pStyle w:val="Heading1"/>
      </w:pPr>
      <w:r>
        <w:t>Wound care</w:t>
      </w:r>
    </w:p>
    <w:p>
      <w:pPr>
        <w:pStyle w:val="ListBullet"/>
      </w:pPr>
      <w:r>
        <w:t>Keep the dressing clean and dry.</w:t>
      </w:r>
    </w:p>
    <w:p>
      <w:pPr>
        <w:pStyle w:val="ListBullet"/>
      </w:pPr>
      <w:r>
        <w:t>Do not soak the wound in water until the stitches are removed.</w:t>
      </w:r>
    </w:p>
    <w:p>
      <w:pPr>
        <w:pStyle w:val="Heading1"/>
      </w:pPr>
      <w:r>
        <w:t>Activity</w:t>
      </w:r>
    </w:p>
    <w:p>
      <w:pPr>
        <w:pStyle w:val="ListBullet"/>
      </w:pPr>
      <w:r>
        <w:t>Walk with the frame for short distances several times a day.</w:t>
      </w:r>
    </w:p>
    <w:p>
      <w:pPr>
        <w:pStyle w:val="ListBullet"/>
      </w:pPr>
      <w:r>
        <w:t>Do not drive until reviewed by the surgeon.</w:t>
      </w:r>
    </w:p>
    <w:p>
      <w:pPr>
        <w:pStyle w:val="Heading1"/>
      </w:pPr>
      <w:r>
        <w:t>Diet</w:t>
      </w:r>
    </w:p>
    <w:p>
      <w:r>
        <w:t>Eat a normal balanced diet and drink plenty of fluids.</w:t>
      </w:r>
    </w:p>
    <w:p>
      <w:pPr>
        <w:pStyle w:val="Heading1"/>
      </w:pPr>
      <w:r>
        <w:t>Follow-up</w:t>
      </w:r>
    </w:p>
    <w:p>
      <w:r>
        <w:t>Wound check at the surgical clinic. Date to be confirmed.</w:t>
      </w:r>
    </w:p>
    <w:p>
      <w:r>
        <w:t>Physiotherapy review in 2 weeks.</w:t>
      </w:r>
    </w:p>
    <w:p>
      <w:pPr>
        <w:pStyle w:val="Heading1"/>
      </w:pPr>
      <w:r>
        <w:t>When to get help</w:t>
      </w:r>
    </w:p>
    <w:p>
      <w:r>
        <w:t>Contact the ward or emergency services if you notice heavy bleeding from the wound, new chest pain, or redness and swelling that is getting worse.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