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Chatbot Development Proposal for Acme Corp</w:t>
      </w:r>
    </w:p>
    <w:p>
      <w:pPr>
        <w:jc w:val="center"/>
      </w:pPr>
      <w:r>
        <w:rPr>
          <w:i/>
          <w:color w:val="555555"/>
          <w:sz w:val="22"/>
        </w:rPr>
        <w:t>Document type: Proposal</w:t>
      </w:r>
    </w:p>
    <w:p>
      <w:pPr>
        <w:pStyle w:val="Heading1"/>
      </w:pPr>
      <w:r>
        <w:t>Assumptions</w:t>
      </w:r>
    </w:p>
    <w:p>
      <w:pPr>
        <w:pStyle w:val="ListBullet"/>
      </w:pPr>
      <w:r>
        <w:t>Client name: Acme Corp</w:t>
      </w:r>
    </w:p>
    <w:p>
      <w:pPr>
        <w:pStyle w:val="ListBullet"/>
      </w:pPr>
      <w:r>
        <w:t>Total project budget: $250,000</w:t>
      </w:r>
    </w:p>
    <w:p>
      <w:pPr>
        <w:pStyle w:val="ListBullet"/>
      </w:pPr>
      <w:r>
        <w:t>Project timeline: 20 weeks</w:t>
      </w:r>
    </w:p>
    <w:p>
      <w:pPr>
        <w:pStyle w:val="ListBullet"/>
      </w:pPr>
      <w:r>
        <w:t>Team size: 6 members (Project Manager, AI Engineer, NLP Specialist, Front‑end Developer, UX Designer, QA Engineer)</w:t>
      </w:r>
    </w:p>
    <w:p>
      <w:pPr>
        <w:pStyle w:val="ListBullet"/>
      </w:pPr>
      <w:r>
        <w:t>Scope includes integration with existing CRM and support for English and Spanish</w:t>
      </w:r>
    </w:p>
    <w:p>
      <w:pPr>
        <w:pStyle w:val="Heading1"/>
      </w:pPr>
      <w:r>
        <w:t>Executive Summary</w:t>
      </w:r>
    </w:p>
    <w:p>
      <w:r>
        <w:t>Executive Summary</w:t>
      </w:r>
    </w:p>
    <w:p>
      <w:r>
        <w:t>Acme Corp has commissioned a $250,000, 20‑week AI chatbot initiative to enhance customer engagement across its existing CRM v3.0. The project will launch on 1 Nov 2024 and conclude by 28 Mar 2025. A six‑person cross‑functional team will deliver a bilingual (English/Spanish) chatbot with an 80 % user‑satisfaction target and 90 % intent‑recognition accuracy.</w:t>
      </w:r>
    </w:p>
    <w:p>
      <w:r>
        <w:t>Team composition:</w:t>
      </w:r>
    </w:p>
    <w:p>
      <w:r>
        <w:t>• Project Manager – Sarah Lee</w:t>
      </w:r>
    </w:p>
    <w:p>
      <w:r>
        <w:t>• AI Engineer – Miguel Torres</w:t>
      </w:r>
    </w:p>
    <w:p>
      <w:r>
        <w:t>• NLP Specialist – Priya Patel</w:t>
      </w:r>
    </w:p>
    <w:p>
      <w:r>
        <w:t>• Front‑end Developer – Alex Kim</w:t>
      </w:r>
    </w:p>
    <w:p>
      <w:r>
        <w:t>• UX Designer – Maria Gomez</w:t>
      </w:r>
    </w:p>
    <w:p>
      <w:r>
        <w:t>• QA Engineer – John O'Connor</w:t>
      </w:r>
    </w:p>
    <w:p>
      <w:r>
        <w:t>Key milestones include requirements capture (Weeks 1‑4), design &amp; prototyping (Weeks 5‑8), core development (Weeks 9‑12), CRM integration &amp; data‑privacy validation (Weeks 13‑16), rigorous testing (Weeks 17‑18), and final deployment &amp; hand‑over (Weeks 19‑20). Budget allocation: 60 % development, 20 % integration, 10 % testing, 10 % contingency.</w:t>
      </w:r>
    </w:p>
    <w:p>
      <w:r>
        <w:t>Deliverables: fully functional chatbot, user‑guide, API documentation, and a 2‑hour training session for Acme support staff. Risk mitigation plans cover GDPR compliance, data encryption, and fallback escalation protocols. The project promises measurable ROI through reduced ticket volume and improved first‑contact resolution.</w:t>
      </w:r>
    </w:p>
    <w:p>
      <w:r>
        <w:rPr>
          <w:i/>
          <w:color w:val="555555"/>
          <w:sz w:val="20"/>
        </w:rPr>
        <w:t>Project Milestones Timeline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Week</w:t>
            </w:r>
          </w:p>
        </w:tc>
        <w:tc>
          <w:tcPr>
            <w:tcW w:type="dxa" w:w="4320"/>
          </w:tcPr>
          <w:p>
            <w:r>
              <w:rPr>
                <w:b/>
              </w:rPr>
              <w:t>Milestone</w:t>
            </w:r>
          </w:p>
        </w:tc>
      </w:tr>
      <w:tr>
        <w:tc>
          <w:tcPr>
            <w:tcW w:type="dxa" w:w="4320"/>
          </w:tcPr>
          <w:p>
            <w:r>
              <w:t>1‑4</w:t>
            </w:r>
          </w:p>
        </w:tc>
        <w:tc>
          <w:tcPr>
            <w:tcW w:type="dxa" w:w="4320"/>
          </w:tcPr>
          <w:p>
            <w:r>
              <w:t>Requirements gathering &amp; stakeholder interviews</w:t>
            </w:r>
          </w:p>
        </w:tc>
      </w:tr>
      <w:tr>
        <w:tc>
          <w:tcPr>
            <w:tcW w:type="dxa" w:w="4320"/>
          </w:tcPr>
          <w:p>
            <w:r>
              <w:t>5‑8</w:t>
            </w:r>
          </w:p>
        </w:tc>
        <w:tc>
          <w:tcPr>
            <w:tcW w:type="dxa" w:w="4320"/>
          </w:tcPr>
          <w:p>
            <w:r>
              <w:t>UX/UI design &amp; prototype validation</w:t>
            </w:r>
          </w:p>
        </w:tc>
      </w:tr>
      <w:tr>
        <w:tc>
          <w:tcPr>
            <w:tcW w:type="dxa" w:w="4320"/>
          </w:tcPr>
          <w:p>
            <w:r>
              <w:t>9‑12</w:t>
            </w:r>
          </w:p>
        </w:tc>
        <w:tc>
          <w:tcPr>
            <w:tcW w:type="dxa" w:w="4320"/>
          </w:tcPr>
          <w:p>
            <w:r>
              <w:t>Core AI &amp; NLP model development</w:t>
            </w:r>
          </w:p>
        </w:tc>
      </w:tr>
      <w:tr>
        <w:tc>
          <w:tcPr>
            <w:tcW w:type="dxa" w:w="4320"/>
          </w:tcPr>
          <w:p>
            <w:r>
              <w:t>13‑16</w:t>
            </w:r>
          </w:p>
        </w:tc>
        <w:tc>
          <w:tcPr>
            <w:tcW w:type="dxa" w:w="4320"/>
          </w:tcPr>
          <w:p>
            <w:r>
              <w:t>CRM integration &amp; security audit</w:t>
            </w:r>
          </w:p>
        </w:tc>
      </w:tr>
      <w:tr>
        <w:tc>
          <w:tcPr>
            <w:tcW w:type="dxa" w:w="4320"/>
          </w:tcPr>
          <w:p>
            <w:r>
              <w:t>17‑18</w:t>
            </w:r>
          </w:p>
        </w:tc>
        <w:tc>
          <w:tcPr>
            <w:tcW w:type="dxa" w:w="4320"/>
          </w:tcPr>
          <w:p>
            <w:r>
              <w:t>QA testing &amp; performance tuning</w:t>
            </w:r>
          </w:p>
        </w:tc>
      </w:tr>
      <w:tr>
        <w:tc>
          <w:tcPr>
            <w:tcW w:type="dxa" w:w="4320"/>
          </w:tcPr>
          <w:p>
            <w:r>
              <w:t>19‑20</w:t>
            </w:r>
          </w:p>
        </w:tc>
        <w:tc>
          <w:tcPr>
            <w:tcW w:type="dxa" w:w="4320"/>
          </w:tcPr>
          <w:p>
            <w:r>
              <w:t>Deployment, hand‑over &amp; training</w:t>
            </w:r>
          </w:p>
        </w:tc>
      </w:tr>
    </w:tbl>
    <w:p/>
    <w:p>
      <w:pPr>
        <w:pStyle w:val="Heading1"/>
      </w:pPr>
      <w:r>
        <w:t>Project Scope and Objectives</w:t>
      </w:r>
    </w:p>
    <w:p>
      <w:r>
        <w:t>### Project Scope and Objectives</w:t>
      </w:r>
    </w:p>
    <w:p>
      <w:r>
        <w:t>Acme Corp will receive a bilingual (English/Spanish) AI chatbot that seamlessly integrates with its existing Salesforce CRM. The engagement begins on **1 Nov 2024** and runs for **20 weeks**, concluding on **20 Mar 2025**. The chatbot will handle up to **5,000 concurrent user sessions**, achieve a **95 % intent‑recognition accuracy** after the first training cycle, and reduce average support ticket resolution time by **30 %**.</w:t>
      </w:r>
    </w:p>
    <w:p>
      <w:r>
        <w:t>The six‑person delivery team—Project Manager (Laura Chen), AI Engineer (Ravi Patel), NLP Specialist (María Gómez), Front‑end Developer (Ethan Lee), UX Designer (Sofia Ruiz), and QA Engineer (Tom Becker)—will work in two‑week sprints. Milestones include: (1) requirements freeze and data mapping (Week 1‑2), (2) CRM API integration and data pipeline setup (Week 3‑5), (3) core dialogue engine development (Week 6‑12), (4) UI/UX prototype and multilingual testing (Week 13‑16), and (5) final QA, user acceptance testing, and launch (Week 17‑20). All deliverables are tracked against the fixed budget of **$250,000**, ensuring no scope creep.</w:t>
      </w:r>
    </w:p>
    <w:p>
      <w:r>
        <w:t>The project’s success metrics will be reported weekly, with a post‑launch review scheduled for **30 Mar 2025** to confirm performance targets and hand over documentation.</w:t>
      </w:r>
    </w:p>
    <w:p>
      <w:r>
        <w:rPr>
          <w:i/>
          <w:color w:val="555555"/>
          <w:sz w:val="20"/>
        </w:rPr>
        <w:t>Budget Allocation for Acme Corp AI Chatbot Project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Amount (USD)</w:t>
            </w:r>
          </w:p>
        </w:tc>
      </w:tr>
      <w:tr>
        <w:tc>
          <w:tcPr>
            <w:tcW w:type="dxa" w:w="4320"/>
          </w:tcPr>
          <w:p>
            <w:r>
              <w:t>Project Management</w:t>
            </w:r>
          </w:p>
        </w:tc>
        <w:tc>
          <w:tcPr>
            <w:tcW w:type="dxa" w:w="4320"/>
          </w:tcPr>
          <w:p>
            <w:r>
              <w:t>30,000</w:t>
            </w:r>
          </w:p>
        </w:tc>
      </w:tr>
      <w:tr>
        <w:tc>
          <w:tcPr>
            <w:tcW w:type="dxa" w:w="4320"/>
          </w:tcPr>
          <w:p>
            <w:r>
              <w:t>AI Engineer</w:t>
            </w:r>
          </w:p>
        </w:tc>
        <w:tc>
          <w:tcPr>
            <w:tcW w:type="dxa" w:w="4320"/>
          </w:tcPr>
          <w:p>
            <w:r>
              <w:t>60,000</w:t>
            </w:r>
          </w:p>
        </w:tc>
      </w:tr>
      <w:tr>
        <w:tc>
          <w:tcPr>
            <w:tcW w:type="dxa" w:w="4320"/>
          </w:tcPr>
          <w:p>
            <w:r>
              <w:t>NLP Specialist</w:t>
            </w:r>
          </w:p>
        </w:tc>
        <w:tc>
          <w:tcPr>
            <w:tcW w:type="dxa" w:w="4320"/>
          </w:tcPr>
          <w:p>
            <w:r>
              <w:t>40,000</w:t>
            </w:r>
          </w:p>
        </w:tc>
      </w:tr>
      <w:tr>
        <w:tc>
          <w:tcPr>
            <w:tcW w:type="dxa" w:w="4320"/>
          </w:tcPr>
          <w:p>
            <w:r>
              <w:t>Front‑end Development</w:t>
            </w:r>
          </w:p>
        </w:tc>
        <w:tc>
          <w:tcPr>
            <w:tcW w:type="dxa" w:w="4320"/>
          </w:tcPr>
          <w:p>
            <w:r>
              <w:t>35,000</w:t>
            </w:r>
          </w:p>
        </w:tc>
      </w:tr>
      <w:tr>
        <w:tc>
          <w:tcPr>
            <w:tcW w:type="dxa" w:w="4320"/>
          </w:tcPr>
          <w:p>
            <w:r>
              <w:t>UX Design</w:t>
            </w:r>
          </w:p>
        </w:tc>
        <w:tc>
          <w:tcPr>
            <w:tcW w:type="dxa" w:w="4320"/>
          </w:tcPr>
          <w:p>
            <w:r>
              <w:t>30,000</w:t>
            </w:r>
          </w:p>
        </w:tc>
      </w:tr>
      <w:tr>
        <w:tc>
          <w:tcPr>
            <w:tcW w:type="dxa" w:w="4320"/>
          </w:tcPr>
          <w:p>
            <w:r>
              <w:t>QA Engineering</w:t>
            </w:r>
          </w:p>
        </w:tc>
        <w:tc>
          <w:tcPr>
            <w:tcW w:type="dxa" w:w="4320"/>
          </w:tcPr>
          <w:p>
            <w:r>
              <w:t>25,000</w:t>
            </w:r>
          </w:p>
        </w:tc>
      </w:tr>
      <w:tr>
        <w:tc>
          <w:tcPr>
            <w:tcW w:type="dxa" w:w="4320"/>
          </w:tcPr>
          <w:p>
            <w:r>
              <w:t>CRM Integration</w:t>
            </w:r>
          </w:p>
        </w:tc>
        <w:tc>
          <w:tcPr>
            <w:tcW w:type="dxa" w:w="4320"/>
          </w:tcPr>
          <w:p>
            <w:r>
              <w:t>20,000</w:t>
            </w:r>
          </w:p>
        </w:tc>
      </w:tr>
      <w:tr>
        <w:tc>
          <w:tcPr>
            <w:tcW w:type="dxa" w:w="4320"/>
          </w:tcPr>
          <w:p>
            <w:r>
              <w:t>Contingency</w:t>
            </w:r>
          </w:p>
        </w:tc>
        <w:tc>
          <w:tcPr>
            <w:tcW w:type="dxa" w:w="4320"/>
          </w:tcPr>
          <w:p>
            <w:r>
              <w:t>10,000</w:t>
            </w:r>
          </w:p>
        </w:tc>
      </w:tr>
    </w:tbl>
    <w:p/>
    <w:p>
      <w:pPr>
        <w:pStyle w:val="Heading1"/>
      </w:pPr>
      <w:r>
        <w:t>Technical Approach and Architecture</w:t>
      </w:r>
    </w:p>
    <w:p>
      <w:r>
        <w:t>Technical Approach and Architecture</w:t>
      </w:r>
    </w:p>
    <w:p>
      <w:r>
        <w:t>Acme Corp’s AI chatbot will be built on a micro‑service architecture hosted on AWS (EKS for container orchestration, S3 for model artifacts, and RDS for session persistence). The core NLP engine, developed by our AI Engineer (Maria Lopez) and NLP Specialist (Javier Ruiz), will use a fine‑tuned GPT‑4 model with bilingual tokenizers to achieve ≥95% intent‑recognition accuracy in English and Spanish. Latency is targeted at &lt;200 ms per turn, with 99.5% uptime guaranteed by multi‑AZ deployment.</w:t>
      </w:r>
    </w:p>
    <w:p>
      <w:r>
        <w:t>Integration with Acme’s existing Salesforce CRM will be achieved via secure REST APIs and OAuth 2.0, enabling real‑time ticket creation and customer data lookup. The Front‑end Developer (Lena Patel) will deliver a responsive web widget and mobile SDKs, while the UX Designer (Carlos Mendes) will ensure compliance with Acme’s brand guidelines and accessibility standards (WCAG AA). The QA Engineer (Samir Khan) will implement automated regression suites and load testing to validate performance under 10,000 concurrent sessions.</w:t>
      </w:r>
    </w:p>
    <w:p>
      <w:r>
        <w:t>The project will run for 20 weeks, from 1 Nov 2024 to 20 Mar 2025, within a total budget of $250,000. Budget allocations are fixed (see table) to avoid scope creep and ensure transparent financial tracking.</w:t>
      </w:r>
    </w:p>
    <w:p>
      <w:r>
        <w:rPr>
          <w:i/>
          <w:color w:val="555555"/>
          <w:sz w:val="20"/>
        </w:rPr>
        <w:t>Milestone Schedule and Budget Allocation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Milestone</w:t>
            </w:r>
          </w:p>
        </w:tc>
        <w:tc>
          <w:tcPr>
            <w:tcW w:type="dxa" w:w="1728"/>
          </w:tcPr>
          <w:p>
            <w:r>
              <w:rPr>
                <w:b/>
              </w:rPr>
              <w:t>Week Range</w:t>
            </w:r>
          </w:p>
        </w:tc>
        <w:tc>
          <w:tcPr>
            <w:tcW w:type="dxa" w:w="1728"/>
          </w:tcPr>
          <w:p>
            <w:r>
              <w:rPr>
                <w:b/>
              </w:rPr>
              <w:t>Deliverable</w:t>
            </w:r>
          </w:p>
        </w:tc>
        <w:tc>
          <w:tcPr>
            <w:tcW w:type="dxa" w:w="1728"/>
          </w:tcPr>
          <w:p>
            <w:r>
              <w:rPr>
                <w:b/>
              </w:rPr>
              <w:t>Owner</w:t>
            </w:r>
          </w:p>
        </w:tc>
        <w:tc>
          <w:tcPr>
            <w:tcW w:type="dxa" w:w="1728"/>
          </w:tcPr>
          <w:p>
            <w:r>
              <w:rPr>
                <w:b/>
              </w:rPr>
              <w:t>Budget</w:t>
            </w:r>
          </w:p>
        </w:tc>
      </w:tr>
      <w:tr>
        <w:tc>
          <w:tcPr>
            <w:tcW w:type="dxa" w:w="1728"/>
          </w:tcPr>
          <w:p>
            <w:r>
              <w:t>Project Kick‑off</w:t>
            </w:r>
          </w:p>
        </w:tc>
        <w:tc>
          <w:tcPr>
            <w:tcW w:type="dxa" w:w="1728"/>
          </w:tcPr>
          <w:p>
            <w:r>
              <w:t>1‑2</w:t>
            </w:r>
          </w:p>
        </w:tc>
        <w:tc>
          <w:tcPr>
            <w:tcW w:type="dxa" w:w="1728"/>
          </w:tcPr>
          <w:p>
            <w:r>
              <w:t>Requirements sign‑off, project plan</w:t>
            </w:r>
          </w:p>
        </w:tc>
        <w:tc>
          <w:tcPr>
            <w:tcW w:type="dxa" w:w="1728"/>
          </w:tcPr>
          <w:p>
            <w:r>
              <w:t>Project Manager (Ana Torres)</w:t>
            </w:r>
          </w:p>
        </w:tc>
        <w:tc>
          <w:tcPr>
            <w:tcW w:type="dxa" w:w="1728"/>
          </w:tcPr>
          <w:p>
            <w:r>
              <w:t>$15,000</w:t>
            </w:r>
          </w:p>
        </w:tc>
      </w:tr>
      <w:tr>
        <w:tc>
          <w:tcPr>
            <w:tcW w:type="dxa" w:w="1728"/>
          </w:tcPr>
          <w:p>
            <w:r>
              <w:t>Model Development</w:t>
            </w:r>
          </w:p>
        </w:tc>
        <w:tc>
          <w:tcPr>
            <w:tcW w:type="dxa" w:w="1728"/>
          </w:tcPr>
          <w:p>
            <w:r>
              <w:t>3‑8</w:t>
            </w:r>
          </w:p>
        </w:tc>
        <w:tc>
          <w:tcPr>
            <w:tcW w:type="dxa" w:w="1728"/>
          </w:tcPr>
          <w:p>
            <w:r>
              <w:t>Bilingual GPT‑4 fine‑tuning, intent classifier</w:t>
            </w:r>
          </w:p>
        </w:tc>
        <w:tc>
          <w:tcPr>
            <w:tcW w:type="dxa" w:w="1728"/>
          </w:tcPr>
          <w:p>
            <w:r>
              <w:t>AI Engineer &amp; NLP Specialist</w:t>
            </w:r>
          </w:p>
        </w:tc>
        <w:tc>
          <w:tcPr>
            <w:tcW w:type="dxa" w:w="1728"/>
          </w:tcPr>
          <w:p>
            <w:r>
              <w:t>$100,000</w:t>
            </w:r>
          </w:p>
        </w:tc>
      </w:tr>
      <w:tr>
        <w:tc>
          <w:tcPr>
            <w:tcW w:type="dxa" w:w="1728"/>
          </w:tcPr>
          <w:p>
            <w:r>
              <w:t>CRM Integration</w:t>
            </w:r>
          </w:p>
        </w:tc>
        <w:tc>
          <w:tcPr>
            <w:tcW w:type="dxa" w:w="1728"/>
          </w:tcPr>
          <w:p>
            <w:r>
              <w:t>9‑12</w:t>
            </w:r>
          </w:p>
        </w:tc>
        <w:tc>
          <w:tcPr>
            <w:tcW w:type="dxa" w:w="1728"/>
          </w:tcPr>
          <w:p>
            <w:r>
              <w:t>Secure API connectors, data mapping</w:t>
            </w:r>
          </w:p>
        </w:tc>
        <w:tc>
          <w:tcPr>
            <w:tcW w:type="dxa" w:w="1728"/>
          </w:tcPr>
          <w:p>
            <w:r>
              <w:t>Front‑end Developer &amp; AI Engineer</w:t>
            </w:r>
          </w:p>
        </w:tc>
        <w:tc>
          <w:tcPr>
            <w:tcW w:type="dxa" w:w="1728"/>
          </w:tcPr>
          <w:p>
            <w:r>
              <w:t>$50,000</w:t>
            </w:r>
          </w:p>
        </w:tc>
      </w:tr>
      <w:tr>
        <w:tc>
          <w:tcPr>
            <w:tcW w:type="dxa" w:w="1728"/>
          </w:tcPr>
          <w:p>
            <w:r>
              <w:t>UX/UI Design</w:t>
            </w:r>
          </w:p>
        </w:tc>
        <w:tc>
          <w:tcPr>
            <w:tcW w:type="dxa" w:w="1728"/>
          </w:tcPr>
          <w:p>
            <w:r>
              <w:t>5‑10</w:t>
            </w:r>
          </w:p>
        </w:tc>
        <w:tc>
          <w:tcPr>
            <w:tcW w:type="dxa" w:w="1728"/>
          </w:tcPr>
          <w:p>
            <w:r>
              <w:t>Wireframes, prototype, accessibility audit</w:t>
            </w:r>
          </w:p>
        </w:tc>
        <w:tc>
          <w:tcPr>
            <w:tcW w:type="dxa" w:w="1728"/>
          </w:tcPr>
          <w:p>
            <w:r>
              <w:t>UX Designer</w:t>
            </w:r>
          </w:p>
        </w:tc>
        <w:tc>
          <w:tcPr>
            <w:tcW w:type="dxa" w:w="1728"/>
          </w:tcPr>
          <w:p>
            <w:r>
              <w:t>$30,000</w:t>
            </w:r>
          </w:p>
        </w:tc>
      </w:tr>
      <w:tr>
        <w:tc>
          <w:tcPr>
            <w:tcW w:type="dxa" w:w="1728"/>
          </w:tcPr>
          <w:p>
            <w:r>
              <w:t>Testing &amp; QA</w:t>
            </w:r>
          </w:p>
        </w:tc>
        <w:tc>
          <w:tcPr>
            <w:tcW w:type="dxa" w:w="1728"/>
          </w:tcPr>
          <w:p>
            <w:r>
              <w:t>13‑18</w:t>
            </w:r>
          </w:p>
        </w:tc>
        <w:tc>
          <w:tcPr>
            <w:tcW w:type="dxa" w:w="1728"/>
          </w:tcPr>
          <w:p>
            <w:r>
              <w:t>Automated test suites, load testing</w:t>
            </w:r>
          </w:p>
        </w:tc>
        <w:tc>
          <w:tcPr>
            <w:tcW w:type="dxa" w:w="1728"/>
          </w:tcPr>
          <w:p>
            <w:r>
              <w:t>QA Engineer</w:t>
            </w:r>
          </w:p>
        </w:tc>
        <w:tc>
          <w:tcPr>
            <w:tcW w:type="dxa" w:w="1728"/>
          </w:tcPr>
          <w:p>
            <w:r>
              <w:t>$20,000</w:t>
            </w:r>
          </w:p>
        </w:tc>
      </w:tr>
      <w:tr>
        <w:tc>
          <w:tcPr>
            <w:tcW w:type="dxa" w:w="1728"/>
          </w:tcPr>
          <w:p>
            <w:r>
              <w:t>Deployment &amp; Training</w:t>
            </w:r>
          </w:p>
        </w:tc>
        <w:tc>
          <w:tcPr>
            <w:tcW w:type="dxa" w:w="1728"/>
          </w:tcPr>
          <w:p>
            <w:r>
              <w:t>19‑20</w:t>
            </w:r>
          </w:p>
        </w:tc>
        <w:tc>
          <w:tcPr>
            <w:tcW w:type="dxa" w:w="1728"/>
          </w:tcPr>
          <w:p>
            <w:r>
              <w:t>Production rollout, client training</w:t>
            </w:r>
          </w:p>
        </w:tc>
        <w:tc>
          <w:tcPr>
            <w:tcW w:type="dxa" w:w="1728"/>
          </w:tcPr>
          <w:p>
            <w:r>
              <w:t>Project Manager</w:t>
            </w:r>
          </w:p>
        </w:tc>
        <w:tc>
          <w:tcPr>
            <w:tcW w:type="dxa" w:w="1728"/>
          </w:tcPr>
          <w:p>
            <w:r>
              <w:t>$15,000</w:t>
            </w:r>
          </w:p>
        </w:tc>
      </w:tr>
      <w:tr>
        <w:tc>
          <w:tcPr>
            <w:tcW w:type="dxa" w:w="1728"/>
          </w:tcPr>
          <w:p>
            <w:r>
              <w:t>Contingency</w:t>
            </w:r>
          </w:p>
        </w:tc>
        <w:tc>
          <w:tcPr>
            <w:tcW w:type="dxa" w:w="1728"/>
          </w:tcPr>
          <w:p>
            <w:r>
              <w:t>-</w:t>
            </w:r>
          </w:p>
        </w:tc>
        <w:tc>
          <w:tcPr>
            <w:tcW w:type="dxa" w:w="1728"/>
          </w:tcPr>
          <w:p>
            <w:r>
              <w:t>Risk buffer</w:t>
            </w:r>
          </w:p>
        </w:tc>
        <w:tc>
          <w:tcPr>
            <w:tcW w:type="dxa" w:w="1728"/>
          </w:tcPr>
          <w:p>
            <w:r>
              <w:t>All</w:t>
            </w:r>
          </w:p>
        </w:tc>
        <w:tc>
          <w:tcPr>
            <w:tcW w:type="dxa" w:w="1728"/>
          </w:tcPr>
          <w:p>
            <w:r>
              <w:t>$20,000</w:t>
            </w:r>
          </w:p>
        </w:tc>
      </w:tr>
    </w:tbl>
    <w:p/>
    <w:p>
      <w:pPr>
        <w:pStyle w:val="Heading1"/>
      </w:pPr>
      <w:r>
        <w:t>Timeline and Milestones</w:t>
      </w:r>
    </w:p>
    <w:p>
      <w:r>
        <w:t>### Timeline and Milestones</w:t>
      </w:r>
    </w:p>
    <w:p>
      <w:r>
        <w:t>Acme Corp’s AI chatbot project will run **20 weeks**, beginning **Monday, June 3, 2024** and concluding **Friday, October 18, 2024**. The six‑person core team—Project Manager **Laura Chen**, AI Engineer **Ravi Patel**, NLP Specialist **Sofia Martínez**, Front‑end Developer **Ethan Liu**, UX Designer **Maya Gomez**, and QA Engineer **James O’Neill**—will follow the fixed schedule below. All milestones are aligned with the **$250,000** fixed‑price budget, which is allocated as follows: $80,000 for data collection and annotation, $90,000 for model development and multilingual training, $40,000 for integration with Acme’s Salesforce CRM, $30,000 for UI/UX design and front‑end implementation, and $10,000 for testing and deployment. Weekly progress reviews will be held every Friday at 10 AM EST to ensure adherence to scope, timeline, and budget.</w:t>
      </w:r>
    </w:p>
    <w:p>
      <w:r>
        <w:t>The chatbot will support both **English and Spanish** from the first public beta (Week 12) and will be fully integrated with the existing CRM by Week 16, enabling real‑time ticket creation and customer data retrieval. Final acceptance testing and hand‑over will occur in Weeks 18‑20, with a documented knowledge‑transfer session for Acme’s support staff.</w:t>
      </w:r>
    </w:p>
    <w:p>
      <w:r>
        <w:rPr>
          <w:i/>
          <w:color w:val="555555"/>
          <w:sz w:val="20"/>
        </w:rPr>
        <w:t>Project Timeline and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Week Range</w:t>
            </w:r>
          </w:p>
        </w:tc>
        <w:tc>
          <w:tcPr>
            <w:tcW w:type="dxa" w:w="2880"/>
          </w:tcPr>
          <w:p>
            <w:r>
              <w:rPr>
                <w:b/>
              </w:rPr>
              <w:t>Milestone</w:t>
            </w:r>
          </w:p>
        </w:tc>
        <w:tc>
          <w:tcPr>
            <w:tcW w:type="dxa" w:w="2880"/>
          </w:tcPr>
          <w:p>
            <w:r>
              <w:rPr>
                <w:b/>
              </w:rPr>
              <w:t>Deliverable</w:t>
            </w:r>
          </w:p>
        </w:tc>
      </w:tr>
      <w:tr>
        <w:tc>
          <w:tcPr>
            <w:tcW w:type="dxa" w:w="2880"/>
          </w:tcPr>
          <w:p>
            <w:r>
              <w:t>1‑2</w:t>
            </w:r>
          </w:p>
        </w:tc>
        <w:tc>
          <w:tcPr>
            <w:tcW w:type="dxa" w:w="2880"/>
          </w:tcPr>
          <w:p>
            <w:r>
              <w:t>Project Initiation &amp; Requirements Finalization</w:t>
            </w:r>
          </w:p>
        </w:tc>
        <w:tc>
          <w:tcPr>
            <w:tcW w:type="dxa" w:w="2880"/>
          </w:tcPr>
          <w:p>
            <w:r>
              <w:t>Signed SOW, detailed functional specs</w:t>
            </w:r>
          </w:p>
        </w:tc>
      </w:tr>
      <w:tr>
        <w:tc>
          <w:tcPr>
            <w:tcW w:type="dxa" w:w="2880"/>
          </w:tcPr>
          <w:p>
            <w:r>
              <w:t>3‑5</w:t>
            </w:r>
          </w:p>
        </w:tc>
        <w:tc>
          <w:tcPr>
            <w:tcW w:type="dxa" w:w="2880"/>
          </w:tcPr>
          <w:p>
            <w:r>
              <w:t>Data Collection &amp; Annotation</w:t>
            </w:r>
          </w:p>
        </w:tc>
        <w:tc>
          <w:tcPr>
            <w:tcW w:type="dxa" w:w="2880"/>
          </w:tcPr>
          <w:p>
            <w:r>
              <w:t>Annotated bilingual corpus (≈150k utterances)</w:t>
            </w:r>
          </w:p>
        </w:tc>
      </w:tr>
      <w:tr>
        <w:tc>
          <w:tcPr>
            <w:tcW w:type="dxa" w:w="2880"/>
          </w:tcPr>
          <w:p>
            <w:r>
              <w:t>6‑9</w:t>
            </w:r>
          </w:p>
        </w:tc>
        <w:tc>
          <w:tcPr>
            <w:tcW w:type="dxa" w:w="2880"/>
          </w:tcPr>
          <w:p>
            <w:r>
              <w:t>Model Development &amp; Training</w:t>
            </w:r>
          </w:p>
        </w:tc>
        <w:tc>
          <w:tcPr>
            <w:tcW w:type="dxa" w:w="2880"/>
          </w:tcPr>
          <w:p>
            <w:r>
              <w:t>Baseline multilingual NLU model (F1 ≥ 0.89)</w:t>
            </w:r>
          </w:p>
        </w:tc>
      </w:tr>
      <w:tr>
        <w:tc>
          <w:tcPr>
            <w:tcW w:type="dxa" w:w="2880"/>
          </w:tcPr>
          <w:p>
            <w:r>
              <w:t>10‑12</w:t>
            </w:r>
          </w:p>
        </w:tc>
        <w:tc>
          <w:tcPr>
            <w:tcW w:type="dxa" w:w="2880"/>
          </w:tcPr>
          <w:p>
            <w:r>
              <w:t>Beta UI/UX &amp; Front‑end Build</w:t>
            </w:r>
          </w:p>
        </w:tc>
        <w:tc>
          <w:tcPr>
            <w:tcW w:type="dxa" w:w="2880"/>
          </w:tcPr>
          <w:p>
            <w:r>
              <w:t>Responsive web widget prototype</w:t>
            </w:r>
          </w:p>
        </w:tc>
      </w:tr>
      <w:tr>
        <w:tc>
          <w:tcPr>
            <w:tcW w:type="dxa" w:w="2880"/>
          </w:tcPr>
          <w:p>
            <w:r>
              <w:t>13‑14</w:t>
            </w:r>
          </w:p>
        </w:tc>
        <w:tc>
          <w:tcPr>
            <w:tcW w:type="dxa" w:w="2880"/>
          </w:tcPr>
          <w:p>
            <w:r>
              <w:t>CRM Integration</w:t>
            </w:r>
          </w:p>
        </w:tc>
        <w:tc>
          <w:tcPr>
            <w:tcW w:type="dxa" w:w="2880"/>
          </w:tcPr>
          <w:p>
            <w:r>
              <w:t>Bidirectional API with Salesforce (ticket sync)</w:t>
            </w:r>
          </w:p>
        </w:tc>
      </w:tr>
      <w:tr>
        <w:tc>
          <w:tcPr>
            <w:tcW w:type="dxa" w:w="2880"/>
          </w:tcPr>
          <w:p>
            <w:r>
              <w:t>15‑16</w:t>
            </w:r>
          </w:p>
        </w:tc>
        <w:tc>
          <w:tcPr>
            <w:tcW w:type="dxa" w:w="2880"/>
          </w:tcPr>
          <w:p>
            <w:r>
              <w:t>Beta Release &amp; User Testing</w:t>
            </w:r>
          </w:p>
        </w:tc>
        <w:tc>
          <w:tcPr>
            <w:tcW w:type="dxa" w:w="2880"/>
          </w:tcPr>
          <w:p>
            <w:r>
              <w:t>English/Spanish beta with 50 pilot users</w:t>
            </w:r>
          </w:p>
        </w:tc>
      </w:tr>
      <w:tr>
        <w:tc>
          <w:tcPr>
            <w:tcW w:type="dxa" w:w="2880"/>
          </w:tcPr>
          <w:p>
            <w:r>
              <w:t>17‑18</w:t>
            </w:r>
          </w:p>
        </w:tc>
        <w:tc>
          <w:tcPr>
            <w:tcW w:type="dxa" w:w="2880"/>
          </w:tcPr>
          <w:p>
            <w:r>
              <w:t>Performance Tuning &amp; QA</w:t>
            </w:r>
          </w:p>
        </w:tc>
        <w:tc>
          <w:tcPr>
            <w:tcW w:type="dxa" w:w="2880"/>
          </w:tcPr>
          <w:p>
            <w:r>
              <w:t>Latency ≤ 200 ms, error rate &lt; 1%</w:t>
            </w:r>
          </w:p>
        </w:tc>
      </w:tr>
      <w:tr>
        <w:tc>
          <w:tcPr>
            <w:tcW w:type="dxa" w:w="2880"/>
          </w:tcPr>
          <w:p>
            <w:r>
              <w:t>19‑20</w:t>
            </w:r>
          </w:p>
        </w:tc>
        <w:tc>
          <w:tcPr>
            <w:tcW w:type="dxa" w:w="2880"/>
          </w:tcPr>
          <w:p>
            <w:r>
              <w:t>Final Deployment &amp; Handover</w:t>
            </w:r>
          </w:p>
        </w:tc>
        <w:tc>
          <w:tcPr>
            <w:tcW w:type="dxa" w:w="2880"/>
          </w:tcPr>
          <w:p>
            <w:r>
              <w:t>Production chatbot, documentation, training session</w:t>
            </w:r>
          </w:p>
        </w:tc>
      </w:tr>
    </w:tbl>
    <w:p/>
    <w:p>
      <w:pPr>
        <w:pStyle w:val="Heading1"/>
      </w:pPr>
      <w:r>
        <w:t>Pricing, Terms, and Acceptance</w:t>
      </w:r>
    </w:p>
    <w:p>
      <w:r>
        <w:t>### Pricing, Terms, and Acceptance</w:t>
      </w:r>
    </w:p>
    <w:p>
      <w:r>
        <w:t>Acme Corp will receive a fully integrated AI chatbot solution delivered over a 20‑week period, commencing **Monday, November 4, 2024** and concluding **Friday, March 22, 2025**. The fixed price for the entire scope—English/Spanish language support, Salesforce CRM integration, and a responsive web widget—is **$250,000**. Payment is structured in three milestones: 30% ($75,000) due upon contract signing, 40% ($100,000) upon delivery of the MVP (Week 10), and the remaining 30% ($75,000) upon final acceptance and sign‑off.</w:t>
      </w:r>
    </w:p>
    <w:p>
      <w:r>
        <w:t>The project team of six specialists will remain constant throughout:</w:t>
      </w:r>
    </w:p>
    <w:p>
      <w:r>
        <w:t>- **Lisa Chen**, Project Manager</w:t>
      </w:r>
    </w:p>
    <w:p>
      <w:r>
        <w:t>- **Marco Alvarez**, AI Engineer</w:t>
      </w:r>
    </w:p>
    <w:p>
      <w:r>
        <w:t>- **Priya Singh**, NLP Specialist</w:t>
      </w:r>
    </w:p>
    <w:p>
      <w:r>
        <w:t>- **Daniel Kim**, Front‑end Developer</w:t>
      </w:r>
    </w:p>
    <w:p>
      <w:r>
        <w:t>- **Sofia Martinez**, UX Designer</w:t>
      </w:r>
    </w:p>
    <w:p>
      <w:r>
        <w:t>- **Ethan Patel**, QA Engineer</w:t>
      </w:r>
    </w:p>
    <w:p>
      <w:r>
        <w:t>All deliverables, including a bilingual conversational model with 95% intent‑recognition accuracy and a latency under 300 ms, are covered in the budget. Acceptance will be confirmed via signed sign‑off sheet and a formal email from Acme Corp’s authorized representative. Should any scope change be required, a written change order will be issued and billed at the agreed hourly rate of $250.</w:t>
      </w:r>
    </w:p>
    <w:p>
      <w:r>
        <w:rPr>
          <w:i/>
          <w:color w:val="555555"/>
          <w:sz w:val="20"/>
        </w:rPr>
        <w:t>Budget Allocation by 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Amount (USD)</w:t>
            </w:r>
          </w:p>
        </w:tc>
        <w:tc>
          <w:tcPr>
            <w:tcW w:type="dxa" w:w="2880"/>
          </w:tcPr>
          <w:p>
            <w:r>
              <w:rPr>
                <w:b/>
              </w:rPr>
              <w:t>Percentage</w:t>
            </w:r>
          </w:p>
        </w:tc>
      </w:tr>
      <w:tr>
        <w:tc>
          <w:tcPr>
            <w:tcW w:type="dxa" w:w="2880"/>
          </w:tcPr>
          <w:p>
            <w:r>
              <w:t>Project Management</w:t>
            </w:r>
          </w:p>
        </w:tc>
        <w:tc>
          <w:tcPr>
            <w:tcW w:type="dxa" w:w="2880"/>
          </w:tcPr>
          <w:p>
            <w:r>
              <w:t>30,000</w:t>
            </w:r>
          </w:p>
        </w:tc>
        <w:tc>
          <w:tcPr>
            <w:tcW w:type="dxa" w:w="2880"/>
          </w:tcPr>
          <w:p>
            <w:r>
              <w:t>12%</w:t>
            </w:r>
          </w:p>
        </w:tc>
      </w:tr>
      <w:tr>
        <w:tc>
          <w:tcPr>
            <w:tcW w:type="dxa" w:w="2880"/>
          </w:tcPr>
          <w:p>
            <w:r>
              <w:t>AI Engineering &amp; Model Development</w:t>
            </w:r>
          </w:p>
        </w:tc>
        <w:tc>
          <w:tcPr>
            <w:tcW w:type="dxa" w:w="2880"/>
          </w:tcPr>
          <w:p>
            <w:r>
              <w:t>80,000</w:t>
            </w:r>
          </w:p>
        </w:tc>
        <w:tc>
          <w:tcPr>
            <w:tcW w:type="dxa" w:w="2880"/>
          </w:tcPr>
          <w:p>
            <w:r>
              <w:t>32%</w:t>
            </w:r>
          </w:p>
        </w:tc>
      </w:tr>
      <w:tr>
        <w:tc>
          <w:tcPr>
            <w:tcW w:type="dxa" w:w="2880"/>
          </w:tcPr>
          <w:p>
            <w:r>
              <w:t>NLP &amp; Language Support</w:t>
            </w:r>
          </w:p>
        </w:tc>
        <w:tc>
          <w:tcPr>
            <w:tcW w:type="dxa" w:w="2880"/>
          </w:tcPr>
          <w:p>
            <w:r>
              <w:t>45,000</w:t>
            </w:r>
          </w:p>
        </w:tc>
        <w:tc>
          <w:tcPr>
            <w:tcW w:type="dxa" w:w="2880"/>
          </w:tcPr>
          <w:p>
            <w:r>
              <w:t>18%</w:t>
            </w:r>
          </w:p>
        </w:tc>
      </w:tr>
      <w:tr>
        <w:tc>
          <w:tcPr>
            <w:tcW w:type="dxa" w:w="2880"/>
          </w:tcPr>
          <w:p>
            <w:r>
              <w:t>Front‑end Development</w:t>
            </w:r>
          </w:p>
        </w:tc>
        <w:tc>
          <w:tcPr>
            <w:tcW w:type="dxa" w:w="2880"/>
          </w:tcPr>
          <w:p>
            <w:r>
              <w:t>40,000</w:t>
            </w:r>
          </w:p>
        </w:tc>
        <w:tc>
          <w:tcPr>
            <w:tcW w:type="dxa" w:w="2880"/>
          </w:tcPr>
          <w:p>
            <w:r>
              <w:t>16%</w:t>
            </w:r>
          </w:p>
        </w:tc>
      </w:tr>
      <w:tr>
        <w:tc>
          <w:tcPr>
            <w:tcW w:type="dxa" w:w="2880"/>
          </w:tcPr>
          <w:p>
            <w:r>
              <w:t>UX Design</w:t>
            </w:r>
          </w:p>
        </w:tc>
        <w:tc>
          <w:tcPr>
            <w:tcW w:type="dxa" w:w="2880"/>
          </w:tcPr>
          <w:p>
            <w:r>
              <w:t>25,000</w:t>
            </w:r>
          </w:p>
        </w:tc>
        <w:tc>
          <w:tcPr>
            <w:tcW w:type="dxa" w:w="2880"/>
          </w:tcPr>
          <w:p>
            <w:r>
              <w:t>10%</w:t>
            </w:r>
          </w:p>
        </w:tc>
      </w:tr>
      <w:tr>
        <w:tc>
          <w:tcPr>
            <w:tcW w:type="dxa" w:w="2880"/>
          </w:tcPr>
          <w:p>
            <w:r>
              <w:t>Quality Assurance</w:t>
            </w:r>
          </w:p>
        </w:tc>
        <w:tc>
          <w:tcPr>
            <w:tcW w:type="dxa" w:w="2880"/>
          </w:tcPr>
          <w:p>
            <w:r>
              <w:t>20,000</w:t>
            </w:r>
          </w:p>
        </w:tc>
        <w:tc>
          <w:tcPr>
            <w:tcW w:type="dxa" w:w="2880"/>
          </w:tcPr>
          <w:p>
            <w:r>
              <w:t>8%</w:t>
            </w:r>
          </w:p>
        </w:tc>
      </w:tr>
      <w:tr>
        <w:tc>
          <w:tcPr>
            <w:tcW w:type="dxa" w:w="2880"/>
          </w:tcPr>
          <w:p>
            <w:r>
              <w:t>Contingency (5%)</w:t>
            </w:r>
          </w:p>
        </w:tc>
        <w:tc>
          <w:tcPr>
            <w:tcW w:type="dxa" w:w="2880"/>
          </w:tcPr>
          <w:p>
            <w:r>
              <w:t>12,500</w:t>
            </w:r>
          </w:p>
        </w:tc>
        <w:tc>
          <w:tcPr>
            <w:tcW w:type="dxa" w:w="2880"/>
          </w:tcPr>
          <w:p>
            <w:r>
              <w:t>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