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37F351">
      <w:pPr>
        <w:spacing w:before="0" w:after="60"/>
      </w:pPr>
      <w:r>
        <w:rPr>
          <w:rFonts w:ascii="Calibri" w:hAnsi="Calibri" w:eastAsia="Calibri" w:cs="Calibri"/>
          <w:b/>
          <w:bCs/>
          <w:color w:val="1F3864"/>
          <w:sz w:val="42"/>
          <w:szCs w:val="42"/>
        </w:rPr>
        <w:t>U.S. Airline Performance Analysis</w:t>
      </w:r>
    </w:p>
    <w:p w14:paraId="625E3A8B">
      <w:pPr>
        <w:spacing w:before="0" w:after="60"/>
      </w:pPr>
      <w:r>
        <w:rPr>
          <w:rFonts w:ascii="Calibri" w:hAnsi="Calibri" w:eastAsia="Calibri" w:cs="Calibri"/>
          <w:color w:val="4A6FA5"/>
          <w:sz w:val="24"/>
          <w:szCs w:val="24"/>
        </w:rPr>
        <w:t>Business Insights and Recommendations Report</w:t>
      </w:r>
    </w:p>
    <w:p w14:paraId="1A2D6F25">
      <w:pPr>
        <w:spacing w:before="0" w:after="360"/>
      </w:pPr>
      <w:r>
        <w:rPr>
          <w:rFonts w:ascii="Calibri" w:hAnsi="Calibri" w:eastAsia="Calibri" w:cs="Calibri"/>
          <w:i/>
          <w:iCs/>
          <w:color w:val="888888"/>
          <w:sz w:val="18"/>
          <w:szCs w:val="18"/>
        </w:rPr>
        <w:t>Prepared by Raju Kumar S   |   Tools: PostgreSQL, SQL, Power BI   |   June 2026</w:t>
      </w:r>
    </w:p>
    <w:p w14:paraId="4CF38776">
      <w:pPr>
        <w:pBdr>
          <w:bottom w:val="single" w:color="1F3864" w:sz="4" w:space="4"/>
        </w:pBdr>
        <w:spacing w:before="300" w:after="100"/>
      </w:pPr>
      <w:r>
        <w:rPr>
          <w:rFonts w:ascii="Calibri" w:hAnsi="Calibri" w:eastAsia="Calibri" w:cs="Calibri"/>
          <w:b/>
          <w:bCs/>
          <w:color w:val="1F3864"/>
          <w:sz w:val="26"/>
          <w:szCs w:val="26"/>
        </w:rPr>
        <w:t>1. Executive Summary</w:t>
      </w:r>
    </w:p>
    <w:p w14:paraId="602ECB30">
      <w:pPr>
        <w:spacing w:before="60" w:after="60"/>
      </w:pPr>
    </w:p>
    <w:p w14:paraId="10CECF3E">
      <w:pPr>
        <w:spacing w:before="60" w:after="80"/>
        <w:jc w:val="both"/>
      </w:pPr>
      <w:r>
        <w:rPr>
          <w:rFonts w:ascii="Calibri" w:hAnsi="Calibri" w:eastAsia="Calibri" w:cs="Calibri"/>
          <w:color w:val="222222"/>
          <w:sz w:val="21"/>
          <w:szCs w:val="21"/>
        </w:rPr>
        <w:t>This report covers an analysis of 5.8 million U.S. domestic flight records from 2015, covering 14 airlines and 322 airports. The data was processed using PostgreSQL and SQL, and visualised through a four-page Power BI dashboard covering overall performance, airline comparisons, time-based patterns, and airport-level insights.</w:t>
      </w:r>
    </w:p>
    <w:p w14:paraId="5200A7A1">
      <w:pPr>
        <w:spacing w:before="60" w:after="80"/>
        <w:jc w:val="both"/>
      </w:pPr>
      <w:r>
        <w:rPr>
          <w:rFonts w:ascii="Calibri" w:hAnsi="Calibri" w:eastAsia="Calibri" w:cs="Calibri"/>
          <w:color w:val="222222"/>
          <w:sz w:val="21"/>
          <w:szCs w:val="21"/>
        </w:rPr>
        <w:t>The headline finding is that the U.S. airline industry achieved an 82.14% on-time performance rate in 2015, with an average arrival delay of 4.41 minutes across completed flights. While this sits above the 80% industry benchmark, significant variation exists between carriers and across time periods. The overall cancellation rate of 1.54% is within acceptable range, but several individual airlines and airports fall well outside that threshold.</w:t>
      </w:r>
    </w:p>
    <w:p w14:paraId="4D2BC558">
      <w:pPr>
        <w:spacing w:before="60" w:after="80"/>
        <w:jc w:val="both"/>
      </w:pPr>
      <w:r>
        <w:rPr>
          <w:rFonts w:ascii="Calibri" w:hAnsi="Calibri" w:eastAsia="Calibri" w:cs="Calibri"/>
          <w:color w:val="222222"/>
          <w:sz w:val="21"/>
          <w:szCs w:val="21"/>
        </w:rPr>
        <w:t>The majority of delays are driven by factors within airline control. Weather, despite being the most publicly cited cause of disruption, accounts for only 54.35% of cancellations but a much smaller share of total delay minutes. Late aircraft propagation and carrier-related issues remain the dominant operational challenges.</w:t>
      </w:r>
    </w:p>
    <w:p w14:paraId="2B9F1524">
      <w:pPr>
        <w:pBdr>
          <w:bottom w:val="single" w:color="1F3864" w:sz="4" w:space="4"/>
        </w:pBdr>
        <w:spacing w:before="300" w:after="100"/>
      </w:pPr>
      <w:r>
        <w:rPr>
          <w:rFonts w:ascii="Calibri" w:hAnsi="Calibri" w:eastAsia="Calibri" w:cs="Calibri"/>
          <w:b/>
          <w:bCs/>
          <w:color w:val="1F3864"/>
          <w:sz w:val="26"/>
          <w:szCs w:val="26"/>
        </w:rPr>
        <w:t>2. Key Findings</w:t>
      </w:r>
    </w:p>
    <w:p w14:paraId="711A7F3B">
      <w:pPr>
        <w:spacing w:before="200" w:after="80"/>
      </w:pPr>
      <w:r>
        <w:rPr>
          <w:rFonts w:ascii="Calibri" w:hAnsi="Calibri" w:eastAsia="Calibri" w:cs="Calibri"/>
          <w:b/>
          <w:bCs/>
          <w:color w:val="2E4057"/>
          <w:sz w:val="22"/>
          <w:szCs w:val="22"/>
        </w:rPr>
        <w:t>Overall Performance</w:t>
      </w:r>
    </w:p>
    <w:p w14:paraId="0B385EB6">
      <w:pPr>
        <w:spacing w:before="60" w:after="80"/>
        <w:jc w:val="both"/>
      </w:pPr>
      <w:r>
        <w:rPr>
          <w:rFonts w:ascii="Calibri" w:hAnsi="Calibri" w:eastAsia="Calibri" w:cs="Calibri"/>
          <w:color w:val="222222"/>
          <w:sz w:val="21"/>
          <w:szCs w:val="21"/>
        </w:rPr>
        <w:t>Across 5.8 million flights, the industry achieved an 82.14% OTP rate with an average arrival delay of 4.41 minutes. Average departure delay was slightly higher at 9.34 minutes, suggesting airlines recover some time in the air but not consistently enough to offset late departures. Total delay minutes across all completed flights reached 69.1 million.</w:t>
      </w:r>
    </w:p>
    <w:p w14:paraId="36B0C95D">
      <w:pPr>
        <w:spacing w:before="200" w:after="80"/>
      </w:pPr>
      <w:r>
        <w:rPr>
          <w:rFonts w:ascii="Calibri" w:hAnsi="Calibri" w:eastAsia="Calibri" w:cs="Calibri"/>
          <w:b/>
          <w:bCs/>
          <w:color w:val="2E4057"/>
          <w:sz w:val="22"/>
          <w:szCs w:val="22"/>
        </w:rPr>
        <w:t>Airline Performance</w:t>
      </w:r>
    </w:p>
    <w:p w14:paraId="22A7D8EC">
      <w:pPr>
        <w:spacing w:before="60" w:after="80"/>
        <w:jc w:val="both"/>
      </w:pPr>
      <w:r>
        <w:rPr>
          <w:rFonts w:ascii="Calibri" w:hAnsi="Calibri" w:eastAsia="Calibri" w:cs="Calibri"/>
          <w:color w:val="222222"/>
          <w:sz w:val="21"/>
          <w:szCs w:val="21"/>
        </w:rPr>
        <w:t>Hawaiian Airlines leads the industry with an 89.47% OTP rate and the lowest cancellation rate at 0.22%. Alaska Airlines follows at 87.69%. At the other end, Spirit Air Lines recorded the highest average arrival delay at 14.47 minutes, and American Eagle Airlines had the highest cancellation rate at 5.10%.</w:t>
      </w:r>
    </w:p>
    <w:p w14:paraId="5FC2D8EF">
      <w:pPr>
        <w:spacing w:before="60" w:after="60"/>
      </w:pPr>
    </w:p>
    <w:tbl>
      <w:tblPr>
        <w:tblStyle w:val="9"/>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600"/>
        <w:gridCol w:w="2200"/>
        <w:gridCol w:w="1800"/>
      </w:tblGrid>
      <w:tr w14:paraId="63540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DDDDD" w:sz="0" w:space="0"/>
              <w:left w:val="single" w:color="DDDDDD" w:sz="0" w:space="0"/>
              <w:bottom w:val="single" w:color="DDDDDD" w:sz="0" w:space="0"/>
              <w:right w:val="single" w:color="DDDDDD" w:sz="0" w:space="0"/>
            </w:tcBorders>
            <w:shd w:val="clear" w:color="auto" w:fill="1F3864"/>
            <w:tcMar>
              <w:top w:w="80" w:type="dxa"/>
              <w:left w:w="120" w:type="dxa"/>
              <w:bottom w:w="80" w:type="dxa"/>
              <w:right w:w="120" w:type="dxa"/>
            </w:tcMar>
            <w:vAlign w:val="center"/>
          </w:tcPr>
          <w:p w14:paraId="7D376D38">
            <w:r>
              <w:rPr>
                <w:rFonts w:ascii="Calibri" w:hAnsi="Calibri" w:eastAsia="Calibri" w:cs="Calibri"/>
                <w:b/>
                <w:bCs/>
                <w:color w:val="FFFFFF"/>
                <w:sz w:val="19"/>
                <w:szCs w:val="19"/>
              </w:rPr>
              <w:t>Airline</w:t>
            </w:r>
          </w:p>
        </w:tc>
        <w:tc>
          <w:tcPr>
            <w:tcW w:w="1600" w:type="dxa"/>
            <w:tcBorders>
              <w:top w:val="single" w:color="DDDDDD" w:sz="0" w:space="0"/>
              <w:left w:val="single" w:color="DDDDDD" w:sz="0" w:space="0"/>
              <w:bottom w:val="single" w:color="DDDDDD" w:sz="0" w:space="0"/>
              <w:right w:val="single" w:color="DDDDDD" w:sz="0" w:space="0"/>
            </w:tcBorders>
            <w:shd w:val="clear" w:color="auto" w:fill="1F3864"/>
            <w:tcMar>
              <w:top w:w="80" w:type="dxa"/>
              <w:left w:w="120" w:type="dxa"/>
              <w:bottom w:w="80" w:type="dxa"/>
              <w:right w:w="120" w:type="dxa"/>
            </w:tcMar>
            <w:vAlign w:val="center"/>
          </w:tcPr>
          <w:p w14:paraId="4EAFEC4D">
            <w:r>
              <w:rPr>
                <w:rFonts w:ascii="Calibri" w:hAnsi="Calibri" w:eastAsia="Calibri" w:cs="Calibri"/>
                <w:b/>
                <w:bCs/>
                <w:color w:val="FFFFFF"/>
                <w:sz w:val="19"/>
                <w:szCs w:val="19"/>
              </w:rPr>
              <w:t>OTP Rate</w:t>
            </w:r>
          </w:p>
        </w:tc>
        <w:tc>
          <w:tcPr>
            <w:tcW w:w="2200" w:type="dxa"/>
            <w:tcBorders>
              <w:top w:val="single" w:color="DDDDDD" w:sz="0" w:space="0"/>
              <w:left w:val="single" w:color="DDDDDD" w:sz="0" w:space="0"/>
              <w:bottom w:val="single" w:color="DDDDDD" w:sz="0" w:space="0"/>
              <w:right w:val="single" w:color="DDDDDD" w:sz="0" w:space="0"/>
            </w:tcBorders>
            <w:shd w:val="clear" w:color="auto" w:fill="1F3864"/>
            <w:tcMar>
              <w:top w:w="80" w:type="dxa"/>
              <w:left w:w="120" w:type="dxa"/>
              <w:bottom w:w="80" w:type="dxa"/>
              <w:right w:w="120" w:type="dxa"/>
            </w:tcMar>
            <w:vAlign w:val="center"/>
          </w:tcPr>
          <w:p w14:paraId="5C78DBBA">
            <w:r>
              <w:rPr>
                <w:rFonts w:ascii="Calibri" w:hAnsi="Calibri" w:eastAsia="Calibri" w:cs="Calibri"/>
                <w:b/>
                <w:bCs/>
                <w:color w:val="FFFFFF"/>
                <w:sz w:val="19"/>
                <w:szCs w:val="19"/>
              </w:rPr>
              <w:t>Avg Arrival Delay</w:t>
            </w:r>
          </w:p>
        </w:tc>
        <w:tc>
          <w:tcPr>
            <w:tcW w:w="1800" w:type="dxa"/>
            <w:tcBorders>
              <w:top w:val="single" w:color="DDDDDD" w:sz="0" w:space="0"/>
              <w:left w:val="single" w:color="DDDDDD" w:sz="0" w:space="0"/>
              <w:bottom w:val="single" w:color="DDDDDD" w:sz="0" w:space="0"/>
              <w:right w:val="single" w:color="DDDDDD" w:sz="0" w:space="0"/>
            </w:tcBorders>
            <w:shd w:val="clear" w:color="auto" w:fill="1F3864"/>
            <w:tcMar>
              <w:top w:w="80" w:type="dxa"/>
              <w:left w:w="120" w:type="dxa"/>
              <w:bottom w:w="80" w:type="dxa"/>
              <w:right w:w="120" w:type="dxa"/>
            </w:tcMar>
            <w:vAlign w:val="center"/>
          </w:tcPr>
          <w:p w14:paraId="2E5960A5">
            <w:r>
              <w:rPr>
                <w:rFonts w:ascii="Calibri" w:hAnsi="Calibri" w:eastAsia="Calibri" w:cs="Calibri"/>
                <w:b/>
                <w:bCs/>
                <w:color w:val="FFFFFF"/>
                <w:sz w:val="19"/>
                <w:szCs w:val="19"/>
              </w:rPr>
              <w:t>Cancel Rate</w:t>
            </w:r>
          </w:p>
        </w:tc>
      </w:tr>
      <w:tr w14:paraId="40AC2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DDDDD" w:sz="0" w:space="0"/>
              <w:left w:val="single" w:color="DDDDDD" w:sz="0" w:space="0"/>
              <w:bottom w:val="single" w:color="DDDDDD" w:sz="0" w:space="0"/>
              <w:right w:val="single" w:color="DDDDDD" w:sz="0" w:space="0"/>
            </w:tcBorders>
            <w:shd w:val="clear" w:color="auto" w:fill="F0F4FA"/>
            <w:tcMar>
              <w:top w:w="80" w:type="dxa"/>
              <w:left w:w="120" w:type="dxa"/>
              <w:bottom w:w="80" w:type="dxa"/>
              <w:right w:w="120" w:type="dxa"/>
            </w:tcMar>
          </w:tcPr>
          <w:p w14:paraId="7ED9ED94">
            <w:r>
              <w:rPr>
                <w:rFonts w:ascii="Calibri" w:hAnsi="Calibri" w:eastAsia="Calibri" w:cs="Calibri"/>
                <w:color w:val="222222"/>
                <w:sz w:val="19"/>
                <w:szCs w:val="19"/>
              </w:rPr>
              <w:t>Hawaiian Airlines</w:t>
            </w:r>
          </w:p>
        </w:tc>
        <w:tc>
          <w:tcPr>
            <w:tcW w:w="1600" w:type="dxa"/>
            <w:tcBorders>
              <w:top w:val="single" w:color="DDDDDD" w:sz="0" w:space="0"/>
              <w:left w:val="single" w:color="DDDDDD" w:sz="0" w:space="0"/>
              <w:bottom w:val="single" w:color="DDDDDD" w:sz="0" w:space="0"/>
              <w:right w:val="single" w:color="DDDDDD" w:sz="0" w:space="0"/>
            </w:tcBorders>
            <w:shd w:val="clear" w:color="auto" w:fill="F0F4FA"/>
            <w:tcMar>
              <w:top w:w="80" w:type="dxa"/>
              <w:left w:w="120" w:type="dxa"/>
              <w:bottom w:w="80" w:type="dxa"/>
              <w:right w:w="120" w:type="dxa"/>
            </w:tcMar>
          </w:tcPr>
          <w:p w14:paraId="2BA465CE">
            <w:r>
              <w:rPr>
                <w:rFonts w:ascii="Calibri" w:hAnsi="Calibri" w:eastAsia="Calibri" w:cs="Calibri"/>
                <w:color w:val="222222"/>
                <w:sz w:val="19"/>
                <w:szCs w:val="19"/>
              </w:rPr>
              <w:t>89.47%</w:t>
            </w:r>
          </w:p>
        </w:tc>
        <w:tc>
          <w:tcPr>
            <w:tcW w:w="2200" w:type="dxa"/>
            <w:tcBorders>
              <w:top w:val="single" w:color="DDDDDD" w:sz="0" w:space="0"/>
              <w:left w:val="single" w:color="DDDDDD" w:sz="0" w:space="0"/>
              <w:bottom w:val="single" w:color="DDDDDD" w:sz="0" w:space="0"/>
              <w:right w:val="single" w:color="DDDDDD" w:sz="0" w:space="0"/>
            </w:tcBorders>
            <w:shd w:val="clear" w:color="auto" w:fill="F0F4FA"/>
            <w:tcMar>
              <w:top w:w="80" w:type="dxa"/>
              <w:left w:w="120" w:type="dxa"/>
              <w:bottom w:w="80" w:type="dxa"/>
              <w:right w:w="120" w:type="dxa"/>
            </w:tcMar>
          </w:tcPr>
          <w:p w14:paraId="33C165F1">
            <w:r>
              <w:rPr>
                <w:rFonts w:ascii="Calibri" w:hAnsi="Calibri" w:eastAsia="Calibri" w:cs="Calibri"/>
                <w:color w:val="222222"/>
                <w:sz w:val="19"/>
                <w:szCs w:val="19"/>
              </w:rPr>
              <w:t>2.02 min</w:t>
            </w:r>
          </w:p>
        </w:tc>
        <w:tc>
          <w:tcPr>
            <w:tcW w:w="1800" w:type="dxa"/>
            <w:tcBorders>
              <w:top w:val="single" w:color="DDDDDD" w:sz="0" w:space="0"/>
              <w:left w:val="single" w:color="DDDDDD" w:sz="0" w:space="0"/>
              <w:bottom w:val="single" w:color="DDDDDD" w:sz="0" w:space="0"/>
              <w:right w:val="single" w:color="DDDDDD" w:sz="0" w:space="0"/>
            </w:tcBorders>
            <w:shd w:val="clear" w:color="auto" w:fill="F0F4FA"/>
            <w:tcMar>
              <w:top w:w="80" w:type="dxa"/>
              <w:left w:w="120" w:type="dxa"/>
              <w:bottom w:w="80" w:type="dxa"/>
              <w:right w:w="120" w:type="dxa"/>
            </w:tcMar>
          </w:tcPr>
          <w:p w14:paraId="598A3C8F">
            <w:r>
              <w:rPr>
                <w:rFonts w:ascii="Calibri" w:hAnsi="Calibri" w:eastAsia="Calibri" w:cs="Calibri"/>
                <w:color w:val="222222"/>
                <w:sz w:val="19"/>
                <w:szCs w:val="19"/>
              </w:rPr>
              <w:t>0.22%</w:t>
            </w:r>
          </w:p>
        </w:tc>
      </w:tr>
      <w:tr w14:paraId="5C714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118DB0EF">
            <w:r>
              <w:rPr>
                <w:rFonts w:ascii="Calibri" w:hAnsi="Calibri" w:eastAsia="Calibri" w:cs="Calibri"/>
                <w:color w:val="222222"/>
                <w:sz w:val="19"/>
                <w:szCs w:val="19"/>
              </w:rPr>
              <w:t>Alaska Airlines</w:t>
            </w:r>
          </w:p>
        </w:tc>
        <w:tc>
          <w:tcPr>
            <w:tcW w:w="16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1E1906CC">
            <w:r>
              <w:rPr>
                <w:rFonts w:ascii="Calibri" w:hAnsi="Calibri" w:eastAsia="Calibri" w:cs="Calibri"/>
                <w:color w:val="222222"/>
                <w:sz w:val="19"/>
                <w:szCs w:val="19"/>
              </w:rPr>
              <w:t>87.69%</w:t>
            </w:r>
          </w:p>
        </w:tc>
        <w:tc>
          <w:tcPr>
            <w:tcW w:w="2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44E88B3F">
            <w:r>
              <w:rPr>
                <w:rFonts w:ascii="Calibri" w:hAnsi="Calibri" w:eastAsia="Calibri" w:cs="Calibri"/>
                <w:color w:val="222222"/>
                <w:sz w:val="19"/>
                <w:szCs w:val="19"/>
              </w:rPr>
              <w:t>-0.98 min</w:t>
            </w:r>
          </w:p>
        </w:tc>
        <w:tc>
          <w:tcPr>
            <w:tcW w:w="18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49F23198">
            <w:r>
              <w:rPr>
                <w:rFonts w:ascii="Calibri" w:hAnsi="Calibri" w:eastAsia="Calibri" w:cs="Calibri"/>
                <w:color w:val="222222"/>
                <w:sz w:val="19"/>
                <w:szCs w:val="19"/>
              </w:rPr>
              <w:t>0.39%</w:t>
            </w:r>
          </w:p>
        </w:tc>
      </w:tr>
      <w:tr w14:paraId="12872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DDDDD" w:sz="0" w:space="0"/>
              <w:left w:val="single" w:color="DDDDDD" w:sz="0" w:space="0"/>
              <w:bottom w:val="single" w:color="DDDDDD" w:sz="0" w:space="0"/>
              <w:right w:val="single" w:color="DDDDDD" w:sz="0" w:space="0"/>
            </w:tcBorders>
            <w:shd w:val="clear" w:color="auto" w:fill="F0F4FA"/>
            <w:tcMar>
              <w:top w:w="80" w:type="dxa"/>
              <w:left w:w="120" w:type="dxa"/>
              <w:bottom w:w="80" w:type="dxa"/>
              <w:right w:w="120" w:type="dxa"/>
            </w:tcMar>
          </w:tcPr>
          <w:p w14:paraId="686BDDBE">
            <w:r>
              <w:rPr>
                <w:rFonts w:ascii="Calibri" w:hAnsi="Calibri" w:eastAsia="Calibri" w:cs="Calibri"/>
                <w:color w:val="222222"/>
                <w:sz w:val="19"/>
                <w:szCs w:val="19"/>
              </w:rPr>
              <w:t>Delta Air Lines</w:t>
            </w:r>
          </w:p>
        </w:tc>
        <w:tc>
          <w:tcPr>
            <w:tcW w:w="1600" w:type="dxa"/>
            <w:tcBorders>
              <w:top w:val="single" w:color="DDDDDD" w:sz="0" w:space="0"/>
              <w:left w:val="single" w:color="DDDDDD" w:sz="0" w:space="0"/>
              <w:bottom w:val="single" w:color="DDDDDD" w:sz="0" w:space="0"/>
              <w:right w:val="single" w:color="DDDDDD" w:sz="0" w:space="0"/>
            </w:tcBorders>
            <w:shd w:val="clear" w:color="auto" w:fill="F0F4FA"/>
            <w:tcMar>
              <w:top w:w="80" w:type="dxa"/>
              <w:left w:w="120" w:type="dxa"/>
              <w:bottom w:w="80" w:type="dxa"/>
              <w:right w:w="120" w:type="dxa"/>
            </w:tcMar>
          </w:tcPr>
          <w:p w14:paraId="396272FF">
            <w:r>
              <w:rPr>
                <w:rFonts w:ascii="Calibri" w:hAnsi="Calibri" w:eastAsia="Calibri" w:cs="Calibri"/>
                <w:color w:val="222222"/>
                <w:sz w:val="19"/>
                <w:szCs w:val="19"/>
              </w:rPr>
              <w:t>87.03%</w:t>
            </w:r>
          </w:p>
        </w:tc>
        <w:tc>
          <w:tcPr>
            <w:tcW w:w="2200" w:type="dxa"/>
            <w:tcBorders>
              <w:top w:val="single" w:color="DDDDDD" w:sz="0" w:space="0"/>
              <w:left w:val="single" w:color="DDDDDD" w:sz="0" w:space="0"/>
              <w:bottom w:val="single" w:color="DDDDDD" w:sz="0" w:space="0"/>
              <w:right w:val="single" w:color="DDDDDD" w:sz="0" w:space="0"/>
            </w:tcBorders>
            <w:shd w:val="clear" w:color="auto" w:fill="F0F4FA"/>
            <w:tcMar>
              <w:top w:w="80" w:type="dxa"/>
              <w:left w:w="120" w:type="dxa"/>
              <w:bottom w:w="80" w:type="dxa"/>
              <w:right w:w="120" w:type="dxa"/>
            </w:tcMar>
          </w:tcPr>
          <w:p w14:paraId="32FD0657">
            <w:r>
              <w:rPr>
                <w:rFonts w:ascii="Calibri" w:hAnsi="Calibri" w:eastAsia="Calibri" w:cs="Calibri"/>
                <w:color w:val="222222"/>
                <w:sz w:val="19"/>
                <w:szCs w:val="19"/>
              </w:rPr>
              <w:t>0.19 min</w:t>
            </w:r>
          </w:p>
        </w:tc>
        <w:tc>
          <w:tcPr>
            <w:tcW w:w="1800" w:type="dxa"/>
            <w:tcBorders>
              <w:top w:val="single" w:color="DDDDDD" w:sz="0" w:space="0"/>
              <w:left w:val="single" w:color="DDDDDD" w:sz="0" w:space="0"/>
              <w:bottom w:val="single" w:color="DDDDDD" w:sz="0" w:space="0"/>
              <w:right w:val="single" w:color="DDDDDD" w:sz="0" w:space="0"/>
            </w:tcBorders>
            <w:shd w:val="clear" w:color="auto" w:fill="F0F4FA"/>
            <w:tcMar>
              <w:top w:w="80" w:type="dxa"/>
              <w:left w:w="120" w:type="dxa"/>
              <w:bottom w:w="80" w:type="dxa"/>
              <w:right w:w="120" w:type="dxa"/>
            </w:tcMar>
          </w:tcPr>
          <w:p w14:paraId="3080D6CA">
            <w:r>
              <w:rPr>
                <w:rFonts w:ascii="Calibri" w:hAnsi="Calibri" w:eastAsia="Calibri" w:cs="Calibri"/>
                <w:color w:val="222222"/>
                <w:sz w:val="19"/>
                <w:szCs w:val="19"/>
              </w:rPr>
              <w:t>0.44%</w:t>
            </w:r>
          </w:p>
        </w:tc>
      </w:tr>
      <w:tr w14:paraId="6B5AE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28426703">
            <w:r>
              <w:rPr>
                <w:rFonts w:ascii="Calibri" w:hAnsi="Calibri" w:eastAsia="Calibri" w:cs="Calibri"/>
                <w:color w:val="222222"/>
                <w:sz w:val="19"/>
                <w:szCs w:val="19"/>
              </w:rPr>
              <w:t>Southwest Airlines</w:t>
            </w:r>
          </w:p>
        </w:tc>
        <w:tc>
          <w:tcPr>
            <w:tcW w:w="16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1176CD2B">
            <w:r>
              <w:rPr>
                <w:rFonts w:ascii="Calibri" w:hAnsi="Calibri" w:eastAsia="Calibri" w:cs="Calibri"/>
                <w:color w:val="222222"/>
                <w:sz w:val="19"/>
                <w:szCs w:val="19"/>
              </w:rPr>
              <w:t>81.75%</w:t>
            </w:r>
          </w:p>
        </w:tc>
        <w:tc>
          <w:tcPr>
            <w:tcW w:w="2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05140E92">
            <w:r>
              <w:rPr>
                <w:rFonts w:ascii="Calibri" w:hAnsi="Calibri" w:eastAsia="Calibri" w:cs="Calibri"/>
                <w:color w:val="222222"/>
                <w:sz w:val="19"/>
                <w:szCs w:val="19"/>
              </w:rPr>
              <w:t>4.37 min</w:t>
            </w:r>
          </w:p>
        </w:tc>
        <w:tc>
          <w:tcPr>
            <w:tcW w:w="18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1C276F66">
            <w:r>
              <w:rPr>
                <w:rFonts w:ascii="Calibri" w:hAnsi="Calibri" w:eastAsia="Calibri" w:cs="Calibri"/>
                <w:color w:val="222222"/>
                <w:sz w:val="19"/>
                <w:szCs w:val="19"/>
              </w:rPr>
              <w:t>1.27%</w:t>
            </w:r>
          </w:p>
        </w:tc>
      </w:tr>
      <w:tr w14:paraId="4D5CD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DDDDD" w:sz="0" w:space="0"/>
              <w:left w:val="single" w:color="DDDDDD" w:sz="0" w:space="0"/>
              <w:bottom w:val="single" w:color="DDDDDD" w:sz="0" w:space="0"/>
              <w:right w:val="single" w:color="DDDDDD" w:sz="0" w:space="0"/>
            </w:tcBorders>
            <w:shd w:val="clear" w:color="auto" w:fill="F0F4FA"/>
            <w:tcMar>
              <w:top w:w="80" w:type="dxa"/>
              <w:left w:w="120" w:type="dxa"/>
              <w:bottom w:w="80" w:type="dxa"/>
              <w:right w:w="120" w:type="dxa"/>
            </w:tcMar>
          </w:tcPr>
          <w:p w14:paraId="3B488896">
            <w:r>
              <w:rPr>
                <w:rFonts w:ascii="Calibri" w:hAnsi="Calibri" w:eastAsia="Calibri" w:cs="Calibri"/>
                <w:color w:val="222222"/>
                <w:sz w:val="19"/>
                <w:szCs w:val="19"/>
              </w:rPr>
              <w:t>United Air Lines</w:t>
            </w:r>
          </w:p>
        </w:tc>
        <w:tc>
          <w:tcPr>
            <w:tcW w:w="1600" w:type="dxa"/>
            <w:tcBorders>
              <w:top w:val="single" w:color="DDDDDD" w:sz="0" w:space="0"/>
              <w:left w:val="single" w:color="DDDDDD" w:sz="0" w:space="0"/>
              <w:bottom w:val="single" w:color="DDDDDD" w:sz="0" w:space="0"/>
              <w:right w:val="single" w:color="DDDDDD" w:sz="0" w:space="0"/>
            </w:tcBorders>
            <w:shd w:val="clear" w:color="auto" w:fill="F0F4FA"/>
            <w:tcMar>
              <w:top w:w="80" w:type="dxa"/>
              <w:left w:w="120" w:type="dxa"/>
              <w:bottom w:w="80" w:type="dxa"/>
              <w:right w:w="120" w:type="dxa"/>
            </w:tcMar>
          </w:tcPr>
          <w:p w14:paraId="15127F64">
            <w:r>
              <w:rPr>
                <w:rFonts w:ascii="Calibri" w:hAnsi="Calibri" w:eastAsia="Calibri" w:cs="Calibri"/>
                <w:color w:val="222222"/>
                <w:sz w:val="19"/>
                <w:szCs w:val="19"/>
              </w:rPr>
              <w:t>80.10%</w:t>
            </w:r>
          </w:p>
        </w:tc>
        <w:tc>
          <w:tcPr>
            <w:tcW w:w="2200" w:type="dxa"/>
            <w:tcBorders>
              <w:top w:val="single" w:color="DDDDDD" w:sz="0" w:space="0"/>
              <w:left w:val="single" w:color="DDDDDD" w:sz="0" w:space="0"/>
              <w:bottom w:val="single" w:color="DDDDDD" w:sz="0" w:space="0"/>
              <w:right w:val="single" w:color="DDDDDD" w:sz="0" w:space="0"/>
            </w:tcBorders>
            <w:shd w:val="clear" w:color="auto" w:fill="F0F4FA"/>
            <w:tcMar>
              <w:top w:w="80" w:type="dxa"/>
              <w:left w:w="120" w:type="dxa"/>
              <w:bottom w:w="80" w:type="dxa"/>
              <w:right w:w="120" w:type="dxa"/>
            </w:tcMar>
          </w:tcPr>
          <w:p w14:paraId="7344FF90">
            <w:r>
              <w:rPr>
                <w:rFonts w:ascii="Calibri" w:hAnsi="Calibri" w:eastAsia="Calibri" w:cs="Calibri"/>
                <w:color w:val="222222"/>
                <w:sz w:val="19"/>
                <w:szCs w:val="19"/>
              </w:rPr>
              <w:t>5.43 min</w:t>
            </w:r>
          </w:p>
        </w:tc>
        <w:tc>
          <w:tcPr>
            <w:tcW w:w="1800" w:type="dxa"/>
            <w:tcBorders>
              <w:top w:val="single" w:color="DDDDDD" w:sz="0" w:space="0"/>
              <w:left w:val="single" w:color="DDDDDD" w:sz="0" w:space="0"/>
              <w:bottom w:val="single" w:color="DDDDDD" w:sz="0" w:space="0"/>
              <w:right w:val="single" w:color="DDDDDD" w:sz="0" w:space="0"/>
            </w:tcBorders>
            <w:shd w:val="clear" w:color="auto" w:fill="F0F4FA"/>
            <w:tcMar>
              <w:top w:w="80" w:type="dxa"/>
              <w:left w:w="120" w:type="dxa"/>
              <w:bottom w:w="80" w:type="dxa"/>
              <w:right w:w="120" w:type="dxa"/>
            </w:tcMar>
          </w:tcPr>
          <w:p w14:paraId="5A99C4B9">
            <w:r>
              <w:rPr>
                <w:rFonts w:ascii="Calibri" w:hAnsi="Calibri" w:eastAsia="Calibri" w:cs="Calibri"/>
                <w:color w:val="222222"/>
                <w:sz w:val="19"/>
                <w:szCs w:val="19"/>
              </w:rPr>
              <w:t>1.27%</w:t>
            </w:r>
          </w:p>
        </w:tc>
      </w:tr>
      <w:tr w14:paraId="61689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3C5C4093">
            <w:r>
              <w:rPr>
                <w:rFonts w:ascii="Calibri" w:hAnsi="Calibri" w:eastAsia="Calibri" w:cs="Calibri"/>
                <w:color w:val="222222"/>
                <w:sz w:val="19"/>
                <w:szCs w:val="19"/>
              </w:rPr>
              <w:t>JetBlue Airways</w:t>
            </w:r>
          </w:p>
        </w:tc>
        <w:tc>
          <w:tcPr>
            <w:tcW w:w="16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3712D810">
            <w:r>
              <w:rPr>
                <w:rFonts w:ascii="Calibri" w:hAnsi="Calibri" w:eastAsia="Calibri" w:cs="Calibri"/>
                <w:color w:val="222222"/>
                <w:sz w:val="19"/>
                <w:szCs w:val="19"/>
              </w:rPr>
              <w:t>78.21%</w:t>
            </w:r>
          </w:p>
        </w:tc>
        <w:tc>
          <w:tcPr>
            <w:tcW w:w="2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43727A74">
            <w:r>
              <w:rPr>
                <w:rFonts w:ascii="Calibri" w:hAnsi="Calibri" w:eastAsia="Calibri" w:cs="Calibri"/>
                <w:color w:val="222222"/>
                <w:sz w:val="19"/>
                <w:szCs w:val="19"/>
              </w:rPr>
              <w:t>6.68 min</w:t>
            </w:r>
          </w:p>
        </w:tc>
        <w:tc>
          <w:tcPr>
            <w:tcW w:w="18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59A57FE6">
            <w:r>
              <w:rPr>
                <w:rFonts w:ascii="Calibri" w:hAnsi="Calibri" w:eastAsia="Calibri" w:cs="Calibri"/>
                <w:color w:val="222222"/>
                <w:sz w:val="19"/>
                <w:szCs w:val="19"/>
              </w:rPr>
              <w:t>1.60%</w:t>
            </w:r>
          </w:p>
        </w:tc>
      </w:tr>
      <w:tr w14:paraId="3A90C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DDDDD" w:sz="0" w:space="0"/>
              <w:left w:val="single" w:color="DDDDDD" w:sz="0" w:space="0"/>
              <w:bottom w:val="single" w:color="DDDDDD" w:sz="0" w:space="0"/>
              <w:right w:val="single" w:color="DDDDDD" w:sz="0" w:space="0"/>
            </w:tcBorders>
            <w:shd w:val="clear" w:color="auto" w:fill="F0F4FA"/>
            <w:tcMar>
              <w:top w:w="80" w:type="dxa"/>
              <w:left w:w="120" w:type="dxa"/>
              <w:bottom w:w="80" w:type="dxa"/>
              <w:right w:w="120" w:type="dxa"/>
            </w:tcMar>
          </w:tcPr>
          <w:p w14:paraId="438D01F5">
            <w:r>
              <w:rPr>
                <w:rFonts w:ascii="Calibri" w:hAnsi="Calibri" w:eastAsia="Calibri" w:cs="Calibri"/>
                <w:color w:val="222222"/>
                <w:sz w:val="19"/>
                <w:szCs w:val="19"/>
              </w:rPr>
              <w:t>American Eagle Airlines</w:t>
            </w:r>
          </w:p>
        </w:tc>
        <w:tc>
          <w:tcPr>
            <w:tcW w:w="1600" w:type="dxa"/>
            <w:tcBorders>
              <w:top w:val="single" w:color="DDDDDD" w:sz="0" w:space="0"/>
              <w:left w:val="single" w:color="DDDDDD" w:sz="0" w:space="0"/>
              <w:bottom w:val="single" w:color="DDDDDD" w:sz="0" w:space="0"/>
              <w:right w:val="single" w:color="DDDDDD" w:sz="0" w:space="0"/>
            </w:tcBorders>
            <w:shd w:val="clear" w:color="auto" w:fill="F0F4FA"/>
            <w:tcMar>
              <w:top w:w="80" w:type="dxa"/>
              <w:left w:w="120" w:type="dxa"/>
              <w:bottom w:w="80" w:type="dxa"/>
              <w:right w:w="120" w:type="dxa"/>
            </w:tcMar>
          </w:tcPr>
          <w:p w14:paraId="53CFBE76">
            <w:r>
              <w:rPr>
                <w:rFonts w:ascii="Calibri" w:hAnsi="Calibri" w:eastAsia="Calibri" w:cs="Calibri"/>
                <w:color w:val="222222"/>
                <w:sz w:val="19"/>
                <w:szCs w:val="19"/>
              </w:rPr>
              <w:t>79.03%</w:t>
            </w:r>
          </w:p>
        </w:tc>
        <w:tc>
          <w:tcPr>
            <w:tcW w:w="2200" w:type="dxa"/>
            <w:tcBorders>
              <w:top w:val="single" w:color="DDDDDD" w:sz="0" w:space="0"/>
              <w:left w:val="single" w:color="DDDDDD" w:sz="0" w:space="0"/>
              <w:bottom w:val="single" w:color="DDDDDD" w:sz="0" w:space="0"/>
              <w:right w:val="single" w:color="DDDDDD" w:sz="0" w:space="0"/>
            </w:tcBorders>
            <w:shd w:val="clear" w:color="auto" w:fill="F0F4FA"/>
            <w:tcMar>
              <w:top w:w="80" w:type="dxa"/>
              <w:left w:w="120" w:type="dxa"/>
              <w:bottom w:w="80" w:type="dxa"/>
              <w:right w:w="120" w:type="dxa"/>
            </w:tcMar>
          </w:tcPr>
          <w:p w14:paraId="46C06FC5">
            <w:r>
              <w:rPr>
                <w:rFonts w:ascii="Calibri" w:hAnsi="Calibri" w:eastAsia="Calibri" w:cs="Calibri"/>
                <w:color w:val="222222"/>
                <w:sz w:val="19"/>
                <w:szCs w:val="19"/>
              </w:rPr>
              <w:t>6.46 min</w:t>
            </w:r>
          </w:p>
        </w:tc>
        <w:tc>
          <w:tcPr>
            <w:tcW w:w="1800" w:type="dxa"/>
            <w:tcBorders>
              <w:top w:val="single" w:color="DDDDDD" w:sz="0" w:space="0"/>
              <w:left w:val="single" w:color="DDDDDD" w:sz="0" w:space="0"/>
              <w:bottom w:val="single" w:color="DDDDDD" w:sz="0" w:space="0"/>
              <w:right w:val="single" w:color="DDDDDD" w:sz="0" w:space="0"/>
            </w:tcBorders>
            <w:shd w:val="clear" w:color="auto" w:fill="F0F4FA"/>
            <w:tcMar>
              <w:top w:w="80" w:type="dxa"/>
              <w:left w:w="120" w:type="dxa"/>
              <w:bottom w:w="80" w:type="dxa"/>
              <w:right w:w="120" w:type="dxa"/>
            </w:tcMar>
          </w:tcPr>
          <w:p w14:paraId="4EAFB774">
            <w:r>
              <w:rPr>
                <w:rFonts w:ascii="Calibri" w:hAnsi="Calibri" w:eastAsia="Calibri" w:cs="Calibri"/>
                <w:color w:val="222222"/>
                <w:sz w:val="19"/>
                <w:szCs w:val="19"/>
              </w:rPr>
              <w:t>5.10%</w:t>
            </w:r>
          </w:p>
        </w:tc>
      </w:tr>
      <w:tr w14:paraId="43153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5C66FE56">
            <w:r>
              <w:rPr>
                <w:rFonts w:ascii="Calibri" w:hAnsi="Calibri" w:eastAsia="Calibri" w:cs="Calibri"/>
                <w:color w:val="222222"/>
                <w:sz w:val="19"/>
                <w:szCs w:val="19"/>
              </w:rPr>
              <w:t>Frontier Airlines</w:t>
            </w:r>
          </w:p>
        </w:tc>
        <w:tc>
          <w:tcPr>
            <w:tcW w:w="16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01910627">
            <w:r>
              <w:rPr>
                <w:rFonts w:ascii="Calibri" w:hAnsi="Calibri" w:eastAsia="Calibri" w:cs="Calibri"/>
                <w:color w:val="222222"/>
                <w:sz w:val="19"/>
                <w:szCs w:val="19"/>
              </w:rPr>
              <w:t>74.68%</w:t>
            </w:r>
          </w:p>
        </w:tc>
        <w:tc>
          <w:tcPr>
            <w:tcW w:w="2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77945F9C">
            <w:r>
              <w:rPr>
                <w:rFonts w:ascii="Calibri" w:hAnsi="Calibri" w:eastAsia="Calibri" w:cs="Calibri"/>
                <w:color w:val="222222"/>
                <w:sz w:val="19"/>
                <w:szCs w:val="19"/>
              </w:rPr>
              <w:t>12.50 min</w:t>
            </w:r>
          </w:p>
        </w:tc>
        <w:tc>
          <w:tcPr>
            <w:tcW w:w="18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3F8D94F0">
            <w:r>
              <w:rPr>
                <w:rFonts w:ascii="Calibri" w:hAnsi="Calibri" w:eastAsia="Calibri" w:cs="Calibri"/>
                <w:color w:val="222222"/>
                <w:sz w:val="19"/>
                <w:szCs w:val="19"/>
              </w:rPr>
              <w:t>0.65%</w:t>
            </w:r>
          </w:p>
        </w:tc>
      </w:tr>
      <w:tr w14:paraId="29A2C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DDDDD" w:sz="0" w:space="0"/>
              <w:left w:val="single" w:color="DDDDDD" w:sz="0" w:space="0"/>
              <w:bottom w:val="single" w:color="DDDDDD" w:sz="0" w:space="0"/>
              <w:right w:val="single" w:color="DDDDDD" w:sz="0" w:space="0"/>
            </w:tcBorders>
            <w:shd w:val="clear" w:color="auto" w:fill="F0F4FA"/>
            <w:tcMar>
              <w:top w:w="80" w:type="dxa"/>
              <w:left w:w="120" w:type="dxa"/>
              <w:bottom w:w="80" w:type="dxa"/>
              <w:right w:w="120" w:type="dxa"/>
            </w:tcMar>
          </w:tcPr>
          <w:p w14:paraId="0D5CB1FC">
            <w:r>
              <w:rPr>
                <w:rFonts w:ascii="Calibri" w:hAnsi="Calibri" w:eastAsia="Calibri" w:cs="Calibri"/>
                <w:color w:val="222222"/>
                <w:sz w:val="19"/>
                <w:szCs w:val="19"/>
              </w:rPr>
              <w:t>Spirit Air Lines</w:t>
            </w:r>
          </w:p>
        </w:tc>
        <w:tc>
          <w:tcPr>
            <w:tcW w:w="1600" w:type="dxa"/>
            <w:tcBorders>
              <w:top w:val="single" w:color="DDDDDD" w:sz="0" w:space="0"/>
              <w:left w:val="single" w:color="DDDDDD" w:sz="0" w:space="0"/>
              <w:bottom w:val="single" w:color="DDDDDD" w:sz="0" w:space="0"/>
              <w:right w:val="single" w:color="DDDDDD" w:sz="0" w:space="0"/>
            </w:tcBorders>
            <w:shd w:val="clear" w:color="auto" w:fill="F0F4FA"/>
            <w:tcMar>
              <w:top w:w="80" w:type="dxa"/>
              <w:left w:w="120" w:type="dxa"/>
              <w:bottom w:w="80" w:type="dxa"/>
              <w:right w:w="120" w:type="dxa"/>
            </w:tcMar>
          </w:tcPr>
          <w:p w14:paraId="3C24CA25">
            <w:r>
              <w:rPr>
                <w:rFonts w:ascii="Calibri" w:hAnsi="Calibri" w:eastAsia="Calibri" w:cs="Calibri"/>
                <w:color w:val="222222"/>
                <w:sz w:val="19"/>
                <w:szCs w:val="19"/>
              </w:rPr>
              <w:t>71.25%</w:t>
            </w:r>
          </w:p>
        </w:tc>
        <w:tc>
          <w:tcPr>
            <w:tcW w:w="2200" w:type="dxa"/>
            <w:tcBorders>
              <w:top w:val="single" w:color="DDDDDD" w:sz="0" w:space="0"/>
              <w:left w:val="single" w:color="DDDDDD" w:sz="0" w:space="0"/>
              <w:bottom w:val="single" w:color="DDDDDD" w:sz="0" w:space="0"/>
              <w:right w:val="single" w:color="DDDDDD" w:sz="0" w:space="0"/>
            </w:tcBorders>
            <w:shd w:val="clear" w:color="auto" w:fill="F0F4FA"/>
            <w:tcMar>
              <w:top w:w="80" w:type="dxa"/>
              <w:left w:w="120" w:type="dxa"/>
              <w:bottom w:w="80" w:type="dxa"/>
              <w:right w:w="120" w:type="dxa"/>
            </w:tcMar>
          </w:tcPr>
          <w:p w14:paraId="16C68DE0">
            <w:r>
              <w:rPr>
                <w:rFonts w:ascii="Calibri" w:hAnsi="Calibri" w:eastAsia="Calibri" w:cs="Calibri"/>
                <w:color w:val="222222"/>
                <w:sz w:val="19"/>
                <w:szCs w:val="19"/>
              </w:rPr>
              <w:t>14.47 min</w:t>
            </w:r>
          </w:p>
        </w:tc>
        <w:tc>
          <w:tcPr>
            <w:tcW w:w="1800" w:type="dxa"/>
            <w:tcBorders>
              <w:top w:val="single" w:color="DDDDDD" w:sz="0" w:space="0"/>
              <w:left w:val="single" w:color="DDDDDD" w:sz="0" w:space="0"/>
              <w:bottom w:val="single" w:color="DDDDDD" w:sz="0" w:space="0"/>
              <w:right w:val="single" w:color="DDDDDD" w:sz="0" w:space="0"/>
            </w:tcBorders>
            <w:shd w:val="clear" w:color="auto" w:fill="F0F4FA"/>
            <w:tcMar>
              <w:top w:w="80" w:type="dxa"/>
              <w:left w:w="120" w:type="dxa"/>
              <w:bottom w:w="80" w:type="dxa"/>
              <w:right w:w="120" w:type="dxa"/>
            </w:tcMar>
          </w:tcPr>
          <w:p w14:paraId="10056B62">
            <w:r>
              <w:rPr>
                <w:rFonts w:ascii="Calibri" w:hAnsi="Calibri" w:eastAsia="Calibri" w:cs="Calibri"/>
                <w:color w:val="222222"/>
                <w:sz w:val="19"/>
                <w:szCs w:val="19"/>
              </w:rPr>
              <w:t>1.71%</w:t>
            </w:r>
          </w:p>
        </w:tc>
      </w:tr>
    </w:tbl>
    <w:p w14:paraId="5CC0CE85">
      <w:pPr>
        <w:spacing w:before="200" w:after="80"/>
      </w:pPr>
      <w:r>
        <w:rPr>
          <w:rFonts w:ascii="Calibri" w:hAnsi="Calibri" w:eastAsia="Calibri" w:cs="Calibri"/>
          <w:b/>
          <w:bCs/>
          <w:color w:val="2E4057"/>
          <w:sz w:val="22"/>
          <w:szCs w:val="22"/>
        </w:rPr>
        <w:t>Monthly Trends</w:t>
      </w:r>
    </w:p>
    <w:p w14:paraId="19613286">
      <w:pPr>
        <w:spacing w:before="60" w:after="80"/>
        <w:jc w:val="both"/>
      </w:pPr>
      <w:r>
        <w:rPr>
          <w:rFonts w:ascii="Calibri" w:hAnsi="Calibri" w:eastAsia="Calibri" w:cs="Calibri"/>
          <w:color w:val="222222"/>
          <w:sz w:val="21"/>
          <w:szCs w:val="21"/>
        </w:rPr>
        <w:t>October recorded the highest OTP at 84% and the lowest average arrival delay at -0.78 minutes, meaning flights were arriving ahead of schedule on average. June was the worst month with a 9.60 minute average arrival delay and an OTP of approximately 73.68%. The pattern reflects the impact of summer travel demand peaking in June and July, with operations recovering through the autumn months.</w:t>
      </w:r>
    </w:p>
    <w:p w14:paraId="61CAFD50">
      <w:pPr>
        <w:spacing w:before="200" w:after="80"/>
      </w:pPr>
      <w:r>
        <w:rPr>
          <w:rFonts w:ascii="Calibri" w:hAnsi="Calibri" w:eastAsia="Calibri" w:cs="Calibri"/>
          <w:b/>
          <w:bCs/>
          <w:color w:val="2E4057"/>
          <w:sz w:val="22"/>
          <w:szCs w:val="22"/>
        </w:rPr>
        <w:t>Day of Week Patterns</w:t>
      </w:r>
    </w:p>
    <w:p w14:paraId="62DDC5AC">
      <w:pPr>
        <w:spacing w:before="60" w:after="80"/>
        <w:jc w:val="both"/>
      </w:pPr>
      <w:r>
        <w:rPr>
          <w:rFonts w:ascii="Calibri" w:hAnsi="Calibri" w:eastAsia="Calibri" w:cs="Calibri"/>
          <w:color w:val="222222"/>
          <w:sz w:val="21"/>
          <w:szCs w:val="21"/>
        </w:rPr>
        <w:t>Saturday is the best day to fly with an OTP of 84.67% and the lowest cancellation rate. Thursday is the worst performing day for on-time arrivals at 80.80% OTP. Monday has the highest cancellation rate at 2.43%, more than double Friday's rate of 1.02%. This pattern aligns with the surge in business travel at the start of the working week.</w:t>
      </w:r>
    </w:p>
    <w:p w14:paraId="23931068">
      <w:pPr>
        <w:spacing w:before="200" w:after="80"/>
      </w:pPr>
      <w:r>
        <w:rPr>
          <w:rFonts w:ascii="Calibri" w:hAnsi="Calibri" w:eastAsia="Calibri" w:cs="Calibri"/>
          <w:b/>
          <w:bCs/>
          <w:color w:val="2E4057"/>
          <w:sz w:val="22"/>
          <w:szCs w:val="22"/>
        </w:rPr>
        <w:t>Time of Day</w:t>
      </w:r>
    </w:p>
    <w:p w14:paraId="3C0FDC00">
      <w:pPr>
        <w:spacing w:before="60" w:after="80"/>
        <w:jc w:val="both"/>
      </w:pPr>
      <w:r>
        <w:rPr>
          <w:rFonts w:ascii="Calibri" w:hAnsi="Calibri" w:eastAsia="Calibri" w:cs="Calibri"/>
          <w:color w:val="222222"/>
          <w:sz w:val="21"/>
          <w:szCs w:val="21"/>
        </w:rPr>
        <w:t>The 08:00 to 12:00 window carries the highest volume of flights at 1.46 million departures. The 00:00 to 04:00 slot has the fewest flights at just 0.02 million. Early morning departures in the 04:00 to 08:00 slot tend to have the best on-time performance as delays have not yet accumulated across the network.</w:t>
      </w:r>
    </w:p>
    <w:p w14:paraId="5A3B9930">
      <w:pPr>
        <w:spacing w:before="200" w:after="80"/>
      </w:pPr>
      <w:r>
        <w:rPr>
          <w:rFonts w:ascii="Calibri" w:hAnsi="Calibri" w:eastAsia="Calibri" w:cs="Calibri"/>
          <w:b/>
          <w:bCs/>
          <w:color w:val="2E4057"/>
          <w:sz w:val="22"/>
          <w:szCs w:val="22"/>
        </w:rPr>
        <w:t>Airport Congestion</w:t>
      </w:r>
    </w:p>
    <w:p w14:paraId="3FBBFAED">
      <w:pPr>
        <w:spacing w:before="60" w:after="80"/>
        <w:jc w:val="both"/>
      </w:pPr>
      <w:r>
        <w:rPr>
          <w:rFonts w:ascii="Calibri" w:hAnsi="Calibri" w:eastAsia="Calibri" w:cs="Calibri"/>
          <w:color w:val="222222"/>
          <w:sz w:val="21"/>
          <w:szCs w:val="21"/>
        </w:rPr>
        <w:t>Atlanta is the busiest airport with 346,836 departures but maintains a reasonable OTP of 84.22%. Chicago O'Hare handles 285,884 departures with a 76.69% OTP and an average departure delay of 14.07 minutes, making it the most operationally stressed major hub. Newark has the highest cancellation rate among major airports at 3.06%.</w:t>
      </w:r>
    </w:p>
    <w:p w14:paraId="52D91849">
      <w:pPr>
        <w:spacing w:before="60" w:after="80"/>
        <w:jc w:val="both"/>
      </w:pPr>
      <w:r>
        <w:rPr>
          <w:rFonts w:ascii="Calibri" w:hAnsi="Calibri" w:eastAsia="Calibri" w:cs="Calibri"/>
          <w:color w:val="222222"/>
          <w:sz w:val="21"/>
          <w:szCs w:val="21"/>
        </w:rPr>
        <w:t>ILG (Wilmington Airport) recorded the highest average departure delay at 29.57 minutes, but this is partly a reflection of its very low flight volume. Among airports with significant traffic, the congestion pattern is concentrated in Chicago, New York, and Dallas.</w:t>
      </w:r>
    </w:p>
    <w:p w14:paraId="6ADC0D6C">
      <w:pPr>
        <w:spacing w:before="200" w:after="80"/>
      </w:pPr>
      <w:r>
        <w:rPr>
          <w:rFonts w:ascii="Calibri" w:hAnsi="Calibri" w:eastAsia="Calibri" w:cs="Calibri"/>
          <w:b/>
          <w:bCs/>
          <w:color w:val="2E4057"/>
          <w:sz w:val="22"/>
          <w:szCs w:val="22"/>
        </w:rPr>
        <w:t>Cancellation Analysis</w:t>
      </w:r>
    </w:p>
    <w:p w14:paraId="1541B89E">
      <w:pPr>
        <w:spacing w:before="60" w:after="80"/>
        <w:jc w:val="both"/>
      </w:pPr>
      <w:r>
        <w:rPr>
          <w:rFonts w:ascii="Calibri" w:hAnsi="Calibri" w:eastAsia="Calibri" w:cs="Calibri"/>
          <w:color w:val="222222"/>
          <w:sz w:val="21"/>
          <w:szCs w:val="21"/>
        </w:rPr>
        <w:t>The overall cancellation rate is 1.54%. Weather is the leading cause at 54.35% of all cancellations, followed by airline and carrier issues at 28.11%, National Air System at 17.52%, and Security at 0.02%. While weather dominates cancellations, the airline-driven share at 28% represents a meaningful opportunity for operational improvement since these are within carrier control.</w:t>
      </w:r>
    </w:p>
    <w:p w14:paraId="2161D684">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200"/>
        <w:gridCol w:w="4160"/>
      </w:tblGrid>
      <w:tr w14:paraId="66295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Borders>
              <w:top w:val="single" w:color="DDDDDD" w:sz="0" w:space="0"/>
              <w:left w:val="single" w:color="DDDDDD" w:sz="0" w:space="0"/>
              <w:bottom w:val="single" w:color="DDDDDD" w:sz="0" w:space="0"/>
              <w:right w:val="single" w:color="DDDDDD" w:sz="0" w:space="0"/>
            </w:tcBorders>
            <w:shd w:val="clear" w:color="auto" w:fill="1F3864"/>
            <w:tcMar>
              <w:top w:w="80" w:type="dxa"/>
              <w:left w:w="120" w:type="dxa"/>
              <w:bottom w:w="80" w:type="dxa"/>
              <w:right w:w="120" w:type="dxa"/>
            </w:tcMar>
            <w:vAlign w:val="center"/>
          </w:tcPr>
          <w:p w14:paraId="6968D76B">
            <w:r>
              <w:rPr>
                <w:rFonts w:ascii="Calibri" w:hAnsi="Calibri" w:eastAsia="Calibri" w:cs="Calibri"/>
                <w:b/>
                <w:bCs/>
                <w:color w:val="FFFFFF"/>
                <w:sz w:val="19"/>
                <w:szCs w:val="19"/>
              </w:rPr>
              <w:t>Cancellation Cause</w:t>
            </w:r>
          </w:p>
        </w:tc>
        <w:tc>
          <w:tcPr>
            <w:tcW w:w="4160" w:type="dxa"/>
            <w:tcBorders>
              <w:top w:val="single" w:color="DDDDDD" w:sz="0" w:space="0"/>
              <w:left w:val="single" w:color="DDDDDD" w:sz="0" w:space="0"/>
              <w:bottom w:val="single" w:color="DDDDDD" w:sz="0" w:space="0"/>
              <w:right w:val="single" w:color="DDDDDD" w:sz="0" w:space="0"/>
            </w:tcBorders>
            <w:shd w:val="clear" w:color="auto" w:fill="1F3864"/>
            <w:tcMar>
              <w:top w:w="80" w:type="dxa"/>
              <w:left w:w="120" w:type="dxa"/>
              <w:bottom w:w="80" w:type="dxa"/>
              <w:right w:w="120" w:type="dxa"/>
            </w:tcMar>
            <w:vAlign w:val="center"/>
          </w:tcPr>
          <w:p w14:paraId="0244FDA8">
            <w:r>
              <w:rPr>
                <w:rFonts w:ascii="Calibri" w:hAnsi="Calibri" w:eastAsia="Calibri" w:cs="Calibri"/>
                <w:b/>
                <w:bCs/>
                <w:color w:val="FFFFFF"/>
                <w:sz w:val="19"/>
                <w:szCs w:val="19"/>
              </w:rPr>
              <w:t>Share of Cancellations</w:t>
            </w:r>
          </w:p>
        </w:tc>
      </w:tr>
      <w:tr w14:paraId="03056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Borders>
              <w:top w:val="single" w:color="DDDDDD" w:sz="0" w:space="0"/>
              <w:left w:val="single" w:color="DDDDDD" w:sz="0" w:space="0"/>
              <w:bottom w:val="single" w:color="DDDDDD" w:sz="0" w:space="0"/>
              <w:right w:val="single" w:color="DDDDDD" w:sz="0" w:space="0"/>
            </w:tcBorders>
            <w:shd w:val="clear" w:color="auto" w:fill="F0F4FA"/>
            <w:tcMar>
              <w:top w:w="80" w:type="dxa"/>
              <w:left w:w="120" w:type="dxa"/>
              <w:bottom w:w="80" w:type="dxa"/>
              <w:right w:w="120" w:type="dxa"/>
            </w:tcMar>
          </w:tcPr>
          <w:p w14:paraId="133DDD61">
            <w:r>
              <w:rPr>
                <w:rFonts w:ascii="Calibri" w:hAnsi="Calibri" w:eastAsia="Calibri" w:cs="Calibri"/>
                <w:color w:val="222222"/>
                <w:sz w:val="19"/>
                <w:szCs w:val="19"/>
              </w:rPr>
              <w:t>Weather</w:t>
            </w:r>
          </w:p>
        </w:tc>
        <w:tc>
          <w:tcPr>
            <w:tcW w:w="4160" w:type="dxa"/>
            <w:tcBorders>
              <w:top w:val="single" w:color="DDDDDD" w:sz="0" w:space="0"/>
              <w:left w:val="single" w:color="DDDDDD" w:sz="0" w:space="0"/>
              <w:bottom w:val="single" w:color="DDDDDD" w:sz="0" w:space="0"/>
              <w:right w:val="single" w:color="DDDDDD" w:sz="0" w:space="0"/>
            </w:tcBorders>
            <w:shd w:val="clear" w:color="auto" w:fill="F0F4FA"/>
            <w:tcMar>
              <w:top w:w="80" w:type="dxa"/>
              <w:left w:w="120" w:type="dxa"/>
              <w:bottom w:w="80" w:type="dxa"/>
              <w:right w:w="120" w:type="dxa"/>
            </w:tcMar>
          </w:tcPr>
          <w:p w14:paraId="2EA106FB">
            <w:r>
              <w:rPr>
                <w:rFonts w:ascii="Calibri" w:hAnsi="Calibri" w:eastAsia="Calibri" w:cs="Calibri"/>
                <w:color w:val="222222"/>
                <w:sz w:val="19"/>
                <w:szCs w:val="19"/>
              </w:rPr>
              <w:t>54.35%</w:t>
            </w:r>
          </w:p>
        </w:tc>
      </w:tr>
      <w:tr w14:paraId="440B6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6D903061">
            <w:r>
              <w:rPr>
                <w:rFonts w:ascii="Calibri" w:hAnsi="Calibri" w:eastAsia="Calibri" w:cs="Calibri"/>
                <w:color w:val="222222"/>
                <w:sz w:val="19"/>
                <w:szCs w:val="19"/>
              </w:rPr>
              <w:t>Airline / Carrier</w:t>
            </w:r>
          </w:p>
        </w:tc>
        <w:tc>
          <w:tcPr>
            <w:tcW w:w="416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13EF33A8">
            <w:r>
              <w:rPr>
                <w:rFonts w:ascii="Calibri" w:hAnsi="Calibri" w:eastAsia="Calibri" w:cs="Calibri"/>
                <w:color w:val="222222"/>
                <w:sz w:val="19"/>
                <w:szCs w:val="19"/>
              </w:rPr>
              <w:t>28.11%</w:t>
            </w:r>
          </w:p>
        </w:tc>
      </w:tr>
      <w:tr w14:paraId="258B7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Borders>
              <w:top w:val="single" w:color="DDDDDD" w:sz="0" w:space="0"/>
              <w:left w:val="single" w:color="DDDDDD" w:sz="0" w:space="0"/>
              <w:bottom w:val="single" w:color="DDDDDD" w:sz="0" w:space="0"/>
              <w:right w:val="single" w:color="DDDDDD" w:sz="0" w:space="0"/>
            </w:tcBorders>
            <w:shd w:val="clear" w:color="auto" w:fill="F0F4FA"/>
            <w:tcMar>
              <w:top w:w="80" w:type="dxa"/>
              <w:left w:w="120" w:type="dxa"/>
              <w:bottom w:w="80" w:type="dxa"/>
              <w:right w:w="120" w:type="dxa"/>
            </w:tcMar>
          </w:tcPr>
          <w:p w14:paraId="757692F0">
            <w:r>
              <w:rPr>
                <w:rFonts w:ascii="Calibri" w:hAnsi="Calibri" w:eastAsia="Calibri" w:cs="Calibri"/>
                <w:color w:val="222222"/>
                <w:sz w:val="19"/>
                <w:szCs w:val="19"/>
              </w:rPr>
              <w:t>National Air System</w:t>
            </w:r>
          </w:p>
        </w:tc>
        <w:tc>
          <w:tcPr>
            <w:tcW w:w="4160" w:type="dxa"/>
            <w:tcBorders>
              <w:top w:val="single" w:color="DDDDDD" w:sz="0" w:space="0"/>
              <w:left w:val="single" w:color="DDDDDD" w:sz="0" w:space="0"/>
              <w:bottom w:val="single" w:color="DDDDDD" w:sz="0" w:space="0"/>
              <w:right w:val="single" w:color="DDDDDD" w:sz="0" w:space="0"/>
            </w:tcBorders>
            <w:shd w:val="clear" w:color="auto" w:fill="F0F4FA"/>
            <w:tcMar>
              <w:top w:w="80" w:type="dxa"/>
              <w:left w:w="120" w:type="dxa"/>
              <w:bottom w:w="80" w:type="dxa"/>
              <w:right w:w="120" w:type="dxa"/>
            </w:tcMar>
          </w:tcPr>
          <w:p w14:paraId="6A4464D3">
            <w:r>
              <w:rPr>
                <w:rFonts w:ascii="Calibri" w:hAnsi="Calibri" w:eastAsia="Calibri" w:cs="Calibri"/>
                <w:color w:val="222222"/>
                <w:sz w:val="19"/>
                <w:szCs w:val="19"/>
              </w:rPr>
              <w:t>17.52%</w:t>
            </w:r>
          </w:p>
        </w:tc>
      </w:tr>
      <w:tr w14:paraId="278AE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1ED08A7D">
            <w:r>
              <w:rPr>
                <w:rFonts w:ascii="Calibri" w:hAnsi="Calibri" w:eastAsia="Calibri" w:cs="Calibri"/>
                <w:color w:val="222222"/>
                <w:sz w:val="19"/>
                <w:szCs w:val="19"/>
              </w:rPr>
              <w:t>Security</w:t>
            </w:r>
          </w:p>
        </w:tc>
        <w:tc>
          <w:tcPr>
            <w:tcW w:w="416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172039C7">
            <w:r>
              <w:rPr>
                <w:rFonts w:ascii="Calibri" w:hAnsi="Calibri" w:eastAsia="Calibri" w:cs="Calibri"/>
                <w:color w:val="222222"/>
                <w:sz w:val="19"/>
                <w:szCs w:val="19"/>
              </w:rPr>
              <w:t>0.02%</w:t>
            </w:r>
          </w:p>
        </w:tc>
      </w:tr>
    </w:tbl>
    <w:p w14:paraId="1ADEE154">
      <w:pPr>
        <w:spacing w:before="60" w:after="60"/>
      </w:pPr>
    </w:p>
    <w:p w14:paraId="3C41F39C">
      <w:pPr>
        <w:pBdr>
          <w:bottom w:val="single" w:color="1F3864" w:sz="4" w:space="4"/>
        </w:pBdr>
        <w:spacing w:before="300" w:after="100"/>
      </w:pPr>
      <w:r>
        <w:rPr>
          <w:rFonts w:ascii="Calibri" w:hAnsi="Calibri" w:eastAsia="Calibri" w:cs="Calibri"/>
          <w:b/>
          <w:bCs/>
          <w:color w:val="1F3864"/>
          <w:sz w:val="26"/>
          <w:szCs w:val="26"/>
        </w:rPr>
        <w:t>3. Root Cause Analysis</w:t>
      </w:r>
    </w:p>
    <w:p w14:paraId="6D2799B7">
      <w:pPr>
        <w:spacing w:before="60" w:after="60"/>
      </w:pPr>
    </w:p>
    <w:p w14:paraId="1801057E">
      <w:pPr>
        <w:spacing w:before="60" w:after="80"/>
        <w:jc w:val="both"/>
      </w:pPr>
      <w:r>
        <w:rPr>
          <w:rFonts w:ascii="Calibri" w:hAnsi="Calibri" w:eastAsia="Calibri" w:cs="Calibri"/>
          <w:color w:val="222222"/>
          <w:sz w:val="21"/>
          <w:szCs w:val="21"/>
        </w:rPr>
        <w:t>The performance gaps in this dataset point to a consistent set of operational causes rather than random variation.</w:t>
      </w:r>
    </w:p>
    <w:p w14:paraId="7D40BC51">
      <w:pPr>
        <w:spacing w:before="60" w:after="80"/>
        <w:jc w:val="both"/>
      </w:pPr>
      <w:r>
        <w:rPr>
          <w:rFonts w:ascii="Calibri" w:hAnsi="Calibri" w:eastAsia="Calibri" w:cs="Calibri"/>
          <w:color w:val="222222"/>
          <w:sz w:val="21"/>
          <w:szCs w:val="21"/>
        </w:rPr>
        <w:t>For delays, the biggest driver is schedule design. When airlines build tight turnaround times into their schedules, any inbound delay immediately cascades into the next departure. This propagation effect explains why June and July, when flight volumes are highest, also have the worst average delays. There is simply no buffer in the system to absorb disruption when the network is running at full capacity.</w:t>
      </w:r>
    </w:p>
    <w:p w14:paraId="10E16F21">
      <w:pPr>
        <w:spacing w:before="60" w:after="80"/>
        <w:jc w:val="both"/>
      </w:pPr>
      <w:r>
        <w:rPr>
          <w:rFonts w:ascii="Calibri" w:hAnsi="Calibri" w:eastAsia="Calibri" w:cs="Calibri"/>
          <w:color w:val="222222"/>
          <w:sz w:val="21"/>
          <w:szCs w:val="21"/>
        </w:rPr>
        <w:t>Carrier delays, which cover maintenance issues and crew availability, represent the portion of delays that airlines have direct control over. Frontier and Spirit, despite having lower cancellation rates than American Eagle, have among the worst average arrival delays. This suggests their operations struggle with internal execution rather than with external factors like weather or air traffic control.</w:t>
      </w:r>
    </w:p>
    <w:p w14:paraId="50A3EB18">
      <w:pPr>
        <w:spacing w:before="60" w:after="80"/>
        <w:jc w:val="both"/>
      </w:pPr>
      <w:r>
        <w:rPr>
          <w:rFonts w:ascii="Calibri" w:hAnsi="Calibri" w:eastAsia="Calibri" w:cs="Calibri"/>
          <w:color w:val="222222"/>
          <w:sz w:val="21"/>
          <w:szCs w:val="21"/>
        </w:rPr>
        <w:t>For cancellations, weather dominates at 54% but this masks an important nuance. Airlines have discretion over when to cancel versus delay a flight. A cancellation decision is often a business and operational choice, not a pure weather response. The fact that airline-driven cancellations account for 28% of the total means that nearly a third of all cancelled flights reflect internal operational failures.</w:t>
      </w:r>
    </w:p>
    <w:p w14:paraId="2C8DFD2D">
      <w:pPr>
        <w:spacing w:before="60" w:after="80"/>
        <w:jc w:val="both"/>
      </w:pPr>
      <w:r>
        <w:rPr>
          <w:rFonts w:ascii="Calibri" w:hAnsi="Calibri" w:eastAsia="Calibri" w:cs="Calibri"/>
          <w:color w:val="222222"/>
          <w:sz w:val="21"/>
          <w:szCs w:val="21"/>
        </w:rPr>
        <w:t>At the airport level, Chicago O'Hare's combination of high volume, tight infrastructure, and severe weather exposure creates a structural delay problem that individual airlines cannot fully solve on their own. However, airlines can reduce their exposure by adjusting scheduling windows at these congested hubs.</w:t>
      </w:r>
    </w:p>
    <w:p w14:paraId="303E9C11">
      <w:pPr>
        <w:pBdr>
          <w:bottom w:val="single" w:color="1F3864" w:sz="4" w:space="4"/>
        </w:pBdr>
        <w:spacing w:before="300" w:after="100"/>
      </w:pPr>
      <w:r>
        <w:rPr>
          <w:rFonts w:ascii="Calibri" w:hAnsi="Calibri" w:eastAsia="Calibri" w:cs="Calibri"/>
          <w:b/>
          <w:bCs/>
          <w:color w:val="1F3864"/>
          <w:sz w:val="26"/>
          <w:szCs w:val="26"/>
        </w:rPr>
        <w:t>4. Business Recommendations</w:t>
      </w:r>
    </w:p>
    <w:p w14:paraId="4EFDA517">
      <w:pPr>
        <w:spacing w:before="200" w:after="80"/>
      </w:pPr>
      <w:r>
        <w:rPr>
          <w:rFonts w:ascii="Calibri" w:hAnsi="Calibri" w:eastAsia="Calibri" w:cs="Calibri"/>
          <w:b/>
          <w:bCs/>
          <w:color w:val="2E4057"/>
          <w:sz w:val="22"/>
          <w:szCs w:val="22"/>
        </w:rPr>
        <w:t>Build Schedule Buffers on High-Delay Routes</w:t>
      </w:r>
    </w:p>
    <w:p w14:paraId="61E6654A">
      <w:pPr>
        <w:spacing w:before="60" w:after="80"/>
        <w:jc w:val="both"/>
      </w:pPr>
      <w:r>
        <w:rPr>
          <w:rFonts w:ascii="Calibri" w:hAnsi="Calibri" w:eastAsia="Calibri" w:cs="Calibri"/>
          <w:color w:val="222222"/>
          <w:sz w:val="21"/>
          <w:szCs w:val="21"/>
        </w:rPr>
        <w:t>Routes and airports with consistently high average delays need scheduled times extended to reflect actual operating conditions. A 10 to 15 minute buffer on chronic delay routes costs almost nothing on the scheduling side but immediately improves reported OTP because the airline stops making promises it cannot reliably keep.</w:t>
      </w:r>
    </w:p>
    <w:p w14:paraId="5689E378">
      <w:pPr>
        <w:spacing w:before="200" w:after="80"/>
      </w:pPr>
      <w:r>
        <w:rPr>
          <w:rFonts w:ascii="Calibri" w:hAnsi="Calibri" w:eastAsia="Calibri" w:cs="Calibri"/>
          <w:b/>
          <w:bCs/>
          <w:color w:val="2E4057"/>
          <w:sz w:val="22"/>
          <w:szCs w:val="22"/>
        </w:rPr>
        <w:t>Reduce Carrier-Driven Cancellations</w:t>
      </w:r>
    </w:p>
    <w:p w14:paraId="1EE9F4DD">
      <w:pPr>
        <w:spacing w:before="60" w:after="80"/>
        <w:jc w:val="both"/>
      </w:pPr>
      <w:r>
        <w:rPr>
          <w:rFonts w:ascii="Calibri" w:hAnsi="Calibri" w:eastAsia="Calibri" w:cs="Calibri"/>
          <w:color w:val="222222"/>
          <w:sz w:val="21"/>
          <w:szCs w:val="21"/>
        </w:rPr>
        <w:t>With 28% of cancellations attributed to airline and carrier causes, there is a meaningful opportunity to improve through better maintenance scheduling, proactive aircraft positioning, and crew availability planning. Airlines that invest in predictive maintenance systems and smarter crew rostering tend to show lower carrier cancellation rates over time.</w:t>
      </w:r>
    </w:p>
    <w:p w14:paraId="1163B130">
      <w:pPr>
        <w:spacing w:before="200" w:after="80"/>
      </w:pPr>
      <w:r>
        <w:rPr>
          <w:rFonts w:ascii="Calibri" w:hAnsi="Calibri" w:eastAsia="Calibri" w:cs="Calibri"/>
          <w:b/>
          <w:bCs/>
          <w:color w:val="2E4057"/>
          <w:sz w:val="22"/>
          <w:szCs w:val="22"/>
        </w:rPr>
        <w:t>Rebalance Peak Hour Scheduling at Congested Hubs</w:t>
      </w:r>
    </w:p>
    <w:p w14:paraId="30D2DA52">
      <w:pPr>
        <w:spacing w:before="60" w:after="80"/>
        <w:jc w:val="both"/>
      </w:pPr>
      <w:r>
        <w:rPr>
          <w:rFonts w:ascii="Calibri" w:hAnsi="Calibri" w:eastAsia="Calibri" w:cs="Calibri"/>
          <w:color w:val="222222"/>
          <w:sz w:val="21"/>
          <w:szCs w:val="21"/>
        </w:rPr>
        <w:t>Chicago O'Hare, Dallas/Fort Worth, and New York airports carry the highest congestion loads. Moving a portion of departures from peak morning and evening windows to off-peak slots reduces competition for runway and gate capacity. Even modest reductions in peak concentration can improve taxi-out times and reduce downstream propagation delays.</w:t>
      </w:r>
    </w:p>
    <w:p w14:paraId="615A08CF">
      <w:pPr>
        <w:spacing w:before="200" w:after="80"/>
      </w:pPr>
      <w:r>
        <w:rPr>
          <w:rFonts w:ascii="Calibri" w:hAnsi="Calibri" w:eastAsia="Calibri" w:cs="Calibri"/>
          <w:b/>
          <w:bCs/>
          <w:color w:val="2E4057"/>
          <w:sz w:val="22"/>
          <w:szCs w:val="22"/>
        </w:rPr>
        <w:t>Target June and July Operationally</w:t>
      </w:r>
    </w:p>
    <w:p w14:paraId="37681614">
      <w:pPr>
        <w:spacing w:before="60" w:after="80"/>
        <w:jc w:val="both"/>
      </w:pPr>
      <w:r>
        <w:rPr>
          <w:rFonts w:ascii="Calibri" w:hAnsi="Calibri" w:eastAsia="Calibri" w:cs="Calibri"/>
          <w:color w:val="222222"/>
          <w:sz w:val="21"/>
          <w:szCs w:val="21"/>
        </w:rPr>
        <w:t>June records the worst monthly delay performance at 9.60 minutes average arrival delay. Summer operations need dedicated planning, including additional ground staff, extended maintenance windows during turnarounds, and contingency crew positioning at high-volume hubs. Treating June and July as high-risk operational periods rather than standard months is a straightforward and low-cost improvement.</w:t>
      </w:r>
    </w:p>
    <w:p w14:paraId="67A63EF1">
      <w:pPr>
        <w:spacing w:before="200" w:after="80"/>
      </w:pPr>
      <w:r>
        <w:rPr>
          <w:rFonts w:ascii="Calibri" w:hAnsi="Calibri" w:eastAsia="Calibri" w:cs="Calibri"/>
          <w:b/>
          <w:bCs/>
          <w:color w:val="2E4057"/>
          <w:sz w:val="22"/>
          <w:szCs w:val="22"/>
        </w:rPr>
        <w:t>Address Monday Cancellation Concentration</w:t>
      </w:r>
    </w:p>
    <w:p w14:paraId="0676B3D5">
      <w:pPr>
        <w:spacing w:before="60" w:after="80"/>
        <w:jc w:val="both"/>
      </w:pPr>
      <w:r>
        <w:rPr>
          <w:rFonts w:ascii="Calibri" w:hAnsi="Calibri" w:eastAsia="Calibri" w:cs="Calibri"/>
          <w:color w:val="222222"/>
          <w:sz w:val="21"/>
          <w:szCs w:val="21"/>
        </w:rPr>
        <w:t>Monday has a cancellation rate of 2.43%, more than double Friday. This is a predictable, recurring pattern that should drive staffing and aircraft positioning decisions every week. Positioning spare aircraft and additional crew at major hubs on Sunday evenings specifically to cover Monday morning operations would reduce the cancellation rate on the highest-risk day.</w:t>
      </w:r>
    </w:p>
    <w:p w14:paraId="730E0B03">
      <w:pPr>
        <w:pBdr>
          <w:bottom w:val="single" w:color="1F3864" w:sz="4" w:space="4"/>
        </w:pBdr>
        <w:spacing w:before="300" w:after="100"/>
        <w:rPr>
          <w:rFonts w:ascii="Calibri" w:hAnsi="Calibri" w:eastAsia="Calibri" w:cs="Calibri"/>
          <w:b/>
          <w:bCs/>
          <w:color w:val="1F3864"/>
          <w:sz w:val="26"/>
          <w:szCs w:val="26"/>
        </w:rPr>
      </w:pPr>
    </w:p>
    <w:p w14:paraId="26FD7ED4">
      <w:pPr>
        <w:pBdr>
          <w:bottom w:val="single" w:color="1F3864" w:sz="4" w:space="4"/>
        </w:pBdr>
        <w:spacing w:before="300" w:after="100"/>
        <w:rPr>
          <w:rFonts w:ascii="Calibri" w:hAnsi="Calibri" w:eastAsia="Calibri" w:cs="Calibri"/>
          <w:b/>
          <w:bCs/>
          <w:color w:val="1F3864"/>
          <w:sz w:val="26"/>
          <w:szCs w:val="26"/>
        </w:rPr>
      </w:pPr>
    </w:p>
    <w:p w14:paraId="184CA957">
      <w:pPr>
        <w:pBdr>
          <w:bottom w:val="single" w:color="1F3864" w:sz="4" w:space="4"/>
        </w:pBdr>
        <w:spacing w:before="300" w:after="100"/>
        <w:rPr>
          <w:rFonts w:ascii="Calibri" w:hAnsi="Calibri" w:eastAsia="Calibri" w:cs="Calibri"/>
          <w:b/>
          <w:bCs/>
          <w:color w:val="1F3864"/>
          <w:sz w:val="26"/>
          <w:szCs w:val="26"/>
        </w:rPr>
      </w:pPr>
    </w:p>
    <w:p w14:paraId="2F48E39A">
      <w:pPr>
        <w:pBdr>
          <w:bottom w:val="single" w:color="1F3864" w:sz="4" w:space="4"/>
        </w:pBdr>
        <w:spacing w:before="300" w:after="100"/>
      </w:pPr>
      <w:bookmarkStart w:id="0" w:name="_GoBack"/>
      <w:bookmarkEnd w:id="0"/>
      <w:r>
        <w:rPr>
          <w:rFonts w:ascii="Calibri" w:hAnsi="Calibri" w:eastAsia="Calibri" w:cs="Calibri"/>
          <w:b/>
          <w:bCs/>
          <w:color w:val="1F3864"/>
          <w:sz w:val="26"/>
          <w:szCs w:val="26"/>
        </w:rPr>
        <w:t>5. Expected Impact</w:t>
      </w:r>
    </w:p>
    <w:p w14:paraId="7ED19C12">
      <w:pPr>
        <w:spacing w:before="60" w:after="80"/>
        <w:jc w:val="both"/>
      </w:pPr>
      <w:r>
        <w:rPr>
          <w:rFonts w:ascii="Calibri" w:hAnsi="Calibri" w:eastAsia="Calibri" w:cs="Calibri"/>
          <w:color w:val="222222"/>
          <w:sz w:val="21"/>
          <w:szCs w:val="21"/>
        </w:rPr>
        <w:t>These recommendations address specific, measurable problems identified in the data. The table below summarises expected improvements and realistic timelines.</w:t>
      </w:r>
    </w:p>
    <w:p w14:paraId="3587AD28">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400"/>
        <w:gridCol w:w="2960"/>
      </w:tblGrid>
      <w:tr w14:paraId="77F4B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DDDDD" w:sz="0" w:space="0"/>
              <w:left w:val="single" w:color="DDDDDD" w:sz="0" w:space="0"/>
              <w:bottom w:val="single" w:color="DDDDDD" w:sz="0" w:space="0"/>
              <w:right w:val="single" w:color="DDDDDD" w:sz="0" w:space="0"/>
            </w:tcBorders>
            <w:shd w:val="clear" w:color="auto" w:fill="1F3864"/>
            <w:tcMar>
              <w:top w:w="80" w:type="dxa"/>
              <w:left w:w="120" w:type="dxa"/>
              <w:bottom w:w="80" w:type="dxa"/>
              <w:right w:w="120" w:type="dxa"/>
            </w:tcMar>
            <w:vAlign w:val="center"/>
          </w:tcPr>
          <w:p w14:paraId="4384F02A">
            <w:r>
              <w:rPr>
                <w:rFonts w:ascii="Calibri" w:hAnsi="Calibri" w:eastAsia="Calibri" w:cs="Calibri"/>
                <w:b/>
                <w:bCs/>
                <w:color w:val="FFFFFF"/>
                <w:sz w:val="19"/>
                <w:szCs w:val="19"/>
              </w:rPr>
              <w:t>Recommendation</w:t>
            </w:r>
          </w:p>
        </w:tc>
        <w:tc>
          <w:tcPr>
            <w:tcW w:w="3400" w:type="dxa"/>
            <w:tcBorders>
              <w:top w:val="single" w:color="DDDDDD" w:sz="0" w:space="0"/>
              <w:left w:val="single" w:color="DDDDDD" w:sz="0" w:space="0"/>
              <w:bottom w:val="single" w:color="DDDDDD" w:sz="0" w:space="0"/>
              <w:right w:val="single" w:color="DDDDDD" w:sz="0" w:space="0"/>
            </w:tcBorders>
            <w:shd w:val="clear" w:color="auto" w:fill="1F3864"/>
            <w:tcMar>
              <w:top w:w="80" w:type="dxa"/>
              <w:left w:w="120" w:type="dxa"/>
              <w:bottom w:w="80" w:type="dxa"/>
              <w:right w:w="120" w:type="dxa"/>
            </w:tcMar>
            <w:vAlign w:val="center"/>
          </w:tcPr>
          <w:p w14:paraId="1FC8D900">
            <w:r>
              <w:rPr>
                <w:rFonts w:ascii="Calibri" w:hAnsi="Calibri" w:eastAsia="Calibri" w:cs="Calibri"/>
                <w:b/>
                <w:bCs/>
                <w:color w:val="FFFFFF"/>
                <w:sz w:val="19"/>
                <w:szCs w:val="19"/>
              </w:rPr>
              <w:t>Expected Improvement</w:t>
            </w:r>
          </w:p>
        </w:tc>
        <w:tc>
          <w:tcPr>
            <w:tcW w:w="2960" w:type="dxa"/>
            <w:tcBorders>
              <w:top w:val="single" w:color="DDDDDD" w:sz="0" w:space="0"/>
              <w:left w:val="single" w:color="DDDDDD" w:sz="0" w:space="0"/>
              <w:bottom w:val="single" w:color="DDDDDD" w:sz="0" w:space="0"/>
              <w:right w:val="single" w:color="DDDDDD" w:sz="0" w:space="0"/>
            </w:tcBorders>
            <w:shd w:val="clear" w:color="auto" w:fill="1F3864"/>
            <w:tcMar>
              <w:top w:w="80" w:type="dxa"/>
              <w:left w:w="120" w:type="dxa"/>
              <w:bottom w:w="80" w:type="dxa"/>
              <w:right w:w="120" w:type="dxa"/>
            </w:tcMar>
            <w:vAlign w:val="center"/>
          </w:tcPr>
          <w:p w14:paraId="20B59B5E">
            <w:r>
              <w:rPr>
                <w:rFonts w:ascii="Calibri" w:hAnsi="Calibri" w:eastAsia="Calibri" w:cs="Calibri"/>
                <w:b/>
                <w:bCs/>
                <w:color w:val="FFFFFF"/>
                <w:sz w:val="19"/>
                <w:szCs w:val="19"/>
              </w:rPr>
              <w:t>Timeline</w:t>
            </w:r>
          </w:p>
        </w:tc>
      </w:tr>
      <w:tr w14:paraId="2C1F8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DDDDD" w:sz="0" w:space="0"/>
              <w:left w:val="single" w:color="DDDDDD" w:sz="0" w:space="0"/>
              <w:bottom w:val="single" w:color="DDDDDD" w:sz="0" w:space="0"/>
              <w:right w:val="single" w:color="DDDDDD" w:sz="0" w:space="0"/>
            </w:tcBorders>
            <w:shd w:val="clear" w:color="auto" w:fill="F0F4FA"/>
            <w:tcMar>
              <w:top w:w="80" w:type="dxa"/>
              <w:left w:w="120" w:type="dxa"/>
              <w:bottom w:w="80" w:type="dxa"/>
              <w:right w:w="120" w:type="dxa"/>
            </w:tcMar>
          </w:tcPr>
          <w:p w14:paraId="59C39A57">
            <w:r>
              <w:rPr>
                <w:rFonts w:ascii="Calibri" w:hAnsi="Calibri" w:eastAsia="Calibri" w:cs="Calibri"/>
                <w:color w:val="222222"/>
                <w:sz w:val="19"/>
                <w:szCs w:val="19"/>
              </w:rPr>
              <w:t>Schedule buffers on delay routes</w:t>
            </w:r>
          </w:p>
        </w:tc>
        <w:tc>
          <w:tcPr>
            <w:tcW w:w="3400" w:type="dxa"/>
            <w:tcBorders>
              <w:top w:val="single" w:color="DDDDDD" w:sz="0" w:space="0"/>
              <w:left w:val="single" w:color="DDDDDD" w:sz="0" w:space="0"/>
              <w:bottom w:val="single" w:color="DDDDDD" w:sz="0" w:space="0"/>
              <w:right w:val="single" w:color="DDDDDD" w:sz="0" w:space="0"/>
            </w:tcBorders>
            <w:shd w:val="clear" w:color="auto" w:fill="F0F4FA"/>
            <w:tcMar>
              <w:top w:w="80" w:type="dxa"/>
              <w:left w:w="120" w:type="dxa"/>
              <w:bottom w:w="80" w:type="dxa"/>
              <w:right w:w="120" w:type="dxa"/>
            </w:tcMar>
          </w:tcPr>
          <w:p w14:paraId="746BD444">
            <w:r>
              <w:rPr>
                <w:rFonts w:ascii="Calibri" w:hAnsi="Calibri" w:eastAsia="Calibri" w:cs="Calibri"/>
                <w:color w:val="222222"/>
                <w:sz w:val="19"/>
                <w:szCs w:val="19"/>
              </w:rPr>
              <w:t>+2 to 3 OTP points</w:t>
            </w:r>
          </w:p>
        </w:tc>
        <w:tc>
          <w:tcPr>
            <w:tcW w:w="2960" w:type="dxa"/>
            <w:tcBorders>
              <w:top w:val="single" w:color="DDDDDD" w:sz="0" w:space="0"/>
              <w:left w:val="single" w:color="DDDDDD" w:sz="0" w:space="0"/>
              <w:bottom w:val="single" w:color="DDDDDD" w:sz="0" w:space="0"/>
              <w:right w:val="single" w:color="DDDDDD" w:sz="0" w:space="0"/>
            </w:tcBorders>
            <w:shd w:val="clear" w:color="auto" w:fill="F0F4FA"/>
            <w:tcMar>
              <w:top w:w="80" w:type="dxa"/>
              <w:left w:w="120" w:type="dxa"/>
              <w:bottom w:w="80" w:type="dxa"/>
              <w:right w:w="120" w:type="dxa"/>
            </w:tcMar>
          </w:tcPr>
          <w:p w14:paraId="3E92E402">
            <w:r>
              <w:rPr>
                <w:rFonts w:ascii="Calibri" w:hAnsi="Calibri" w:eastAsia="Calibri" w:cs="Calibri"/>
                <w:color w:val="222222"/>
                <w:sz w:val="19"/>
                <w:szCs w:val="19"/>
              </w:rPr>
              <w:t>6 months</w:t>
            </w:r>
          </w:p>
        </w:tc>
      </w:tr>
      <w:tr w14:paraId="0A794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29FE6487">
            <w:r>
              <w:rPr>
                <w:rFonts w:ascii="Calibri" w:hAnsi="Calibri" w:eastAsia="Calibri" w:cs="Calibri"/>
                <w:color w:val="222222"/>
                <w:sz w:val="19"/>
                <w:szCs w:val="19"/>
              </w:rPr>
              <w:t>Carrier cancellation reduction</w:t>
            </w:r>
          </w:p>
        </w:tc>
        <w:tc>
          <w:tcPr>
            <w:tcW w:w="34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297D4208">
            <w:r>
              <w:rPr>
                <w:rFonts w:ascii="Calibri" w:hAnsi="Calibri" w:eastAsia="Calibri" w:cs="Calibri"/>
                <w:color w:val="222222"/>
                <w:sz w:val="19"/>
                <w:szCs w:val="19"/>
              </w:rPr>
              <w:t>Reduce carrier share from 28% toward 20%</w:t>
            </w:r>
          </w:p>
        </w:tc>
        <w:tc>
          <w:tcPr>
            <w:tcW w:w="296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2621A9CE">
            <w:r>
              <w:rPr>
                <w:rFonts w:ascii="Calibri" w:hAnsi="Calibri" w:eastAsia="Calibri" w:cs="Calibri"/>
                <w:color w:val="222222"/>
                <w:sz w:val="19"/>
                <w:szCs w:val="19"/>
              </w:rPr>
              <w:t>12 months</w:t>
            </w:r>
          </w:p>
        </w:tc>
      </w:tr>
      <w:tr w14:paraId="0CD7A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DDDDD" w:sz="0" w:space="0"/>
              <w:left w:val="single" w:color="DDDDDD" w:sz="0" w:space="0"/>
              <w:bottom w:val="single" w:color="DDDDDD" w:sz="0" w:space="0"/>
              <w:right w:val="single" w:color="DDDDDD" w:sz="0" w:space="0"/>
            </w:tcBorders>
            <w:shd w:val="clear" w:color="auto" w:fill="F0F4FA"/>
            <w:tcMar>
              <w:top w:w="80" w:type="dxa"/>
              <w:left w:w="120" w:type="dxa"/>
              <w:bottom w:w="80" w:type="dxa"/>
              <w:right w:w="120" w:type="dxa"/>
            </w:tcMar>
          </w:tcPr>
          <w:p w14:paraId="46E473AD">
            <w:r>
              <w:rPr>
                <w:rFonts w:ascii="Calibri" w:hAnsi="Calibri" w:eastAsia="Calibri" w:cs="Calibri"/>
                <w:color w:val="222222"/>
                <w:sz w:val="19"/>
                <w:szCs w:val="19"/>
              </w:rPr>
              <w:t>Peak hour rebalancing at ORD, DFW, EWR</w:t>
            </w:r>
          </w:p>
        </w:tc>
        <w:tc>
          <w:tcPr>
            <w:tcW w:w="3400" w:type="dxa"/>
            <w:tcBorders>
              <w:top w:val="single" w:color="DDDDDD" w:sz="0" w:space="0"/>
              <w:left w:val="single" w:color="DDDDDD" w:sz="0" w:space="0"/>
              <w:bottom w:val="single" w:color="DDDDDD" w:sz="0" w:space="0"/>
              <w:right w:val="single" w:color="DDDDDD" w:sz="0" w:space="0"/>
            </w:tcBorders>
            <w:shd w:val="clear" w:color="auto" w:fill="F0F4FA"/>
            <w:tcMar>
              <w:top w:w="80" w:type="dxa"/>
              <w:left w:w="120" w:type="dxa"/>
              <w:bottom w:w="80" w:type="dxa"/>
              <w:right w:w="120" w:type="dxa"/>
            </w:tcMar>
          </w:tcPr>
          <w:p w14:paraId="79CB1B81">
            <w:r>
              <w:rPr>
                <w:rFonts w:ascii="Calibri" w:hAnsi="Calibri" w:eastAsia="Calibri" w:cs="Calibri"/>
                <w:color w:val="222222"/>
                <w:sz w:val="19"/>
                <w:szCs w:val="19"/>
              </w:rPr>
              <w:t>+1 to 2 OTP points</w:t>
            </w:r>
          </w:p>
        </w:tc>
        <w:tc>
          <w:tcPr>
            <w:tcW w:w="2960" w:type="dxa"/>
            <w:tcBorders>
              <w:top w:val="single" w:color="DDDDDD" w:sz="0" w:space="0"/>
              <w:left w:val="single" w:color="DDDDDD" w:sz="0" w:space="0"/>
              <w:bottom w:val="single" w:color="DDDDDD" w:sz="0" w:space="0"/>
              <w:right w:val="single" w:color="DDDDDD" w:sz="0" w:space="0"/>
            </w:tcBorders>
            <w:shd w:val="clear" w:color="auto" w:fill="F0F4FA"/>
            <w:tcMar>
              <w:top w:w="80" w:type="dxa"/>
              <w:left w:w="120" w:type="dxa"/>
              <w:bottom w:w="80" w:type="dxa"/>
              <w:right w:w="120" w:type="dxa"/>
            </w:tcMar>
          </w:tcPr>
          <w:p w14:paraId="5C7A94DA">
            <w:r>
              <w:rPr>
                <w:rFonts w:ascii="Calibri" w:hAnsi="Calibri" w:eastAsia="Calibri" w:cs="Calibri"/>
                <w:color w:val="222222"/>
                <w:sz w:val="19"/>
                <w:szCs w:val="19"/>
              </w:rPr>
              <w:t>18 months</w:t>
            </w:r>
          </w:p>
        </w:tc>
      </w:tr>
      <w:tr w14:paraId="092FE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3D85FE8A">
            <w:r>
              <w:rPr>
                <w:rFonts w:ascii="Calibri" w:hAnsi="Calibri" w:eastAsia="Calibri" w:cs="Calibri"/>
                <w:color w:val="222222"/>
                <w:sz w:val="19"/>
                <w:szCs w:val="19"/>
              </w:rPr>
              <w:t>Summer operations planning</w:t>
            </w:r>
          </w:p>
        </w:tc>
        <w:tc>
          <w:tcPr>
            <w:tcW w:w="34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79C6AE1F">
            <w:r>
              <w:rPr>
                <w:rFonts w:ascii="Calibri" w:hAnsi="Calibri" w:eastAsia="Calibri" w:cs="Calibri"/>
                <w:color w:val="222222"/>
                <w:sz w:val="19"/>
                <w:szCs w:val="19"/>
              </w:rPr>
              <w:t>Reduce June avg delay from 9.6 to under 7 min</w:t>
            </w:r>
          </w:p>
        </w:tc>
        <w:tc>
          <w:tcPr>
            <w:tcW w:w="296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368B7902">
            <w:r>
              <w:rPr>
                <w:rFonts w:ascii="Calibri" w:hAnsi="Calibri" w:eastAsia="Calibri" w:cs="Calibri"/>
                <w:color w:val="222222"/>
                <w:sz w:val="19"/>
                <w:szCs w:val="19"/>
              </w:rPr>
              <w:t>Next season</w:t>
            </w:r>
          </w:p>
        </w:tc>
      </w:tr>
      <w:tr w14:paraId="6FF36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DDDDD" w:sz="0" w:space="0"/>
              <w:left w:val="single" w:color="DDDDDD" w:sz="0" w:space="0"/>
              <w:bottom w:val="single" w:color="DDDDDD" w:sz="0" w:space="0"/>
              <w:right w:val="single" w:color="DDDDDD" w:sz="0" w:space="0"/>
            </w:tcBorders>
            <w:shd w:val="clear" w:color="auto" w:fill="F0F4FA"/>
            <w:tcMar>
              <w:top w:w="80" w:type="dxa"/>
              <w:left w:w="120" w:type="dxa"/>
              <w:bottom w:w="80" w:type="dxa"/>
              <w:right w:w="120" w:type="dxa"/>
            </w:tcMar>
          </w:tcPr>
          <w:p w14:paraId="48CC4FD5">
            <w:r>
              <w:rPr>
                <w:rFonts w:ascii="Calibri" w:hAnsi="Calibri" w:eastAsia="Calibri" w:cs="Calibri"/>
                <w:color w:val="222222"/>
                <w:sz w:val="19"/>
                <w:szCs w:val="19"/>
              </w:rPr>
              <w:t>Monday crew and aircraft positioning</w:t>
            </w:r>
          </w:p>
        </w:tc>
        <w:tc>
          <w:tcPr>
            <w:tcW w:w="3400" w:type="dxa"/>
            <w:tcBorders>
              <w:top w:val="single" w:color="DDDDDD" w:sz="0" w:space="0"/>
              <w:left w:val="single" w:color="DDDDDD" w:sz="0" w:space="0"/>
              <w:bottom w:val="single" w:color="DDDDDD" w:sz="0" w:space="0"/>
              <w:right w:val="single" w:color="DDDDDD" w:sz="0" w:space="0"/>
            </w:tcBorders>
            <w:shd w:val="clear" w:color="auto" w:fill="F0F4FA"/>
            <w:tcMar>
              <w:top w:w="80" w:type="dxa"/>
              <w:left w:w="120" w:type="dxa"/>
              <w:bottom w:w="80" w:type="dxa"/>
              <w:right w:w="120" w:type="dxa"/>
            </w:tcMar>
          </w:tcPr>
          <w:p w14:paraId="51900160">
            <w:r>
              <w:rPr>
                <w:rFonts w:ascii="Calibri" w:hAnsi="Calibri" w:eastAsia="Calibri" w:cs="Calibri"/>
                <w:color w:val="222222"/>
                <w:sz w:val="19"/>
                <w:szCs w:val="19"/>
              </w:rPr>
              <w:t>Reduce Monday cancel rate from 2.43% toward 1.5%</w:t>
            </w:r>
          </w:p>
        </w:tc>
        <w:tc>
          <w:tcPr>
            <w:tcW w:w="2960" w:type="dxa"/>
            <w:tcBorders>
              <w:top w:val="single" w:color="DDDDDD" w:sz="0" w:space="0"/>
              <w:left w:val="single" w:color="DDDDDD" w:sz="0" w:space="0"/>
              <w:bottom w:val="single" w:color="DDDDDD" w:sz="0" w:space="0"/>
              <w:right w:val="single" w:color="DDDDDD" w:sz="0" w:space="0"/>
            </w:tcBorders>
            <w:shd w:val="clear" w:color="auto" w:fill="F0F4FA"/>
            <w:tcMar>
              <w:top w:w="80" w:type="dxa"/>
              <w:left w:w="120" w:type="dxa"/>
              <w:bottom w:w="80" w:type="dxa"/>
              <w:right w:w="120" w:type="dxa"/>
            </w:tcMar>
          </w:tcPr>
          <w:p w14:paraId="6EB7ED07">
            <w:r>
              <w:rPr>
                <w:rFonts w:ascii="Calibri" w:hAnsi="Calibri" w:eastAsia="Calibri" w:cs="Calibri"/>
                <w:color w:val="222222"/>
                <w:sz w:val="19"/>
                <w:szCs w:val="19"/>
              </w:rPr>
              <w:t>3 months</w:t>
            </w:r>
          </w:p>
        </w:tc>
      </w:tr>
    </w:tbl>
    <w:p w14:paraId="540E206F">
      <w:pPr>
        <w:spacing w:before="60" w:after="60"/>
      </w:pPr>
    </w:p>
    <w:p w14:paraId="1AA06B8F">
      <w:pPr>
        <w:spacing w:before="60" w:after="80"/>
        <w:jc w:val="both"/>
      </w:pPr>
      <w:r>
        <w:rPr>
          <w:rFonts w:ascii="Calibri" w:hAnsi="Calibri" w:eastAsia="Calibri" w:cs="Calibri"/>
          <w:color w:val="222222"/>
          <w:sz w:val="21"/>
          <w:szCs w:val="21"/>
        </w:rPr>
        <w:t>If the first three recommendations are implemented together, a combined OTP improvement of 3 to 5 percentage points is achievable within 18 months. The industry is already operating above the 80% benchmark at 82.14%, but the variation between carriers shows there is significant room to raise the floor. Hawaiian Airlines at 89.47% demonstrates what is operationally possible. Closing even half the gap between the worst and best performers would represent a meaningful improvement in passenger experience and operational cost efficiency.</w:t>
      </w:r>
    </w:p>
    <w:p w14:paraId="3CBEB15C">
      <w:pPr>
        <w:spacing w:before="60" w:after="80"/>
        <w:jc w:val="both"/>
      </w:pPr>
      <w:r>
        <w:rPr>
          <w:rFonts w:ascii="Calibri" w:hAnsi="Calibri" w:eastAsia="Calibri" w:cs="Calibri"/>
          <w:color w:val="222222"/>
          <w:sz w:val="21"/>
          <w:szCs w:val="21"/>
        </w:rPr>
        <w:t>The most important takeaway from this analysis is that most of the performance problems visible in the data are operational and therefore fixable. Weather is real, but it explains a smaller share of disruptions than airlines typically communicate publicly. The bigger opportunities are in scheduling design, carrier execution, and targeted planning for predictable high-risk periods.</w:t>
      </w:r>
    </w:p>
    <w:p w14:paraId="39694705">
      <w:pPr>
        <w:pBdr>
          <w:top w:val="single" w:color="CCCCCC" w:sz="2" w:space="8"/>
        </w:pBdr>
        <w:spacing w:before="400" w:after="0"/>
        <w:jc w:val="left"/>
      </w:pPr>
      <w:r>
        <w:rPr>
          <w:rFonts w:ascii="Calibri" w:hAnsi="Calibri" w:eastAsia="Calibri" w:cs="Calibri"/>
          <w:i/>
          <w:iCs/>
          <w:color w:val="999999"/>
          <w:sz w:val="16"/>
          <w:szCs w:val="16"/>
        </w:rPr>
        <w:t>Dataset: 5,819,079 U.S. domestic flight records, 2015. Source: U.S. Department of Transportation. Tools: PostgreSQL, SQL, Power BI, DAX. Prepared by Raju Kumar S, Data Analyst, Bengaluru, India.</w:t>
      </w:r>
    </w:p>
    <w:sectPr>
      <w:pgSz w:w="12240" w:h="15840"/>
      <w:pgMar w:top="1260" w:right="1260" w:bottom="126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compatSetting w:name="compatibilityMode" w:uri="http://schemas.microsoft.com/office/word" w:val="15"/>
  </w:compat>
  <w:rsids>
    <w:rsidRoot w:val="00000000"/>
    <w:rsid w:val="7DF60CD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1"/>
      <w:szCs w:val="21"/>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1"/>
      <w:szCs w:val="21"/>
    </w:rPr>
  </w:style>
  <w:style w:type="paragraph" w:styleId="6">
    <w:name w:val="heading 5"/>
    <w:next w:val="1"/>
    <w:qFormat/>
    <w:uiPriority w:val="0"/>
    <w:rPr>
      <w:rFonts w:ascii="Calibri" w:hAnsi="Calibri" w:eastAsia="Calibri" w:cs="Calibri"/>
      <w:color w:val="2E74B5"/>
      <w:sz w:val="21"/>
      <w:szCs w:val="21"/>
    </w:rPr>
  </w:style>
  <w:style w:type="paragraph" w:styleId="7">
    <w:name w:val="heading 6"/>
    <w:next w:val="1"/>
    <w:qFormat/>
    <w:uiPriority w:val="0"/>
    <w:rPr>
      <w:rFonts w:ascii="Calibri" w:hAnsi="Calibri" w:eastAsia="Calibri" w:cs="Calibri"/>
      <w:color w:val="1F4D78"/>
      <w:sz w:val="21"/>
      <w:szCs w:val="21"/>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1"/>
      <w:szCs w:val="21"/>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TotalTime>2</TotalTime>
  <ScaleCrop>false</ScaleCrop>
  <LinksUpToDate>false</LinksUpToDate>
  <Application>WPS Office_12.2.0.23197_F1E327BC-269C-435d-A152-05C5408002CA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2026-06-09T04:41:00Z</dcterms:created>
  <dc:creator>Un-named</dc:creator>
  <cp:lastModifiedBy>Raju Kumar S</cp:lastModifiedBy>
  <dcterms:modified xsi:type="dcterms:W3CDTF">2026-06-09T04:51:51Z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3E8AF37CBBF6478C84136C9F9D57794C_12</vt:lpwstr>
  </property>
</Properties>
</file>