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Low-level programming languages directly deal with the hardware component of the computer. Low-level language is also termed a computer’s native language since the computer can instantly understand it without any extra effort of compiling and interpreting like high-level language. But if the program is written in human-readable form and still in assembly language then we need an assembler to translate it into machine-level language.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Machine language and assembly language are examples of low-level languages.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LDA 1020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MOV H,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LDA 1021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ADD 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MOV L,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MVI A,00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ADC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MOV H,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SHLD 2010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HLT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above program is written in Assembly language which adds two 8-bit numbers.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High-level programming languages are the higher-level abstraction in computer science which are designed and built by focusing on the user’s logic rather than dealing with the hardware of the computer directly. It enables a normal user to develop programs by typing codes in human-readable form. We need tools like compiler and interpreter to convert high-level languages into machine-level languages.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For example, if we start to build an application in a machine-level language which operates very high-level computing then wouldn’t it be a nightmare for the developer?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So, high-level languages enable a developer to ease in writing and maintaining quality code that can be reused again and again.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Python, Java, and Javascript are examples of high-level languages.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Let’s transfer the above program written in the Assembly language into python code.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a=int(input(“Enter first number”);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b=int(input(“Enter second number”)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print(“Sum of the given number is:”,a+b)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