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0B5FA5"/>
          <w:sz w:val="52"/>
        </w:rPr>
        <w:t>Adversarial Payment Arena</w:t>
      </w:r>
    </w:p>
    <w:p>
      <w:pPr>
        <w:spacing w:after="280"/>
        <w:jc w:val="center"/>
      </w:pPr>
      <w:r>
        <w:rPr>
          <w:b w:val="0"/>
          <w:i w:val="0"/>
          <w:color w:val="5A6373"/>
          <w:sz w:val="30"/>
        </w:rPr>
        <w:t>Solution Walkthrough</w:t>
      </w:r>
    </w:p>
    <w:p>
      <w:pPr>
        <w:spacing w:after="360"/>
        <w:jc w:val="center"/>
      </w:pPr>
      <w:r>
        <w:rPr>
          <w:b/>
          <w:i w:val="0"/>
          <w:color w:val="1A1F2B"/>
          <w:sz w:val="21"/>
        </w:rPr>
        <w:t>Mastercard Innovation Challenge @ GFF 2026 -- AI Defense Lab for Payment Security</w:t>
      </w:r>
    </w:p>
    <w:p>
      <w:pPr>
        <w:spacing w:after="360"/>
        <w:jc w:val="center"/>
      </w:pPr>
      <w:r>
        <w:rPr>
          <w:b w:val="0"/>
          <w:i/>
          <w:color w:val="1A1F2B"/>
          <w:sz w:val="22"/>
        </w:rPr>
        <w:t>A closed-loop red-team / blue-team environment for payment fraud, built to answer one question the loop itself cannot answer: when a defender retrains on AI-generated attacks, does it get better at catching real fraud -- or only better at catching its own imagination?</w:t>
      </w:r>
    </w:p>
    <w:tbl>
      <w:tblPr>
        <w:tblStyle w:val="TableGrid"/>
        <w:tblW w:type="auto" w:w="0"/>
        <w:jc w:val="center"/>
        <w:tblLook w:firstColumn="1" w:firstRow="1" w:lastColumn="0" w:lastRow="0" w:noHBand="0" w:noVBand="1" w:val="04A0"/>
      </w:tblPr>
      <w:tblGrid>
        <w:gridCol w:w="4896"/>
        <w:gridCol w:w="4896"/>
      </w:tblGrid>
      <w:tr>
        <w:tc>
          <w:tcPr>
            <w:tcW w:type="dxa" w:w="2736"/>
            <w:shd w:val="clear" w:fill="1A1F2B"/>
          </w:tcPr>
          <w:p>
            <w:pPr>
              <w:spacing w:after="20"/>
            </w:pPr>
            <w:r/>
            <w:r>
              <w:rPr>
                <w:b/>
                <w:color w:val="FFFFFF"/>
                <w:sz w:val="18"/>
              </w:rPr>
              <w:t>Submission artifact</w:t>
            </w:r>
          </w:p>
        </w:tc>
        <w:tc>
          <w:tcPr>
            <w:tcW w:type="dxa" w:w="6336"/>
            <w:shd w:val="clear" w:fill="1A1F2B"/>
          </w:tcPr>
          <w:p>
            <w:pPr>
              <w:spacing w:after="20"/>
            </w:pPr>
            <w:r/>
            <w:r>
              <w:rPr>
                <w:b/>
                <w:color w:val="FFFFFF"/>
                <w:sz w:val="18"/>
              </w:rPr>
              <w:t>Location</w:t>
            </w:r>
          </w:p>
        </w:tc>
      </w:tr>
      <w:tr>
        <w:tc>
          <w:tcPr>
            <w:tcW w:type="dxa" w:w="2736"/>
          </w:tcPr>
          <w:p>
            <w:pPr>
              <w:spacing w:after="20"/>
            </w:pPr>
            <w:r/>
            <w:r>
              <w:rPr>
                <w:b/>
                <w:color w:val="1A1F2B"/>
                <w:sz w:val="18"/>
              </w:rPr>
              <w:t>1. Code repository</w:t>
            </w:r>
          </w:p>
        </w:tc>
        <w:tc>
          <w:tcPr>
            <w:tcW w:type="dxa" w:w="6336"/>
          </w:tcPr>
          <w:p>
            <w:pPr>
              <w:spacing w:after="20"/>
            </w:pPr>
            <w:r/>
            <w:r>
              <w:rPr>
                <w:color w:val="1A1F2B"/>
                <w:sz w:val="18"/>
              </w:rPr>
              <w:t>https://github.com/RajvardhanPatil07/adversarial-payment-arena</w:t>
            </w:r>
          </w:p>
        </w:tc>
      </w:tr>
      <w:tr>
        <w:tc>
          <w:tcPr>
            <w:tcW w:type="dxa" w:w="2736"/>
          </w:tcPr>
          <w:p>
            <w:pPr>
              <w:spacing w:after="20"/>
            </w:pPr>
            <w:r/>
            <w:r>
              <w:rPr>
                <w:b/>
                <w:color w:val="1A1F2B"/>
                <w:sz w:val="18"/>
              </w:rPr>
              <w:t>2. Solution walkthrough</w:t>
            </w:r>
          </w:p>
        </w:tc>
        <w:tc>
          <w:tcPr>
            <w:tcW w:type="dxa" w:w="6336"/>
          </w:tcPr>
          <w:p>
            <w:pPr>
              <w:spacing w:after="20"/>
            </w:pPr>
            <w:r/>
            <w:r>
              <w:rPr>
                <w:color w:val="1A1F2B"/>
                <w:sz w:val="18"/>
              </w:rPr>
              <w:t>this document (generated by docs/build_walkthrough.py)</w:t>
            </w:r>
          </w:p>
        </w:tc>
      </w:tr>
      <w:tr>
        <w:tc>
          <w:tcPr>
            <w:tcW w:type="dxa" w:w="2736"/>
          </w:tcPr>
          <w:p>
            <w:pPr>
              <w:spacing w:after="20"/>
            </w:pPr>
            <w:r/>
            <w:r>
              <w:rPr>
                <w:b/>
                <w:color w:val="1A1F2B"/>
                <w:sz w:val="18"/>
              </w:rPr>
              <w:t>3. Working web prototype</w:t>
            </w:r>
          </w:p>
        </w:tc>
        <w:tc>
          <w:tcPr>
            <w:tcW w:type="dxa" w:w="6336"/>
          </w:tcPr>
          <w:p>
            <w:pPr>
              <w:spacing w:after="20"/>
            </w:pPr>
            <w:r/>
            <w:r>
              <w:rPr>
                <w:color w:val="1A1F2B"/>
                <w:sz w:val="18"/>
              </w:rPr>
              <w:t>https://8000-i9u0fjkr9b6mijyftzlkg-8f57ffe2.sandbox.novita.ai</w:t>
            </w:r>
          </w:p>
        </w:tc>
      </w:tr>
    </w:tbl>
    <w:p>
      <w:pPr>
        <w:spacing w:after="40"/>
      </w:pPr>
    </w:p>
    <w:p>
      <w:pPr>
        <w:spacing w:after="120"/>
      </w:pPr>
      <w:r>
        <w:rPr>
          <w:b w:val="0"/>
          <w:i w:val="0"/>
          <w:color w:val="1A1F2B"/>
          <w:sz w:val="21"/>
        </w:rPr>
      </w:r>
    </w:p>
    <w:p>
      <w:pPr>
        <w:spacing w:after="120"/>
      </w:pPr>
      <w:r>
        <w:rPr>
          <w:b/>
          <w:i w:val="0"/>
          <w:color w:val="1A1F2B"/>
          <w:sz w:val="19"/>
        </w:rPr>
        <w:t xml:space="preserve">Reproducibility. </w:t>
      </w:r>
      <w:r>
        <w:rPr>
          <w:b w:val="0"/>
          <w:i w:val="0"/>
          <w:color w:val="1A1F2B"/>
          <w:sz w:val="19"/>
        </w:rPr>
        <w:t xml:space="preserve">Every figure in this document is read at build time from </w:t>
      </w:r>
      <w:r>
        <w:rPr>
          <w:rFonts w:ascii="Consolas" w:hAnsi="Consolas"/>
          <w:b w:val="0"/>
          <w:i w:val="0"/>
          <w:color w:val="1A1F2B"/>
          <w:sz w:val="18"/>
        </w:rPr>
        <w:t>artifacts/*.json</w:t>
      </w:r>
      <w:r>
        <w:rPr>
          <w:b w:val="0"/>
          <w:i w:val="0"/>
          <w:color w:val="1A1F2B"/>
          <w:sz w:val="19"/>
        </w:rPr>
        <w:t xml:space="preserve">. Nothing is transcribed by hand. Regenerate the evidence with </w:t>
      </w:r>
      <w:r>
        <w:rPr>
          <w:rFonts w:ascii="Consolas" w:hAnsi="Consolas"/>
          <w:b w:val="0"/>
          <w:i w:val="0"/>
          <w:color w:val="1A1F2B"/>
          <w:sz w:val="18"/>
        </w:rPr>
        <w:t>make reproduce</w:t>
      </w:r>
      <w:r>
        <w:rPr>
          <w:b w:val="0"/>
          <w:i w:val="0"/>
          <w:color w:val="1A1F2B"/>
          <w:sz w:val="19"/>
        </w:rPr>
        <w:t xml:space="preserve"> and rebuild this document with </w:t>
      </w:r>
      <w:r>
        <w:rPr>
          <w:rFonts w:ascii="Consolas" w:hAnsi="Consolas"/>
          <w:b w:val="0"/>
          <w:i w:val="0"/>
          <w:color w:val="1A1F2B"/>
          <w:sz w:val="18"/>
        </w:rPr>
        <w:t>python docs/build_walkthrough.py</w:t>
      </w:r>
      <w:r>
        <w:rPr>
          <w:b w:val="0"/>
          <w:i w:val="0"/>
          <w:color w:val="1A1F2B"/>
          <w:sz w:val="19"/>
        </w:rPr>
        <w:t xml:space="preserve"> to obtain the same numbers.</w:t>
      </w:r>
    </w:p>
    <w:p>
      <w:pPr>
        <w:spacing w:after="120"/>
      </w:pPr>
      <w:r>
        <w:rPr>
          <w:b/>
          <w:i w:val="0"/>
          <w:color w:val="1A1F2B"/>
          <w:sz w:val="18"/>
        </w:rPr>
        <w:t xml:space="preserve">Build provenance. </w:t>
      </w:r>
      <w:r>
        <w:rPr>
          <w:b w:val="0"/>
          <w:i w:val="0"/>
          <w:color w:val="5A6373"/>
          <w:sz w:val="18"/>
        </w:rPr>
        <w:t>git cd9add9 | generated 2026-08-29 18:48 UTC | seeds and commands are stamped inside every artifact.</w:t>
      </w:r>
    </w:p>
    <w:p>
      <w:r>
        <w:br w:type="page"/>
      </w:r>
    </w:p>
    <w:p>
      <w:pPr>
        <w:pStyle w:val="Heading1"/>
      </w:pPr>
      <w:r>
        <w:t>1. Executive summary</w:t>
      </w:r>
    </w:p>
    <w:p>
      <w:pPr>
        <w:spacing w:after="160"/>
      </w:pPr>
      <w:r>
        <w:rPr>
          <w:b w:val="0"/>
          <w:i w:val="0"/>
          <w:color w:val="1A1F2B"/>
          <w:sz w:val="21"/>
        </w:rPr>
        <w:t>The brief asks for three things: identify AI-enabled attack vectors, generate them in a simulation, and defend against them. Building that loop is the entry ticket. The finding that makes this submission worth reading is what the loop does when nobody checks it.</w:t>
      </w:r>
    </w:p>
    <w:p>
      <w:pPr>
        <w:pStyle w:val="Heading2"/>
      </w:pPr>
      <w:r>
        <w:t>The result: a closed loop can lie to you</w:t>
      </w:r>
    </w:p>
    <w:p>
      <w:pPr>
        <w:spacing w:after="160"/>
      </w:pPr>
      <w:r>
        <w:rPr>
          <w:b w:val="0"/>
          <w:i w:val="0"/>
          <w:color w:val="1A1F2B"/>
          <w:sz w:val="21"/>
        </w:rPr>
        <w:t>We ran the same adversarial loop four times: with a low-fidelity and a high-fidelity attack generator, each with and without a fidelity gate on the synthetic attacks admitted to retraining. Three generations, three seeds, false-positive rate re-pinned to 1% every generation on a disjoint legitimate split. Two recall numbers were tracked separately: recall on the loop's own synthetic attacks, and recall on held-out REAL fraud the attacker never saw.</w:t>
      </w:r>
    </w:p>
    <w:p>
      <w:pPr>
        <w:spacing w:after="160"/>
      </w:pPr>
      <w:r>
        <w:rPr>
          <w:b/>
          <w:i w:val="0"/>
          <w:color w:val="1A1F2B"/>
          <w:sz w:val="21"/>
        </w:rPr>
        <w:t xml:space="preserve">In the ungated loop with a low-fidelity generator, those two numbers moved in opposite directions. </w:t>
      </w:r>
      <w:r>
        <w:rPr>
          <w:b w:val="0"/>
          <w:i w:val="0"/>
          <w:color w:val="1A1F2B"/>
          <w:sz w:val="21"/>
        </w:rPr>
        <w:t xml:space="preserve">Recall on its own synthetic attacks rose </w:t>
      </w:r>
      <w:r>
        <w:rPr>
          <w:b/>
          <w:i w:val="0"/>
          <w:color w:val="B32D2D"/>
          <w:sz w:val="21"/>
        </w:rPr>
        <w:t>+85.0 pts</w:t>
      </w:r>
      <w:r>
        <w:rPr>
          <w:b w:val="0"/>
          <w:i w:val="0"/>
          <w:color w:val="1A1F2B"/>
          <w:sz w:val="21"/>
        </w:rPr>
        <w:t xml:space="preserve"> -- a near-perfect scoreboard -- while recall on real fraud FELL </w:t>
      </w:r>
      <w:r>
        <w:rPr>
          <w:b/>
          <w:i w:val="0"/>
          <w:color w:val="B32D2D"/>
          <w:sz w:val="21"/>
        </w:rPr>
        <w:t>-15.2 pts</w:t>
      </w:r>
      <w:r>
        <w:rPr>
          <w:b w:val="0"/>
          <w:i w:val="0"/>
          <w:color w:val="1A1F2B"/>
          <w:sz w:val="21"/>
        </w:rPr>
        <w:t>. A team reporting only the first number would have reported a triumph while shipping a measurably worse detector.</w:t>
      </w:r>
    </w:p>
    <w:p>
      <w:pPr>
        <w:spacing w:after="200"/>
      </w:pPr>
      <w:r>
        <w:rPr>
          <w:b/>
          <w:i w:val="0"/>
          <w:color w:val="1A1F2B"/>
          <w:sz w:val="21"/>
        </w:rPr>
        <w:t xml:space="preserve">The gate removes the failure. </w:t>
      </w:r>
      <w:r>
        <w:rPr>
          <w:b w:val="0"/>
          <w:i w:val="0"/>
          <w:color w:val="1A1F2B"/>
          <w:sz w:val="21"/>
        </w:rPr>
        <w:t xml:space="preserve">With the same low-fidelity generator behind a label-free fidelity gate, real recall held at </w:t>
      </w:r>
      <w:r>
        <w:rPr>
          <w:b/>
          <w:i w:val="0"/>
          <w:color w:val="1B7F4B"/>
          <w:sz w:val="21"/>
        </w:rPr>
        <w:t>-0.3 pts</w:t>
      </w:r>
      <w:r>
        <w:rPr>
          <w:b w:val="0"/>
          <w:i w:val="0"/>
          <w:color w:val="1A1F2B"/>
          <w:sz w:val="21"/>
        </w:rPr>
        <w:t xml:space="preserve"> -- statistically flat. The gate rejected every synthetic batch in every seed, which is the correct action: the generator was not good enough to learn from. Net recall protected: </w:t>
      </w:r>
      <w:r>
        <w:rPr>
          <w:b/>
          <w:i w:val="0"/>
          <w:color w:val="1B7F4B"/>
          <w:sz w:val="21"/>
        </w:rPr>
        <w:t>+14.8 pts</w:t>
      </w:r>
      <w:r>
        <w:rPr>
          <w:b w:val="0"/>
          <w:i w:val="0"/>
          <w:color w:val="1A1F2B"/>
          <w:sz w:val="21"/>
        </w:rPr>
        <w:t>.</w:t>
      </w:r>
    </w:p>
    <w:p>
      <w:pPr>
        <w:jc w:val="center"/>
      </w:pPr>
      <w:r>
        <w:drawing>
          <wp:inline xmlns:a="http://schemas.openxmlformats.org/drawingml/2006/main" xmlns:pic="http://schemas.openxmlformats.org/drawingml/2006/picture">
            <wp:extent cx="5760720" cy="1837576"/>
            <wp:docPr id="1" name="Picture 1"/>
            <wp:cNvGraphicFramePr>
              <a:graphicFrameLocks noChangeAspect="1"/>
            </wp:cNvGraphicFramePr>
            <a:graphic>
              <a:graphicData uri="http://schemas.openxmlformats.org/drawingml/2006/picture">
                <pic:pic>
                  <pic:nvPicPr>
                    <pic:cNvPr id="0" name="closed_loop.png"/>
                    <pic:cNvPicPr/>
                  </pic:nvPicPr>
                  <pic:blipFill>
                    <a:blip r:embed="rId9"/>
                    <a:stretch>
                      <a:fillRect/>
                    </a:stretch>
                  </pic:blipFill>
                  <pic:spPr>
                    <a:xfrm>
                      <a:off x="0" y="0"/>
                      <a:ext cx="5760720" cy="1837576"/>
                    </a:xfrm>
                    <a:prstGeom prst="rect"/>
                  </pic:spPr>
                </pic:pic>
              </a:graphicData>
            </a:graphic>
          </wp:inline>
        </w:drawing>
      </w:r>
    </w:p>
    <w:p>
      <w:pPr>
        <w:spacing w:after="200"/>
      </w:pPr>
      <w:r>
        <w:rPr>
          <w:b w:val="0"/>
          <w:i/>
          <w:color w:val="5A6373"/>
          <w:sz w:val="17"/>
        </w:rPr>
        <w:t>Figure 1. The scissor. Left: recall on the loop's own synthetic attacks (the vanity metric). Centre: recall on held-out real fraud. Right: the gap between them. The ungated low-fidelity arm climbs on the left and falls in the centre -- the same loop, two opposite conclusions.</w:t>
      </w:r>
    </w:p>
    <w:p>
      <w:pPr>
        <w:pStyle w:val="Heading2"/>
      </w:pPr>
      <w:r>
        <w:t>Why this matters for a live payment network</w:t>
      </w:r>
    </w:p>
    <w:p>
      <w:pPr>
        <w:spacing w:after="160"/>
      </w:pPr>
      <w:r>
        <w:rPr>
          <w:b w:val="0"/>
          <w:i w:val="0"/>
          <w:color w:val="1A1F2B"/>
          <w:sz w:val="21"/>
        </w:rPr>
        <w:t>Every proposal in this category ends with "and then we retrain the model on the attacks we generated". That step is presented as obviously beneficial. It is not. On our measurements it is beneficial only when the generator's joint structure is faithful, and actively harmful when it is not -- and the harm is invisible to the metric the loop naturally reports about itself. An issuer deploying continuous adversarial retraining without a fidelity gate has built a mechanism for silently degrading its own fraud detection.</w:t>
      </w:r>
    </w:p>
    <w:p>
      <w:pPr>
        <w:spacing w:after="60"/>
      </w:pPr>
      <w:r>
        <w:rPr>
          <w:b/>
          <w:i w:val="0"/>
          <w:color w:val="1A1F2B"/>
          <w:sz w:val="21"/>
        </w:rPr>
        <w:t>Protocol at a glance:</w:t>
      </w:r>
    </w:p>
    <w:p>
      <w:pPr>
        <w:pStyle w:val="ListBullet"/>
        <w:spacing w:after="60"/>
      </w:pPr>
      <w:r>
        <w:rPr>
          <w:b/>
          <w:color w:val="1A1F2B"/>
          <w:sz w:val="21"/>
        </w:rPr>
        <w:t xml:space="preserve">Seeds: </w:t>
      </w:r>
      <w:r>
        <w:rPr>
          <w:color w:val="1A1F2B"/>
          <w:sz w:val="21"/>
        </w:rPr>
        <w:t>[11, 23, 37]</w:t>
      </w:r>
    </w:p>
    <w:p>
      <w:pPr>
        <w:pStyle w:val="ListBullet"/>
        <w:spacing w:after="60"/>
      </w:pPr>
      <w:r>
        <w:rPr>
          <w:b/>
          <w:color w:val="1A1F2B"/>
          <w:sz w:val="21"/>
        </w:rPr>
        <w:t xml:space="preserve">Generations per arm: </w:t>
      </w:r>
      <w:r>
        <w:rPr>
          <w:color w:val="1A1F2B"/>
          <w:sz w:val="21"/>
        </w:rPr>
        <w:t>3</w:t>
      </w:r>
    </w:p>
    <w:p>
      <w:pPr>
        <w:pStyle w:val="ListBullet"/>
        <w:spacing w:after="60"/>
      </w:pPr>
      <w:r>
        <w:rPr>
          <w:b/>
          <w:color w:val="1A1F2B"/>
          <w:sz w:val="21"/>
        </w:rPr>
        <w:t xml:space="preserve">Attack budget / generation: </w:t>
      </w:r>
      <w:r>
        <w:rPr>
          <w:color w:val="1A1F2B"/>
          <w:sz w:val="21"/>
        </w:rPr>
        <w:t>400</w:t>
      </w:r>
    </w:p>
    <w:p>
      <w:pPr>
        <w:pStyle w:val="ListBullet"/>
        <w:spacing w:after="60"/>
      </w:pPr>
      <w:r>
        <w:rPr>
          <w:b/>
          <w:color w:val="1A1F2B"/>
          <w:sz w:val="21"/>
        </w:rPr>
        <w:t xml:space="preserve">False-positive rate (pinned): </w:t>
      </w:r>
      <w:r>
        <w:rPr>
          <w:color w:val="1A1F2B"/>
          <w:sz w:val="21"/>
        </w:rPr>
        <w:t>0.01</w:t>
      </w:r>
    </w:p>
    <w:p>
      <w:pPr>
        <w:pStyle w:val="ListBullet"/>
        <w:spacing w:after="60"/>
      </w:pPr>
      <w:r>
        <w:rPr>
          <w:b/>
          <w:color w:val="1A1F2B"/>
          <w:sz w:val="21"/>
        </w:rPr>
        <w:t xml:space="preserve">Legitimate transactions: </w:t>
      </w:r>
      <w:r>
        <w:rPr>
          <w:color w:val="1A1F2B"/>
          <w:sz w:val="21"/>
        </w:rPr>
        <w:t>6000</w:t>
      </w:r>
    </w:p>
    <w:p>
      <w:pPr>
        <w:pStyle w:val="ListBullet"/>
        <w:spacing w:after="60"/>
      </w:pPr>
      <w:r>
        <w:rPr>
          <w:b/>
          <w:color w:val="1A1F2B"/>
          <w:sz w:val="21"/>
        </w:rPr>
        <w:t xml:space="preserve">Real fraud held out from the attacker: </w:t>
      </w:r>
      <w:r>
        <w:rPr>
          <w:color w:val="1A1F2B"/>
          <w:sz w:val="21"/>
        </w:rPr>
        <w:t>310</w:t>
      </w:r>
    </w:p>
    <w:p>
      <w:pPr>
        <w:pStyle w:val="ListBullet"/>
        <w:spacing w:after="60"/>
      </w:pPr>
      <w:r>
        <w:rPr>
          <w:b/>
          <w:color w:val="1A1F2B"/>
          <w:sz w:val="21"/>
        </w:rPr>
        <w:t xml:space="preserve">Attacker: </w:t>
      </w:r>
      <w:r>
        <w:rPr>
          <w:color w:val="1A1F2B"/>
          <w:sz w:val="21"/>
        </w:rPr>
        <w:t>adaptive -- refits on the escapes from the previous generation</w:t>
      </w:r>
    </w:p>
    <w:p>
      <w:pPr>
        <w:pStyle w:val="ListBullet"/>
        <w:spacing w:after="60"/>
      </w:pPr>
      <w:r>
        <w:rPr>
          <w:b/>
          <w:color w:val="1A1F2B"/>
          <w:sz w:val="21"/>
        </w:rPr>
        <w:t xml:space="preserve">Threshold source: </w:t>
      </w:r>
      <w:r>
        <w:rPr>
          <w:color w:val="1A1F2B"/>
          <w:sz w:val="21"/>
        </w:rPr>
        <w:t>legitimate validation split, disjoint from every evaluation split, re-pinned every generation</w:t>
      </w:r>
    </w:p>
    <w:p>
      <w:pPr>
        <w:pStyle w:val="Heading1"/>
      </w:pPr>
      <w:r>
        <w:t>2. How this submission maps to the judging criteria</w:t>
      </w:r>
    </w:p>
    <w:p>
      <w:pPr>
        <w:spacing w:after="160"/>
      </w:pPr>
      <w:r>
        <w:rPr>
          <w:b w:val="0"/>
          <w:i w:val="0"/>
          <w:color w:val="1A1F2B"/>
          <w:sz w:val="21"/>
        </w:rPr>
        <w:t>The five criteria, and the single strongest piece of evidence for each. Every row names a file a judge can open.</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A1F2B"/>
          </w:tcPr>
          <w:p>
            <w:pPr>
              <w:spacing w:after="20"/>
            </w:pPr>
            <w:r/>
            <w:r>
              <w:rPr>
                <w:b/>
                <w:color w:val="FFFFFF"/>
                <w:sz w:val="17"/>
              </w:rPr>
              <w:t>Criterion</w:t>
            </w:r>
          </w:p>
        </w:tc>
        <w:tc>
          <w:tcPr>
            <w:tcW w:type="dxa" w:w="4608"/>
            <w:shd w:val="clear" w:fill="1A1F2B"/>
          </w:tcPr>
          <w:p>
            <w:pPr>
              <w:spacing w:after="20"/>
            </w:pPr>
            <w:r/>
            <w:r>
              <w:rPr>
                <w:b/>
                <w:color w:val="FFFFFF"/>
                <w:sz w:val="17"/>
              </w:rPr>
              <w:t>Evidence</w:t>
            </w:r>
          </w:p>
        </w:tc>
        <w:tc>
          <w:tcPr>
            <w:tcW w:type="dxa" w:w="2304"/>
            <w:shd w:val="clear" w:fill="1A1F2B"/>
          </w:tcPr>
          <w:p>
            <w:pPr>
              <w:spacing w:after="20"/>
            </w:pPr>
            <w:r/>
            <w:r>
              <w:rPr>
                <w:b/>
                <w:color w:val="FFFFFF"/>
                <w:sz w:val="17"/>
              </w:rPr>
              <w:t>Where</w:t>
            </w:r>
          </w:p>
        </w:tc>
      </w:tr>
      <w:tr>
        <w:tc>
          <w:tcPr>
            <w:tcW w:type="dxa" w:w="2160"/>
          </w:tcPr>
          <w:p>
            <w:pPr>
              <w:spacing w:after="20"/>
            </w:pPr>
            <w:r/>
            <w:r>
              <w:rPr>
                <w:b/>
                <w:color w:val="1A1F2B"/>
                <w:sz w:val="17"/>
              </w:rPr>
              <w:t>Diversity of attacks identified</w:t>
            </w:r>
          </w:p>
        </w:tc>
        <w:tc>
          <w:tcPr>
            <w:tcW w:type="dxa" w:w="4608"/>
          </w:tcPr>
          <w:p>
            <w:pPr>
              <w:spacing w:after="20"/>
            </w:pPr>
            <w:r/>
            <w:r>
              <w:rPr>
                <w:color w:val="1A1F2B"/>
                <w:sz w:val="17"/>
              </w:rPr>
              <w:t>22-scenario taxonomy across 5 attack surfaces; 8 executable, each defeating a different control class</w:t>
            </w:r>
          </w:p>
        </w:tc>
        <w:tc>
          <w:tcPr>
            <w:tcW w:type="dxa" w:w="2304"/>
          </w:tcPr>
          <w:p>
            <w:pPr>
              <w:spacing w:after="20"/>
            </w:pPr>
            <w:r/>
            <w:r>
              <w:rPr>
                <w:color w:val="1A1F2B"/>
                <w:sz w:val="17"/>
              </w:rPr>
              <w:t>docs/ATTACK_TAXONOMY.md, artifacts/family_coverage.json</w:t>
            </w:r>
          </w:p>
        </w:tc>
      </w:tr>
      <w:tr>
        <w:tc>
          <w:tcPr>
            <w:tcW w:type="dxa" w:w="2160"/>
          </w:tcPr>
          <w:p>
            <w:pPr>
              <w:spacing w:after="20"/>
            </w:pPr>
            <w:r/>
            <w:r>
              <w:rPr>
                <w:b/>
                <w:color w:val="1A1F2B"/>
                <w:sz w:val="17"/>
              </w:rPr>
              <w:t>Fidelity of attacks in simulation</w:t>
            </w:r>
          </w:p>
        </w:tc>
        <w:tc>
          <w:tcPr>
            <w:tcW w:type="dxa" w:w="4608"/>
          </w:tcPr>
          <w:p>
            <w:pPr>
              <w:spacing w:after="20"/>
            </w:pPr>
            <w:r/>
            <w:r>
              <w:rPr>
                <w:color w:val="1A1F2B"/>
                <w:sz w:val="17"/>
              </w:rPr>
              <w:t>5 fidelity measures per generator, including the ones our own generator FAILS; a 3-check Plausibility Gate on every generated payload</w:t>
            </w:r>
          </w:p>
        </w:tc>
        <w:tc>
          <w:tcPr>
            <w:tcW w:type="dxa" w:w="2304"/>
          </w:tcPr>
          <w:p>
            <w:pPr>
              <w:spacing w:after="20"/>
            </w:pPr>
            <w:r/>
            <w:r>
              <w:rPr>
                <w:color w:val="1A1F2B"/>
                <w:sz w:val="17"/>
              </w:rPr>
              <w:t>artifacts/fidelity_report.json, backend/environment/payment_stack.py</w:t>
            </w:r>
          </w:p>
        </w:tc>
      </w:tr>
      <w:tr>
        <w:tc>
          <w:tcPr>
            <w:tcW w:type="dxa" w:w="2160"/>
          </w:tcPr>
          <w:p>
            <w:pPr>
              <w:spacing w:after="20"/>
            </w:pPr>
            <w:r/>
            <w:r>
              <w:rPr>
                <w:b/>
                <w:color w:val="1A1F2B"/>
                <w:sz w:val="17"/>
              </w:rPr>
              <w:t>Detection algorithm efficacy</w:t>
            </w:r>
          </w:p>
        </w:tc>
        <w:tc>
          <w:tcPr>
            <w:tcW w:type="dxa" w:w="4608"/>
          </w:tcPr>
          <w:p>
            <w:pPr>
              <w:spacing w:after="20"/>
            </w:pPr>
            <w:r/>
            <w:r>
              <w:rPr>
                <w:color w:val="1A1F2B"/>
                <w:sz w:val="17"/>
              </w:rPr>
              <w:t>3 layers, FPR pinned at 1% on a disjoint split, bootstrap CIs over seeds, precision restated at the 1.3% production base rate</w:t>
            </w:r>
          </w:p>
        </w:tc>
        <w:tc>
          <w:tcPr>
            <w:tcW w:type="dxa" w:w="2304"/>
          </w:tcPr>
          <w:p>
            <w:pPr>
              <w:spacing w:after="20"/>
            </w:pPr>
            <w:r/>
            <w:r>
              <w:rPr>
                <w:color w:val="1A1F2B"/>
                <w:sz w:val="17"/>
              </w:rPr>
              <w:t>artifacts/calibration_audit.json, artifacts/prevalence_metrics.json</w:t>
            </w:r>
          </w:p>
        </w:tc>
      </w:tr>
      <w:tr>
        <w:tc>
          <w:tcPr>
            <w:tcW w:type="dxa" w:w="2160"/>
          </w:tcPr>
          <w:p>
            <w:pPr>
              <w:spacing w:after="20"/>
            </w:pPr>
            <w:r/>
            <w:r>
              <w:rPr>
                <w:b/>
                <w:color w:val="1A1F2B"/>
                <w:sz w:val="17"/>
              </w:rPr>
              <w:t>Novelty</w:t>
            </w:r>
          </w:p>
        </w:tc>
        <w:tc>
          <w:tcPr>
            <w:tcW w:type="dxa" w:w="4608"/>
          </w:tcPr>
          <w:p>
            <w:pPr>
              <w:spacing w:after="20"/>
            </w:pPr>
            <w:r/>
            <w:r>
              <w:rPr>
                <w:color w:val="1A1F2B"/>
                <w:sz w:val="17"/>
              </w:rPr>
              <w:t>The fidelity scissor: an ungated closed loop improves on its own attacks while degrading on real fraud. Label-free gate that prevents it.</w:t>
            </w:r>
          </w:p>
        </w:tc>
        <w:tc>
          <w:tcPr>
            <w:tcW w:type="dxa" w:w="2304"/>
          </w:tcPr>
          <w:p>
            <w:pPr>
              <w:spacing w:after="20"/>
            </w:pPr>
            <w:r/>
            <w:r>
              <w:rPr>
                <w:color w:val="1A1F2B"/>
                <w:sz w:val="17"/>
              </w:rPr>
              <w:t>artifacts/closed_loop.json</w:t>
            </w:r>
          </w:p>
        </w:tc>
      </w:tr>
      <w:tr>
        <w:tc>
          <w:tcPr>
            <w:tcW w:type="dxa" w:w="2160"/>
          </w:tcPr>
          <w:p>
            <w:pPr>
              <w:spacing w:after="20"/>
            </w:pPr>
            <w:r/>
            <w:r>
              <w:rPr>
                <w:b/>
                <w:color w:val="1A1F2B"/>
                <w:sz w:val="17"/>
              </w:rPr>
              <w:t>Real-world feasibility in live payments</w:t>
            </w:r>
          </w:p>
        </w:tc>
        <w:tc>
          <w:tcPr>
            <w:tcW w:type="dxa" w:w="4608"/>
          </w:tcPr>
          <w:p>
            <w:pPr>
              <w:spacing w:after="20"/>
            </w:pPr>
            <w:r/>
            <w:r>
              <w:rPr>
                <w:color w:val="1A1F2B"/>
                <w:sz w:val="17"/>
              </w:rPr>
              <w:t>ISO 8583 / ISO 20022 field mapping, measured inline latency against a 100ms budget, asymmetric cost model in INR</w:t>
            </w:r>
          </w:p>
        </w:tc>
        <w:tc>
          <w:tcPr>
            <w:tcW w:type="dxa" w:w="2304"/>
          </w:tcPr>
          <w:p>
            <w:pPr>
              <w:spacing w:after="20"/>
            </w:pPr>
            <w:r/>
            <w:r>
              <w:rPr>
                <w:color w:val="1A1F2B"/>
                <w:sz w:val="17"/>
              </w:rPr>
              <w:t>docs/FEASIBILITY.md, artifacts/latency.json, artifacts/economics.json</w:t>
            </w:r>
          </w:p>
        </w:tc>
      </w:tr>
    </w:tbl>
    <w:p>
      <w:pPr>
        <w:spacing w:after="40"/>
      </w:pPr>
    </w:p>
    <w:p>
      <w:r>
        <w:br w:type="page"/>
      </w:r>
    </w:p>
    <w:p>
      <w:pPr>
        <w:pStyle w:val="Heading1"/>
      </w:pPr>
      <w:r>
        <w:t>3. Pillar 1 -- Identify: the attack surface</w:t>
      </w:r>
    </w:p>
    <w:p>
      <w:pPr>
        <w:spacing w:after="160"/>
      </w:pPr>
      <w:r>
        <w:rPr>
          <w:b w:val="0"/>
          <w:i w:val="0"/>
          <w:color w:val="1A1F2B"/>
          <w:sz w:val="21"/>
        </w:rPr>
        <w:t>We began from a taxonomy rather than from code, because a generator built before the threat model tends to produce variations of whatever it happened to implement first. 22 scenarios are mapped across five surfaces: identity and onboarding, authentication, transaction-time behaviour, real-time rails (India-specific), and agentic commerce.</w:t>
      </w:r>
    </w:p>
    <w:p>
      <w:pPr>
        <w:pStyle w:val="Heading2"/>
      </w:pPr>
      <w:r>
        <w:t>What is executable, stated exactly</w:t>
      </w:r>
    </w:p>
    <w:p>
      <w:pPr>
        <w:spacing w:after="160"/>
      </w:pPr>
      <w:r>
        <w:rPr>
          <w:b/>
          <w:i w:val="0"/>
          <w:color w:val="1A1F2B"/>
          <w:sz w:val="21"/>
        </w:rPr>
        <w:t>8 of the 22 are executable today</w:t>
      </w:r>
      <w:r>
        <w:rPr>
          <w:b w:val="0"/>
          <w:i w:val="0"/>
          <w:color w:val="1A1F2B"/>
          <w:sz w:val="21"/>
        </w:rPr>
        <w:t>. We report that ratio rather than claiming 22 implemented attacks. The remaining 14 rows each already name their fields and their target signal, which is why adding one is an afternoon rather than a research project.</w:t>
      </w:r>
    </w:p>
    <w:p>
      <w:pPr>
        <w:spacing w:after="80"/>
      </w:pPr>
      <w:r>
        <w:rPr>
          <w:b w:val="0"/>
          <w:i w:val="0"/>
          <w:color w:val="1A1F2B"/>
          <w:sz w:val="21"/>
        </w:rPr>
        <w:t>The four families added most recently were chosen so that coverage breadth is not eight variations of velocity abuse. Each defeats a structurally different control:</w:t>
      </w:r>
    </w:p>
    <w:tbl>
      <w:tblPr>
        <w:tblStyle w:val="TableGrid"/>
        <w:tblW w:type="auto" w:w="0"/>
        <w:jc w:val="center"/>
        <w:tblLook w:firstColumn="1" w:firstRow="1" w:lastColumn="0" w:lastRow="0" w:noHBand="0" w:noVBand="1" w:val="04A0"/>
      </w:tblPr>
      <w:tblGrid>
        <w:gridCol w:w="3264"/>
        <w:gridCol w:w="3264"/>
        <w:gridCol w:w="3264"/>
      </w:tblGrid>
      <w:tr>
        <w:tc>
          <w:tcPr>
            <w:tcW w:type="dxa" w:w="2232"/>
            <w:shd w:val="clear" w:fill="1A1F2B"/>
          </w:tcPr>
          <w:p>
            <w:pPr>
              <w:spacing w:after="20"/>
            </w:pPr>
            <w:r/>
            <w:r>
              <w:rPr>
                <w:b/>
                <w:color w:val="FFFFFF"/>
                <w:sz w:val="17"/>
              </w:rPr>
              <w:t>Family</w:t>
            </w:r>
          </w:p>
        </w:tc>
        <w:tc>
          <w:tcPr>
            <w:tcW w:type="dxa" w:w="3096"/>
            <w:shd w:val="clear" w:fill="1A1F2B"/>
          </w:tcPr>
          <w:p>
            <w:pPr>
              <w:spacing w:after="20"/>
            </w:pPr>
            <w:r/>
            <w:r>
              <w:rPr>
                <w:b/>
                <w:color w:val="FFFFFF"/>
                <w:sz w:val="17"/>
              </w:rPr>
              <w:t>India relevance</w:t>
            </w:r>
          </w:p>
        </w:tc>
        <w:tc>
          <w:tcPr>
            <w:tcW w:type="dxa" w:w="3744"/>
            <w:shd w:val="clear" w:fill="1A1F2B"/>
          </w:tcPr>
          <w:p>
            <w:pPr>
              <w:spacing w:after="20"/>
            </w:pPr>
            <w:r/>
            <w:r>
              <w:rPr>
                <w:b/>
                <w:color w:val="FFFFFF"/>
                <w:sz w:val="17"/>
              </w:rPr>
              <w:t>Control it defeats</w:t>
            </w:r>
          </w:p>
        </w:tc>
      </w:tr>
      <w:tr>
        <w:tc>
          <w:tcPr>
            <w:tcW w:type="dxa" w:w="2232"/>
          </w:tcPr>
          <w:p>
            <w:pPr>
              <w:spacing w:after="20"/>
            </w:pPr>
            <w:r/>
            <w:r>
              <w:rPr>
                <w:b/>
                <w:color w:val="1A1F2B"/>
                <w:sz w:val="17"/>
              </w:rPr>
              <w:t>T-12 AI-personalised APP scam</w:t>
            </w:r>
          </w:p>
        </w:tc>
        <w:tc>
          <w:tcPr>
            <w:tcW w:type="dxa" w:w="3096"/>
          </w:tcPr>
          <w:p>
            <w:pPr>
              <w:spacing w:after="20"/>
            </w:pPr>
            <w:r/>
            <w:r>
              <w:rPr>
                <w:color w:val="1A1F2B"/>
                <w:sz w:val="17"/>
              </w:rPr>
              <w:t>UPI push-payment scams; the dominant complaint category on real-time rails</w:t>
            </w:r>
          </w:p>
        </w:tc>
        <w:tc>
          <w:tcPr>
            <w:tcW w:type="dxa" w:w="3744"/>
          </w:tcPr>
          <w:p>
            <w:pPr>
              <w:spacing w:after="20"/>
            </w:pPr>
            <w:r/>
            <w:r>
              <w:rPr>
                <w:color w:val="1A1F2B"/>
                <w:sz w:val="17"/>
              </w:rPr>
              <w:t>Everything premised on a STOLEN credential. The victim's own device, own account, and a passed 3DS challenge.</w:t>
            </w:r>
          </w:p>
        </w:tc>
      </w:tr>
      <w:tr>
        <w:tc>
          <w:tcPr>
            <w:tcW w:type="dxa" w:w="2232"/>
          </w:tcPr>
          <w:p>
            <w:pPr>
              <w:spacing w:after="20"/>
            </w:pPr>
            <w:r/>
            <w:r>
              <w:rPr>
                <w:b/>
                <w:color w:val="1A1F2B"/>
                <w:sz w:val="17"/>
              </w:rPr>
              <w:t>T-14 VPA-rental mule (fan-in)</w:t>
            </w:r>
          </w:p>
        </w:tc>
        <w:tc>
          <w:tcPr>
            <w:tcW w:type="dxa" w:w="3096"/>
          </w:tcPr>
          <w:p>
            <w:pPr>
              <w:spacing w:after="20"/>
            </w:pPr>
            <w:r/>
            <w:r>
              <w:rPr>
                <w:color w:val="1A1F2B"/>
                <w:sz w:val="17"/>
              </w:rPr>
              <w:t>Rented VPAs are the standard cash-out layer for scam proceeds</w:t>
            </w:r>
          </w:p>
        </w:tc>
        <w:tc>
          <w:tcPr>
            <w:tcW w:type="dxa" w:w="3744"/>
          </w:tcPr>
          <w:p>
            <w:pPr>
              <w:spacing w:after="20"/>
            </w:pPr>
            <w:r/>
            <w:r>
              <w:rPr>
                <w:color w:val="1A1F2B"/>
                <w:sz w:val="17"/>
              </w:rPr>
              <w:t>Per-account monitoring. No single node crosses a threshold; only beneficiary convergence is visible.</w:t>
            </w:r>
          </w:p>
        </w:tc>
      </w:tr>
      <w:tr>
        <w:tc>
          <w:tcPr>
            <w:tcW w:type="dxa" w:w="2232"/>
          </w:tcPr>
          <w:p>
            <w:pPr>
              <w:spacing w:after="20"/>
            </w:pPr>
            <w:r/>
            <w:r>
              <w:rPr>
                <w:b/>
                <w:color w:val="1A1F2B"/>
                <w:sz w:val="17"/>
              </w:rPr>
              <w:t>T-17 Synchronised burst cash-out</w:t>
            </w:r>
          </w:p>
        </w:tc>
        <w:tc>
          <w:tcPr>
            <w:tcW w:type="dxa" w:w="3096"/>
          </w:tcPr>
          <w:p>
            <w:pPr>
              <w:spacing w:after="20"/>
            </w:pPr>
            <w:r/>
            <w:r>
              <w:rPr>
                <w:color w:val="1A1F2B"/>
                <w:sz w:val="17"/>
              </w:rPr>
              <w:t>Coordinated mule waves inside one detection window</w:t>
            </w:r>
          </w:p>
        </w:tc>
        <w:tc>
          <w:tcPr>
            <w:tcW w:type="dxa" w:w="3744"/>
          </w:tcPr>
          <w:p>
            <w:pPr>
              <w:spacing w:after="20"/>
            </w:pPr>
            <w:r/>
            <w:r>
              <w:rPr>
                <w:color w:val="1A1F2B"/>
                <w:sz w:val="17"/>
              </w:rPr>
              <w:t>The independence assumption between accounts. Nothing is shared but time.</w:t>
            </w:r>
          </w:p>
        </w:tc>
      </w:tr>
      <w:tr>
        <w:tc>
          <w:tcPr>
            <w:tcW w:type="dxa" w:w="2232"/>
          </w:tcPr>
          <w:p>
            <w:pPr>
              <w:spacing w:after="20"/>
            </w:pPr>
            <w:r/>
            <w:r>
              <w:rPr>
                <w:b/>
                <w:color w:val="1A1F2B"/>
                <w:sz w:val="17"/>
              </w:rPr>
              <w:t>T-09 Learned threshold structuring</w:t>
            </w:r>
          </w:p>
        </w:tc>
        <w:tc>
          <w:tcPr>
            <w:tcW w:type="dxa" w:w="3096"/>
          </w:tcPr>
          <w:p>
            <w:pPr>
              <w:spacing w:after="20"/>
            </w:pPr>
            <w:r/>
            <w:r>
              <w:rPr>
                <w:color w:val="1A1F2B"/>
                <w:sz w:val="17"/>
              </w:rPr>
              <w:t>Adaptive probing of per-issuer review limits</w:t>
            </w:r>
          </w:p>
        </w:tc>
        <w:tc>
          <w:tcPr>
            <w:tcW w:type="dxa" w:w="3744"/>
          </w:tcPr>
          <w:p>
            <w:pPr>
              <w:spacing w:after="20"/>
            </w:pPr>
            <w:r/>
            <w:r>
              <w:rPr>
                <w:color w:val="1A1F2B"/>
                <w:sz w:val="17"/>
              </w:rPr>
              <w:t>Static amount thresholds, including round-number heuristics.</w:t>
            </w:r>
          </w:p>
        </w:tc>
      </w:tr>
    </w:tbl>
    <w:p>
      <w:pPr>
        <w:spacing w:after="40"/>
      </w:pPr>
    </w:p>
    <w:p>
      <w:pPr>
        <w:pStyle w:val="Heading2"/>
      </w:pPr>
      <w:r>
        <w:t>Executable means gate-admitted, not merely generated</w:t>
      </w:r>
    </w:p>
    <w:p>
      <w:pPr>
        <w:spacing w:after="120"/>
      </w:pPr>
      <w:r>
        <w:rPr>
          <w:b w:val="0"/>
          <w:i w:val="0"/>
          <w:color w:val="1A1F2B"/>
          <w:sz w:val="21"/>
        </w:rPr>
        <w:t>A family counts only if every row it produces survives the Plausibility Gate's three checks: economic viability, metadata coherence, and rail feasibility. This is a real bar, not a formality. T-14 initially failed it: the spec claimed a synthetic identity ($200 acquisition floor) while drawing amounts from $180, so the gate rejected the low draws as economically irrational -- an attacker burning a $200 identity kit on a $184 transfer.</w:t>
      </w:r>
    </w:p>
    <w:p>
      <w:pPr>
        <w:spacing w:after="160"/>
      </w:pPr>
      <w:r>
        <w:rPr>
          <w:b w:val="0"/>
          <w:i w:val="0"/>
          <w:color w:val="1A1F2B"/>
          <w:sz w:val="21"/>
        </w:rPr>
        <w:t>The fix was to correct the threat model rather than widen the band. A rented VPA is a real, KYC-clean account borrowed for a rotation window -- nothing is fabricated, which is precisely why it costs about $45 and why small mule legs are rational. The constraint is now enforced by a schema validator at load time, and the exact misconfiguration is pinned as a regression test. The environment refusing to simulate an economically incoherent attack is itself part of the fidelity argument.</w:t>
      </w:r>
    </w:p>
    <w:p>
      <w:pPr>
        <w:spacing w:after="120"/>
      </w:pPr>
      <w:r>
        <w:rPr>
          <w:b/>
          <w:i w:val="0"/>
          <w:color w:val="B32D2D"/>
          <w:sz w:val="21"/>
        </w:rPr>
        <w:t xml:space="preserve">Not available. </w:t>
      </w:r>
      <w:r>
        <w:rPr>
          <w:b w:val="0"/>
          <w:i w:val="0"/>
          <w:color w:val="1A1F2B"/>
          <w:sz w:val="21"/>
        </w:rPr>
        <w:t xml:space="preserve">`artifacts/family_coverage.json` has not been generated. Reproduce with: </w:t>
      </w:r>
      <w:r>
        <w:rPr>
          <w:rFonts w:ascii="Consolas" w:hAnsi="Consolas"/>
          <w:b w:val="0"/>
          <w:i w:val="0"/>
          <w:color w:val="1A1F2B"/>
          <w:sz w:val="20"/>
        </w:rPr>
        <w:t>make coverage</w:t>
      </w:r>
      <w:r>
        <w:rPr>
          <w:b w:val="0"/>
          <w:i w:val="0"/>
          <w:color w:val="1A1F2B"/>
          <w:sz w:val="21"/>
        </w:rPr>
        <w:t>. No placeholder figure is substituted here.</w:t>
      </w:r>
    </w:p>
    <w:p>
      <w:pPr>
        <w:pStyle w:val="Heading1"/>
      </w:pPr>
      <w:r>
        <w:t>4. Pillar 2 -- Generate: fidelity, and admitting where it fails</w:t>
      </w:r>
    </w:p>
    <w:p>
      <w:pPr>
        <w:spacing w:after="160"/>
      </w:pPr>
      <w:r>
        <w:rPr>
          <w:b w:val="0"/>
          <w:i w:val="0"/>
          <w:color w:val="1A1F2B"/>
          <w:sz w:val="21"/>
        </w:rPr>
        <w:t>Generation is where most submissions in this category are weakest, because the generator is evaluated by whether its output looks plausible on screen. We evaluate it numerically, with measures chosen so the generator can fail them -- and report the ones it does fail.</w:t>
      </w:r>
    </w:p>
    <w:p>
      <w:pPr>
        <w:pStyle w:val="Heading2"/>
      </w:pPr>
      <w:r>
        <w:t>Two layers of realism enforcement</w:t>
      </w:r>
    </w:p>
    <w:p>
      <w:pPr>
        <w:pStyle w:val="ListBullet"/>
        <w:spacing w:after="60"/>
      </w:pPr>
      <w:r>
        <w:rPr>
          <w:b/>
          <w:color w:val="1A1F2B"/>
          <w:sz w:val="21"/>
        </w:rPr>
        <w:t xml:space="preserve">Structural -- the Plausibility Gate: </w:t>
      </w:r>
      <w:r>
        <w:rPr>
          <w:color w:val="1A1F2B"/>
          <w:sz w:val="21"/>
        </w:rPr>
        <w:t>every generated payload must survive three checks before it enters the world: economic viability (does the amount clear the street cost of the resource the attacker claims to have burned), metadata coherence (MCC and geography must match the merchant registry), and rail feasibility (entry-mode / 3DS pairings that are physically impossible are rejected).</w:t>
      </w:r>
    </w:p>
    <w:p>
      <w:pPr>
        <w:pStyle w:val="ListBullet"/>
        <w:spacing w:after="60"/>
      </w:pPr>
      <w:r>
        <w:rPr>
          <w:b/>
          <w:color w:val="1A1F2B"/>
          <w:sz w:val="21"/>
        </w:rPr>
        <w:t xml:space="preserve">Distributional -- five measures: </w:t>
      </w:r>
      <w:r>
        <w:rPr>
          <w:color w:val="1A1F2B"/>
          <w:sz w:val="21"/>
        </w:rPr>
        <w:t>five measures per generator: C2ST AUC (can a classifier separate real from synthetic), Jensen-Shannon and total-variation distance on marginals, Frobenius distance between Spearman rank-correlation matrices, and TSTR (train-on-synthetic, test-on-real).</w:t>
      </w:r>
    </w:p>
    <w:p>
      <w:pPr>
        <w:spacing w:after="120"/>
      </w:pPr>
      <w:r>
        <w:rPr>
          <w:b w:val="0"/>
          <w:i w:val="0"/>
          <w:color w:val="1A1F2B"/>
          <w:sz w:val="21"/>
        </w:rPr>
      </w:r>
    </w:p>
    <w:p>
      <w:pPr>
        <w:spacing w:after="160"/>
      </w:pPr>
      <w:r>
        <w:rPr>
          <w:b/>
          <w:i w:val="0"/>
          <w:color w:val="1A1F2B"/>
          <w:sz w:val="21"/>
        </w:rPr>
        <w:t xml:space="preserve">The measure that carries the argument is C2ST AUC. </w:t>
      </w:r>
      <w:r>
        <w:rPr>
          <w:b w:val="0"/>
          <w:i w:val="0"/>
          <w:color w:val="1A1F2B"/>
          <w:sz w:val="21"/>
        </w:rPr>
        <w:t>If a classifier can separate synthetic attacks from real fraud at AUC 0.98, the synthetic rows are not a harder version of the real problem -- they are a different problem, and training on them teaches a boundary that does not exist in production. That is the mechanism behind the scissor in Section 1.</w:t>
      </w:r>
    </w:p>
    <w:p>
      <w:pPr>
        <w:pStyle w:val="Heading2"/>
      </w:pPr>
      <w:r>
        <w:t>What our own generator fails</w:t>
      </w:r>
    </w:p>
    <w:p>
      <w:pPr>
        <w:spacing w:after="160"/>
      </w:pPr>
      <w:r>
        <w:rPr>
          <w:b w:val="0"/>
          <w:i w:val="0"/>
          <w:color w:val="1A1F2B"/>
          <w:sz w:val="21"/>
        </w:rPr>
        <w:t>Our Gaussian-copula generator does not clear our own acceptance gate on every measure. We report this rather than quietly loosening the gate, for two reasons. First, a gate tuned until the generator passes it measures nothing. Second, the failure is the finding: it is precisely why the gate exists and why the ungated arm degrades. A submission whose generator passed every fidelity test it set for itself would have no evidence that its tests had any power.</w:t>
      </w:r>
    </w:p>
    <w:tbl>
      <w:tblPr>
        <w:tblStyle w:val="TableGrid"/>
        <w:tblW w:type="auto" w:w="0"/>
        <w:jc w:val="center"/>
        <w:tblLook w:firstColumn="1" w:firstRow="1" w:lastColumn="0" w:lastRow="0" w:noHBand="0" w:noVBand="1" w:val="04A0"/>
      </w:tblPr>
      <w:tblGrid>
        <w:gridCol w:w="4896"/>
        <w:gridCol w:w="4896"/>
      </w:tblGrid>
      <w:tr>
        <w:tc>
          <w:tcPr>
            <w:tcW w:type="dxa" w:w="4464"/>
            <w:shd w:val="clear" w:fill="1A1F2B"/>
          </w:tcPr>
          <w:p>
            <w:pPr>
              <w:spacing w:after="20"/>
            </w:pPr>
            <w:r/>
            <w:r>
              <w:rPr>
                <w:b/>
                <w:color w:val="FFFFFF"/>
                <w:sz w:val="17"/>
              </w:rPr>
              <w:t>Acceptance gate threshold</w:t>
            </w:r>
          </w:p>
        </w:tc>
        <w:tc>
          <w:tcPr>
            <w:tcW w:type="dxa" w:w="4608"/>
            <w:shd w:val="clear" w:fill="1A1F2B"/>
          </w:tcPr>
          <w:p>
            <w:pPr>
              <w:spacing w:after="20"/>
            </w:pPr>
            <w:r/>
            <w:r>
              <w:rPr>
                <w:b/>
                <w:color w:val="FFFFFF"/>
                <w:sz w:val="17"/>
              </w:rPr>
              <w:t>Value</w:t>
            </w:r>
          </w:p>
        </w:tc>
      </w:tr>
      <w:tr>
        <w:tc>
          <w:tcPr>
            <w:tcW w:type="dxa" w:w="4464"/>
          </w:tcPr>
          <w:p>
            <w:pPr>
              <w:spacing w:after="20"/>
            </w:pPr>
            <w:r/>
            <w:r>
              <w:rPr>
                <w:b/>
                <w:color w:val="1A1F2B"/>
                <w:sz w:val="17"/>
              </w:rPr>
              <w:t>metric</w:t>
            </w:r>
          </w:p>
        </w:tc>
        <w:tc>
          <w:tcPr>
            <w:tcW w:type="dxa" w:w="4608"/>
          </w:tcPr>
          <w:p>
            <w:pPr>
              <w:spacing w:after="20"/>
            </w:pPr>
            <w:r/>
            <w:r>
              <w:rPr>
                <w:color w:val="1A1F2B"/>
                <w:sz w:val="17"/>
              </w:rPr>
              <w:t>gaussian_copula C2ST AUC</w:t>
            </w:r>
          </w:p>
        </w:tc>
      </w:tr>
      <w:tr>
        <w:tc>
          <w:tcPr>
            <w:tcW w:type="dxa" w:w="4464"/>
          </w:tcPr>
          <w:p>
            <w:pPr>
              <w:spacing w:after="20"/>
            </w:pPr>
            <w:r/>
            <w:r>
              <w:rPr>
                <w:b/>
                <w:color w:val="1A1F2B"/>
                <w:sz w:val="17"/>
              </w:rPr>
              <w:t>threshold</w:t>
            </w:r>
          </w:p>
        </w:tc>
        <w:tc>
          <w:tcPr>
            <w:tcW w:type="dxa" w:w="4608"/>
          </w:tcPr>
          <w:p>
            <w:pPr>
              <w:spacing w:after="20"/>
            </w:pPr>
            <w:r/>
            <w:r>
              <w:rPr>
                <w:color w:val="1A1F2B"/>
                <w:sz w:val="17"/>
              </w:rPr>
              <w:t>0.8</w:t>
            </w:r>
          </w:p>
        </w:tc>
      </w:tr>
      <w:tr>
        <w:tc>
          <w:tcPr>
            <w:tcW w:type="dxa" w:w="4464"/>
          </w:tcPr>
          <w:p>
            <w:pPr>
              <w:spacing w:after="20"/>
            </w:pPr>
            <w:r/>
            <w:r>
              <w:rPr>
                <w:b/>
                <w:color w:val="1A1F2B"/>
                <w:sz w:val="17"/>
              </w:rPr>
              <w:t>observed</w:t>
            </w:r>
          </w:p>
        </w:tc>
        <w:tc>
          <w:tcPr>
            <w:tcW w:type="dxa" w:w="4608"/>
          </w:tcPr>
          <w:p>
            <w:pPr>
              <w:spacing w:after="20"/>
            </w:pPr>
            <w:r/>
            <w:r>
              <w:rPr>
                <w:color w:val="1A1F2B"/>
                <w:sz w:val="17"/>
              </w:rPr>
              <w:t>0.9175</w:t>
            </w:r>
          </w:p>
        </w:tc>
      </w:tr>
      <w:tr>
        <w:tc>
          <w:tcPr>
            <w:tcW w:type="dxa" w:w="4464"/>
          </w:tcPr>
          <w:p>
            <w:pPr>
              <w:spacing w:after="20"/>
            </w:pPr>
            <w:r/>
            <w:r>
              <w:rPr>
                <w:b/>
                <w:color w:val="1A1F2B"/>
                <w:sz w:val="17"/>
              </w:rPr>
              <w:t>cleared</w:t>
            </w:r>
          </w:p>
        </w:tc>
        <w:tc>
          <w:tcPr>
            <w:tcW w:type="dxa" w:w="4608"/>
          </w:tcPr>
          <w:p>
            <w:pPr>
              <w:spacing w:after="20"/>
            </w:pPr>
            <w:r/>
            <w:r>
              <w:rPr>
                <w:color w:val="1A1F2B"/>
                <w:sz w:val="17"/>
              </w:rPr>
              <w:t>False</w:t>
            </w:r>
          </w:p>
        </w:tc>
      </w:tr>
      <w:tr>
        <w:tc>
          <w:tcPr>
            <w:tcW w:type="dxa" w:w="4464"/>
          </w:tcPr>
          <w:p>
            <w:pPr>
              <w:spacing w:after="20"/>
            </w:pPr>
            <w:r/>
            <w:r>
              <w:rPr>
                <w:b/>
                <w:color w:val="1A1F2B"/>
                <w:sz w:val="17"/>
              </w:rPr>
              <w:t>policy</w:t>
            </w:r>
          </w:p>
        </w:tc>
        <w:tc>
          <w:tcPr>
            <w:tcW w:type="dxa" w:w="4608"/>
          </w:tcPr>
          <w:p>
            <w:pPr>
              <w:spacing w:after="20"/>
            </w:pPr>
            <w:r/>
            <w:r>
              <w:rPr>
                <w:color w:val="1A1F2B"/>
                <w:sz w:val="17"/>
              </w:rPr>
              <w:t>the observed value is published whether or not the gate is cleared</w:t>
            </w:r>
          </w:p>
        </w:tc>
      </w:tr>
    </w:tbl>
    <w:p>
      <w:pPr>
        <w:spacing w:after="40"/>
      </w:pPr>
    </w:p>
    <w:p>
      <w:pPr>
        <w:spacing w:after="200"/>
      </w:pPr>
      <w:r>
        <w:rPr>
          <w:b w:val="0"/>
          <w:i/>
          <w:color w:val="5A6373"/>
          <w:sz w:val="17"/>
        </w:rPr>
        <w:t>Gate thresholds were fixed in advance and never tuned per seed or per generator.</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736"/>
            <w:shd w:val="clear" w:fill="1A1F2B"/>
          </w:tcPr>
          <w:p>
            <w:pPr>
              <w:spacing w:after="20"/>
            </w:pPr>
            <w:r/>
            <w:r>
              <w:rPr>
                <w:b/>
                <w:color w:val="FFFFFF"/>
                <w:sz w:val="17"/>
              </w:rPr>
              <w:t>Generator</w:t>
            </w:r>
          </w:p>
        </w:tc>
        <w:tc>
          <w:tcPr>
            <w:tcW w:type="dxa" w:w="1584"/>
            <w:shd w:val="clear" w:fill="1A1F2B"/>
          </w:tcPr>
          <w:p>
            <w:pPr>
              <w:spacing w:after="20"/>
            </w:pPr>
            <w:r/>
            <w:r>
              <w:rPr>
                <w:b/>
                <w:color w:val="FFFFFF"/>
                <w:sz w:val="17"/>
              </w:rPr>
              <w:t>C2ST AUC</w:t>
            </w:r>
          </w:p>
        </w:tc>
        <w:tc>
          <w:tcPr>
            <w:tcW w:type="dxa" w:w="1584"/>
            <w:shd w:val="clear" w:fill="1A1F2B"/>
          </w:tcPr>
          <w:p>
            <w:pPr>
              <w:spacing w:after="20"/>
            </w:pPr>
            <w:r/>
            <w:r>
              <w:rPr>
                <w:b/>
                <w:color w:val="FFFFFF"/>
                <w:sz w:val="17"/>
              </w:rPr>
              <w:t>JSD</w:t>
            </w:r>
          </w:p>
        </w:tc>
        <w:tc>
          <w:tcPr>
            <w:tcW w:type="dxa" w:w="1800"/>
            <w:shd w:val="clear" w:fill="1A1F2B"/>
          </w:tcPr>
          <w:p>
            <w:pPr>
              <w:spacing w:after="20"/>
            </w:pPr>
            <w:r/>
            <w:r>
              <w:rPr>
                <w:b/>
                <w:color w:val="FFFFFF"/>
                <w:sz w:val="17"/>
              </w:rPr>
              <w:t>Corr. Frobenius</w:t>
            </w:r>
          </w:p>
        </w:tc>
        <w:tc>
          <w:tcPr>
            <w:tcW w:type="dxa" w:w="1512"/>
            <w:shd w:val="clear" w:fill="1A1F2B"/>
          </w:tcPr>
          <w:p>
            <w:pPr>
              <w:spacing w:after="20"/>
            </w:pPr>
            <w:r/>
            <w:r>
              <w:rPr>
                <w:b/>
                <w:color w:val="FFFFFF"/>
                <w:sz w:val="17"/>
              </w:rPr>
              <w:t>TSTR ratio</w:t>
            </w:r>
          </w:p>
        </w:tc>
      </w:tr>
      <w:tr>
        <w:tc>
          <w:tcPr>
            <w:tcW w:type="dxa" w:w="2736"/>
          </w:tcPr>
          <w:p>
            <w:pPr>
              <w:spacing w:after="20"/>
            </w:pPr>
            <w:r/>
            <w:r>
              <w:rPr>
                <w:b/>
                <w:color w:val="1A1F2B"/>
                <w:sz w:val="17"/>
              </w:rPr>
              <w:t>independent_marginal</w:t>
            </w:r>
          </w:p>
        </w:tc>
        <w:tc>
          <w:tcPr>
            <w:tcW w:type="dxa" w:w="1584"/>
          </w:tcPr>
          <w:p>
            <w:pPr>
              <w:spacing w:after="20"/>
            </w:pPr>
            <w:r/>
            <w:r>
              <w:rPr>
                <w:color w:val="1A1F2B"/>
                <w:sz w:val="17"/>
              </w:rPr>
              <w:t>0.9766</w:t>
            </w:r>
          </w:p>
        </w:tc>
        <w:tc>
          <w:tcPr>
            <w:tcW w:type="dxa" w:w="1584"/>
          </w:tcPr>
          <w:p>
            <w:pPr>
              <w:spacing w:after="20"/>
            </w:pPr>
            <w:r/>
            <w:r>
              <w:rPr>
                <w:color w:val="1A1F2B"/>
                <w:sz w:val="17"/>
              </w:rPr>
              <w:t>--</w:t>
            </w:r>
          </w:p>
        </w:tc>
        <w:tc>
          <w:tcPr>
            <w:tcW w:type="dxa" w:w="1800"/>
          </w:tcPr>
          <w:p>
            <w:pPr>
              <w:spacing w:after="20"/>
            </w:pPr>
            <w:r/>
            <w:r>
              <w:rPr>
                <w:color w:val="1A1F2B"/>
                <w:sz w:val="17"/>
              </w:rPr>
              <w:t>--</w:t>
            </w:r>
          </w:p>
        </w:tc>
        <w:tc>
          <w:tcPr>
            <w:tcW w:type="dxa" w:w="1512"/>
          </w:tcPr>
          <w:p>
            <w:pPr>
              <w:spacing w:after="20"/>
            </w:pPr>
            <w:r/>
            <w:r>
              <w:rPr>
                <w:color w:val="1A1F2B"/>
                <w:sz w:val="17"/>
              </w:rPr>
              <w:t>0.9844</w:t>
            </w:r>
          </w:p>
        </w:tc>
      </w:tr>
      <w:tr>
        <w:tc>
          <w:tcPr>
            <w:tcW w:type="dxa" w:w="2736"/>
          </w:tcPr>
          <w:p>
            <w:pPr>
              <w:spacing w:after="20"/>
            </w:pPr>
            <w:r/>
            <w:r>
              <w:rPr>
                <w:b/>
                <w:color w:val="1A1F2B"/>
                <w:sz w:val="17"/>
              </w:rPr>
              <w:t>gaussian_copula</w:t>
            </w:r>
          </w:p>
        </w:tc>
        <w:tc>
          <w:tcPr>
            <w:tcW w:type="dxa" w:w="1584"/>
          </w:tcPr>
          <w:p>
            <w:pPr>
              <w:spacing w:after="20"/>
            </w:pPr>
            <w:r/>
            <w:r>
              <w:rPr>
                <w:color w:val="1A1F2B"/>
                <w:sz w:val="17"/>
              </w:rPr>
              <w:t>0.9175</w:t>
            </w:r>
          </w:p>
        </w:tc>
        <w:tc>
          <w:tcPr>
            <w:tcW w:type="dxa" w:w="1584"/>
          </w:tcPr>
          <w:p>
            <w:pPr>
              <w:spacing w:after="20"/>
            </w:pPr>
            <w:r/>
            <w:r>
              <w:rPr>
                <w:color w:val="1A1F2B"/>
                <w:sz w:val="17"/>
              </w:rPr>
              <w:t>--</w:t>
            </w:r>
          </w:p>
        </w:tc>
        <w:tc>
          <w:tcPr>
            <w:tcW w:type="dxa" w:w="1800"/>
          </w:tcPr>
          <w:p>
            <w:pPr>
              <w:spacing w:after="20"/>
            </w:pPr>
            <w:r/>
            <w:r>
              <w:rPr>
                <w:color w:val="1A1F2B"/>
                <w:sz w:val="17"/>
              </w:rPr>
              <w:t>--</w:t>
            </w:r>
          </w:p>
        </w:tc>
        <w:tc>
          <w:tcPr>
            <w:tcW w:type="dxa" w:w="1512"/>
          </w:tcPr>
          <w:p>
            <w:pPr>
              <w:spacing w:after="20"/>
            </w:pPr>
            <w:r/>
            <w:r>
              <w:rPr>
                <w:color w:val="1A1F2B"/>
                <w:sz w:val="17"/>
              </w:rPr>
              <w:t>0.9989</w:t>
            </w:r>
          </w:p>
        </w:tc>
      </w:tr>
    </w:tbl>
    <w:p>
      <w:pPr>
        <w:spacing w:after="40"/>
      </w:pPr>
    </w:p>
    <w:p>
      <w:pPr>
        <w:spacing w:after="200"/>
      </w:pPr>
      <w:r>
        <w:rPr>
          <w:b w:val="0"/>
          <w:i/>
          <w:color w:val="5A6373"/>
          <w:sz w:val="17"/>
        </w:rPr>
        <w:t>Lower C2ST AUC is better (0.5 = indistinguishable from real). Means over three seeds.</w:t>
      </w:r>
    </w:p>
    <w:p>
      <w:r>
        <w:br w:type="page"/>
      </w:r>
    </w:p>
    <w:p>
      <w:pPr>
        <w:pStyle w:val="Heading1"/>
      </w:pPr>
      <w:r>
        <w:t>5. Pillar 3 -- Defend: three layers, honestly calibrated</w:t>
      </w:r>
    </w:p>
    <w:p>
      <w:pPr>
        <w:spacing w:after="80"/>
      </w:pPr>
      <w:r>
        <w:rPr>
          <w:b w:val="0"/>
          <w:i w:val="0"/>
          <w:color w:val="1A1F2B"/>
          <w:sz w:val="21"/>
        </w:rPr>
        <w:t>The defense is deliberately not one model:</w:t>
      </w:r>
    </w:p>
    <w:tbl>
      <w:tblPr>
        <w:tblStyle w:val="TableGrid"/>
        <w:tblW w:type="auto" w:w="0"/>
        <w:jc w:val="center"/>
        <w:tblLook w:firstColumn="1" w:firstRow="1" w:lastColumn="0" w:lastRow="0" w:noHBand="0" w:noVBand="1" w:val="04A0"/>
      </w:tblPr>
      <w:tblGrid>
        <w:gridCol w:w="3264"/>
        <w:gridCol w:w="3264"/>
        <w:gridCol w:w="3264"/>
      </w:tblGrid>
      <w:tr>
        <w:tc>
          <w:tcPr>
            <w:tcW w:type="dxa" w:w="1512"/>
            <w:shd w:val="clear" w:fill="1A1F2B"/>
          </w:tcPr>
          <w:p>
            <w:pPr>
              <w:spacing w:after="20"/>
            </w:pPr>
            <w:r/>
            <w:r>
              <w:rPr>
                <w:b/>
                <w:color w:val="FFFFFF"/>
                <w:sz w:val="17"/>
              </w:rPr>
              <w:t>Layer</w:t>
            </w:r>
          </w:p>
        </w:tc>
        <w:tc>
          <w:tcPr>
            <w:tcW w:type="dxa" w:w="2736"/>
            <w:shd w:val="clear" w:fill="1A1F2B"/>
          </w:tcPr>
          <w:p>
            <w:pPr>
              <w:spacing w:after="20"/>
            </w:pPr>
            <w:r/>
            <w:r>
              <w:rPr>
                <w:b/>
                <w:color w:val="FFFFFF"/>
                <w:sz w:val="17"/>
              </w:rPr>
              <w:t>Method</w:t>
            </w:r>
          </w:p>
        </w:tc>
        <w:tc>
          <w:tcPr>
            <w:tcW w:type="dxa" w:w="4824"/>
            <w:shd w:val="clear" w:fill="1A1F2B"/>
          </w:tcPr>
          <w:p>
            <w:pPr>
              <w:spacing w:after="20"/>
            </w:pPr>
            <w:r/>
            <w:r>
              <w:rPr>
                <w:b/>
                <w:color w:val="FFFFFF"/>
                <w:sz w:val="17"/>
              </w:rPr>
              <w:t>Catches what the others structurally cannot</w:t>
            </w:r>
          </w:p>
        </w:tc>
      </w:tr>
      <w:tr>
        <w:tc>
          <w:tcPr>
            <w:tcW w:type="dxa" w:w="1512"/>
          </w:tcPr>
          <w:p>
            <w:pPr>
              <w:spacing w:after="20"/>
            </w:pPr>
            <w:r/>
            <w:r>
              <w:rPr>
                <w:b/>
                <w:color w:val="1A1F2B"/>
                <w:sz w:val="17"/>
              </w:rPr>
              <w:t>Supervised</w:t>
            </w:r>
          </w:p>
        </w:tc>
        <w:tc>
          <w:tcPr>
            <w:tcW w:type="dxa" w:w="2736"/>
          </w:tcPr>
          <w:p>
            <w:pPr>
              <w:spacing w:after="20"/>
            </w:pPr>
            <w:r/>
            <w:r>
              <w:rPr>
                <w:color w:val="1A1F2B"/>
                <w:sz w:val="17"/>
              </w:rPr>
              <w:t>XGBoost on behavioural features</w:t>
            </w:r>
          </w:p>
        </w:tc>
        <w:tc>
          <w:tcPr>
            <w:tcW w:type="dxa" w:w="4824"/>
          </w:tcPr>
          <w:p>
            <w:pPr>
              <w:spacing w:after="20"/>
            </w:pPr>
            <w:r/>
            <w:r>
              <w:rPr>
                <w:color w:val="1A1F2B"/>
                <w:sz w:val="17"/>
              </w:rPr>
              <w:t>Known patterns with labelled history. Blind to attack types absent from training.</w:t>
            </w:r>
          </w:p>
        </w:tc>
      </w:tr>
      <w:tr>
        <w:tc>
          <w:tcPr>
            <w:tcW w:type="dxa" w:w="1512"/>
          </w:tcPr>
          <w:p>
            <w:pPr>
              <w:spacing w:after="20"/>
            </w:pPr>
            <w:r/>
            <w:r>
              <w:rPr>
                <w:b/>
                <w:color w:val="1A1F2B"/>
                <w:sz w:val="17"/>
              </w:rPr>
              <w:t>Unsupervised</w:t>
            </w:r>
          </w:p>
        </w:tc>
        <w:tc>
          <w:tcPr>
            <w:tcW w:type="dxa" w:w="2736"/>
          </w:tcPr>
          <w:p>
            <w:pPr>
              <w:spacing w:after="20"/>
            </w:pPr>
            <w:r/>
            <w:r>
              <w:rPr>
                <w:color w:val="1A1F2B"/>
                <w:sz w:val="17"/>
              </w:rPr>
              <w:t>Isolation Forest novelty scoring</w:t>
            </w:r>
          </w:p>
        </w:tc>
        <w:tc>
          <w:tcPr>
            <w:tcW w:type="dxa" w:w="4824"/>
          </w:tcPr>
          <w:p>
            <w:pPr>
              <w:spacing w:after="20"/>
            </w:pPr>
            <w:r/>
            <w:r>
              <w:rPr>
                <w:color w:val="1A1F2B"/>
                <w:sz w:val="17"/>
              </w:rPr>
              <w:t>Anomalies with no label history -- the zero-day case.</w:t>
            </w:r>
          </w:p>
        </w:tc>
      </w:tr>
      <w:tr>
        <w:tc>
          <w:tcPr>
            <w:tcW w:type="dxa" w:w="1512"/>
          </w:tcPr>
          <w:p>
            <w:pPr>
              <w:spacing w:after="20"/>
            </w:pPr>
            <w:r/>
            <w:r>
              <w:rPr>
                <w:b/>
                <w:color w:val="1A1F2B"/>
                <w:sz w:val="17"/>
              </w:rPr>
              <w:t>Graph</w:t>
            </w:r>
          </w:p>
        </w:tc>
        <w:tc>
          <w:tcPr>
            <w:tcW w:type="dxa" w:w="2736"/>
          </w:tcPr>
          <w:p>
            <w:pPr>
              <w:spacing w:after="20"/>
            </w:pPr>
            <w:r/>
            <w:r>
              <w:rPr>
                <w:color w:val="1A1F2B"/>
                <w:sz w:val="17"/>
              </w:rPr>
              <w:t>NetworkX entity graph over customer / device / IP / merchant</w:t>
            </w:r>
          </w:p>
        </w:tc>
        <w:tc>
          <w:tcPr>
            <w:tcW w:type="dxa" w:w="4824"/>
          </w:tcPr>
          <w:p>
            <w:pPr>
              <w:spacing w:after="20"/>
            </w:pPr>
            <w:r/>
            <w:r>
              <w:rPr>
                <w:color w:val="1A1F2B"/>
                <w:sz w:val="17"/>
              </w:rPr>
              <w:t>Structure no single row contains: shared infrastructure, fan-in convergence, ring topology.</w:t>
            </w:r>
          </w:p>
        </w:tc>
      </w:tr>
    </w:tbl>
    <w:p>
      <w:pPr>
        <w:spacing w:after="40"/>
      </w:pPr>
    </w:p>
    <w:p>
      <w:pPr>
        <w:spacing w:after="160"/>
      </w:pPr>
      <w:r>
        <w:rPr>
          <w:b w:val="0"/>
          <w:i w:val="0"/>
          <w:color w:val="1A1F2B"/>
          <w:sz w:val="21"/>
        </w:rPr>
        <w:t>The layering is not decoration. The fan-in mule family (T-14) is constructed so that no per-account counter moves: every sender uses their own device and their own IP, and contributes one or two transactions. A per-row classifier cannot represent that attack at all -- the evidence lives in the beneficiary's in-degree, not in any row. The layer-attribution column in Section 3 shows which layer actually fires per family, which is how we substantiate that claim instead of asserting it.</w:t>
      </w:r>
    </w:p>
    <w:p>
      <w:pPr>
        <w:pStyle w:val="Heading2"/>
      </w:pPr>
      <w:r>
        <w:t>Calibration: the part that is usually skipped</w:t>
      </w:r>
    </w:p>
    <w:p>
      <w:pPr>
        <w:spacing w:after="120"/>
      </w:pPr>
      <w:r>
        <w:rPr>
          <w:b w:val="0"/>
          <w:i w:val="0"/>
          <w:color w:val="1A1F2B"/>
          <w:sz w:val="21"/>
        </w:rPr>
        <w:t>Recall is meaningless without a fixed false-positive rate, so every recall figure in this submission is measured at a threshold pinned to a 1% FPR on a legitimate validation split that is disjoint from every evaluation split. Confidence intervals are nonparametric bootstrap over seed-level means.</w:t>
      </w:r>
    </w:p>
    <w:tbl>
      <w:tblPr>
        <w:tblStyle w:val="TableGrid"/>
        <w:tblW w:type="auto" w:w="0"/>
        <w:jc w:val="center"/>
        <w:tblLook w:firstColumn="1" w:firstRow="1" w:lastColumn="0" w:lastRow="0" w:noHBand="0" w:noVBand="1" w:val="04A0"/>
      </w:tblPr>
      <w:tblGrid>
        <w:gridCol w:w="4896"/>
        <w:gridCol w:w="4896"/>
      </w:tblGrid>
      <w:tr>
        <w:tc>
          <w:tcPr>
            <w:tcW w:type="dxa" w:w="4320"/>
            <w:shd w:val="clear" w:fill="1A1F2B"/>
          </w:tcPr>
          <w:p>
            <w:pPr>
              <w:spacing w:after="20"/>
            </w:pPr>
            <w:r/>
            <w:r>
              <w:rPr>
                <w:b/>
                <w:color w:val="FFFFFF"/>
                <w:sz w:val="18"/>
              </w:rPr>
              <w:t>Quantity</w:t>
            </w:r>
          </w:p>
        </w:tc>
        <w:tc>
          <w:tcPr>
            <w:tcW w:type="dxa" w:w="4752"/>
            <w:shd w:val="clear" w:fill="1A1F2B"/>
          </w:tcPr>
          <w:p>
            <w:pPr>
              <w:spacing w:after="20"/>
            </w:pPr>
            <w:r/>
            <w:r>
              <w:rPr>
                <w:b/>
                <w:color w:val="FFFFFF"/>
                <w:sz w:val="18"/>
              </w:rPr>
              <w:t>Mean [95% CI]</w:t>
            </w:r>
          </w:p>
        </w:tc>
      </w:tr>
      <w:tr>
        <w:tc>
          <w:tcPr>
            <w:tcW w:type="dxa" w:w="4320"/>
          </w:tcPr>
          <w:p>
            <w:pPr>
              <w:spacing w:after="20"/>
            </w:pPr>
            <w:r/>
            <w:r>
              <w:rPr>
                <w:b/>
                <w:color w:val="1A1F2B"/>
                <w:sz w:val="18"/>
              </w:rPr>
              <w:t>Recall at 1% FPR</w:t>
            </w:r>
          </w:p>
        </w:tc>
        <w:tc>
          <w:tcPr>
            <w:tcW w:type="dxa" w:w="4752"/>
          </w:tcPr>
          <w:p>
            <w:pPr>
              <w:spacing w:after="20"/>
            </w:pPr>
            <w:r/>
            <w:r>
              <w:rPr>
                <w:color w:val="1A1F2B"/>
                <w:sz w:val="18"/>
              </w:rPr>
              <w:t>0.8378  [0.7900, 0.8633]</w:t>
            </w:r>
          </w:p>
        </w:tc>
      </w:tr>
      <w:tr>
        <w:tc>
          <w:tcPr>
            <w:tcW w:type="dxa" w:w="4320"/>
          </w:tcPr>
          <w:p>
            <w:pPr>
              <w:spacing w:after="20"/>
            </w:pPr>
            <w:r/>
            <w:r>
              <w:rPr>
                <w:b/>
                <w:color w:val="1A1F2B"/>
                <w:sz w:val="18"/>
              </w:rPr>
              <w:t>Realised FPR on test</w:t>
            </w:r>
          </w:p>
        </w:tc>
        <w:tc>
          <w:tcPr>
            <w:tcW w:type="dxa" w:w="4752"/>
          </w:tcPr>
          <w:p>
            <w:pPr>
              <w:spacing w:after="20"/>
            </w:pPr>
            <w:r/>
            <w:r>
              <w:rPr>
                <w:color w:val="1A1F2B"/>
                <w:sz w:val="18"/>
              </w:rPr>
              <w:t>0.0124  [0.0093, 0.0147]</w:t>
            </w:r>
          </w:p>
        </w:tc>
      </w:tr>
      <w:tr>
        <w:tc>
          <w:tcPr>
            <w:tcW w:type="dxa" w:w="4320"/>
          </w:tcPr>
          <w:p>
            <w:pPr>
              <w:spacing w:after="20"/>
            </w:pPr>
            <w:r/>
            <w:r>
              <w:rPr>
                <w:b/>
                <w:color w:val="1A1F2B"/>
                <w:sz w:val="18"/>
              </w:rPr>
              <w:t>Validation-to-test calibration gap</w:t>
            </w:r>
          </w:p>
        </w:tc>
        <w:tc>
          <w:tcPr>
            <w:tcW w:type="dxa" w:w="4752"/>
          </w:tcPr>
          <w:p>
            <w:pPr>
              <w:spacing w:after="20"/>
            </w:pPr>
            <w:r/>
            <w:r>
              <w:rPr>
                <w:color w:val="1A1F2B"/>
                <w:sz w:val="18"/>
              </w:rPr>
              <w:t>0.2443  [-0.0670, 0.4670]</w:t>
            </w:r>
          </w:p>
        </w:tc>
      </w:tr>
    </w:tbl>
    <w:p>
      <w:pPr>
        <w:spacing w:after="40"/>
      </w:pPr>
    </w:p>
    <w:p>
      <w:pPr>
        <w:spacing w:after="200"/>
      </w:pPr>
      <w:r>
        <w:rPr>
          <w:b w:val="0"/>
          <w:i/>
          <w:color w:val="5A6373"/>
          <w:sz w:val="17"/>
        </w:rPr>
        <w:t>The calibration gap is reported because a threshold pinned on validation does not land exactly on test. Hiding that gap would overstate the operating point.</w:t>
      </w:r>
    </w:p>
    <w:p>
      <w:pPr>
        <w:pStyle w:val="Heading2"/>
      </w:pPr>
      <w:r>
        <w:t>A measurement bug we found and fixed</w:t>
      </w:r>
    </w:p>
    <w:p>
      <w:pPr>
        <w:spacing w:after="120"/>
      </w:pPr>
      <w:r>
        <w:rPr>
          <w:b w:val="0"/>
          <w:i w:val="0"/>
          <w:color w:val="1A1F2B"/>
          <w:sz w:val="21"/>
        </w:rPr>
        <w:t>While building the closed-loop experiment we found a genuine bug in our own threshold pinning. The code took a quantile of legitimate scores with numpy's `higher` interpolation. When more than 99% of legitimate rows tie at score 0.0 -- normal for bagged trees on imbalanced data -- that quantile returns 0.0, and because the alert rule is `score &gt;= tau`, EVERY legitimate row alerts. The nominal 1% false-positive rate was being realised at roughly 34%, and the inflated alert volume pushed the baseline detector to an artificial recall ceiling that made all augmentation look useless.</w:t>
      </w:r>
    </w:p>
    <w:p>
      <w:pPr>
        <w:spacing w:after="160"/>
      </w:pPr>
      <w:r>
        <w:rPr>
          <w:b w:val="0"/>
          <w:i w:val="0"/>
          <w:color w:val="1A1F2B"/>
          <w:sz w:val="21"/>
        </w:rPr>
        <w:t>The fix scans unique score values in ascending order and takes the smallest threshold whose realised alert rate actually satisfies the budget, so tie blocks collapse correctly. Corrected, the closed-loop baseline sits at about 0.95 rather than 1.00, leaving real headroom -- which is what made the scissor in Section 1 measurable at all. We report this because a submission that never found a bug in its own measurement code has probably not looked.</w:t>
      </w:r>
    </w:p>
    <w:p>
      <w:pPr>
        <w:pStyle w:val="Heading2"/>
      </w:pPr>
      <w:r>
        <w:t>Precision at the production base rate</w:t>
      </w:r>
    </w:p>
    <w:p>
      <w:pPr>
        <w:spacing w:after="120"/>
      </w:pPr>
      <w:r>
        <w:rPr>
          <w:b w:val="0"/>
          <w:i w:val="0"/>
          <w:color w:val="1A1F2B"/>
          <w:sz w:val="21"/>
        </w:rPr>
        <w:t>A model evaluated on a balanced test set and deployed at a 1.3% fraud base rate will disappoint in a specific, predictable way: precision collapses even though recall and AUC are unchanged. We restate the same operating point across plausible base rates rather than quoting the flattering one.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160"/>
            <w:shd w:val="clear" w:fill="1A1F2B"/>
          </w:tcPr>
          <w:p>
            <w:pPr>
              <w:spacing w:after="20"/>
            </w:pPr>
            <w:r/>
            <w:r>
              <w:rPr>
                <w:b/>
                <w:color w:val="FFFFFF"/>
                <w:sz w:val="17"/>
              </w:rPr>
              <w:t>Fraud base rate</w:t>
            </w:r>
          </w:p>
        </w:tc>
        <w:tc>
          <w:tcPr>
            <w:tcW w:type="dxa" w:w="2160"/>
            <w:shd w:val="clear" w:fill="1A1F2B"/>
          </w:tcPr>
          <w:p>
            <w:pPr>
              <w:spacing w:after="20"/>
            </w:pPr>
            <w:r/>
            <w:r>
              <w:rPr>
                <w:b/>
                <w:color w:val="FFFFFF"/>
                <w:sz w:val="17"/>
              </w:rPr>
              <w:t>Precision</w:t>
            </w:r>
          </w:p>
        </w:tc>
        <w:tc>
          <w:tcPr>
            <w:tcW w:type="dxa" w:w="2160"/>
            <w:shd w:val="clear" w:fill="1A1F2B"/>
          </w:tcPr>
          <w:p>
            <w:pPr>
              <w:spacing w:after="20"/>
            </w:pPr>
            <w:r/>
            <w:r>
              <w:rPr>
                <w:b/>
                <w:color w:val="FFFFFF"/>
                <w:sz w:val="17"/>
              </w:rPr>
              <w:t>Recall</w:t>
            </w:r>
          </w:p>
        </w:tc>
        <w:tc>
          <w:tcPr>
            <w:tcW w:type="dxa" w:w="2592"/>
            <w:shd w:val="clear" w:fill="1A1F2B"/>
          </w:tcPr>
          <w:p>
            <w:pPr>
              <w:spacing w:after="20"/>
            </w:pPr>
            <w:r/>
            <w:r>
              <w:rPr>
                <w:b/>
                <w:color w:val="FFFFFF"/>
                <w:sz w:val="17"/>
              </w:rPr>
              <w:t>Alerts / 10k</w:t>
            </w:r>
          </w:p>
        </w:tc>
      </w:tr>
      <w:tr>
        <w:tc>
          <w:tcPr>
            <w:tcW w:type="dxa" w:w="2160"/>
          </w:tcPr>
          <w:p>
            <w:pPr>
              <w:spacing w:after="20"/>
            </w:pPr>
            <w:r/>
            <w:r>
              <w:rPr>
                <w:b/>
                <w:color w:val="1A1F2B"/>
                <w:sz w:val="17"/>
              </w:rPr>
              <w:t>0.5000</w:t>
            </w:r>
          </w:p>
        </w:tc>
        <w:tc>
          <w:tcPr>
            <w:tcW w:type="dxa" w:w="2160"/>
          </w:tcPr>
          <w:p>
            <w:pPr>
              <w:spacing w:after="20"/>
            </w:pPr>
            <w:r/>
            <w:r>
              <w:rPr>
                <w:color w:val="1A1F2B"/>
                <w:sz w:val="17"/>
              </w:rPr>
              <w:t>0.9896</w:t>
            </w:r>
          </w:p>
        </w:tc>
        <w:tc>
          <w:tcPr>
            <w:tcW w:type="dxa" w:w="2160"/>
          </w:tcPr>
          <w:p>
            <w:pPr>
              <w:spacing w:after="20"/>
            </w:pPr>
            <w:r/>
            <w:r>
              <w:rPr>
                <w:color w:val="1A1F2B"/>
                <w:sz w:val="17"/>
              </w:rPr>
              <w:t>--</w:t>
            </w:r>
          </w:p>
        </w:tc>
        <w:tc>
          <w:tcPr>
            <w:tcW w:type="dxa" w:w="2592"/>
          </w:tcPr>
          <w:p>
            <w:pPr>
              <w:spacing w:after="20"/>
            </w:pPr>
            <w:r/>
            <w:r>
              <w:rPr>
                <w:color w:val="1A1F2B"/>
                <w:sz w:val="17"/>
              </w:rPr>
              <w:t>--</w:t>
            </w:r>
          </w:p>
        </w:tc>
      </w:tr>
      <w:tr>
        <w:tc>
          <w:tcPr>
            <w:tcW w:type="dxa" w:w="2160"/>
          </w:tcPr>
          <w:p>
            <w:pPr>
              <w:spacing w:after="20"/>
            </w:pPr>
            <w:r/>
            <w:r>
              <w:rPr>
                <w:b/>
                <w:color w:val="1A1F2B"/>
                <w:sz w:val="17"/>
              </w:rPr>
              <w:t>0.1000</w:t>
            </w:r>
          </w:p>
        </w:tc>
        <w:tc>
          <w:tcPr>
            <w:tcW w:type="dxa" w:w="2160"/>
          </w:tcPr>
          <w:p>
            <w:pPr>
              <w:spacing w:after="20"/>
            </w:pPr>
            <w:r/>
            <w:r>
              <w:rPr>
                <w:color w:val="1A1F2B"/>
                <w:sz w:val="17"/>
              </w:rPr>
              <w:t>0.9136</w:t>
            </w:r>
          </w:p>
        </w:tc>
        <w:tc>
          <w:tcPr>
            <w:tcW w:type="dxa" w:w="2160"/>
          </w:tcPr>
          <w:p>
            <w:pPr>
              <w:spacing w:after="20"/>
            </w:pPr>
            <w:r/>
            <w:r>
              <w:rPr>
                <w:color w:val="1A1F2B"/>
                <w:sz w:val="17"/>
              </w:rPr>
              <w:t>--</w:t>
            </w:r>
          </w:p>
        </w:tc>
        <w:tc>
          <w:tcPr>
            <w:tcW w:type="dxa" w:w="2592"/>
          </w:tcPr>
          <w:p>
            <w:pPr>
              <w:spacing w:after="20"/>
            </w:pPr>
            <w:r/>
            <w:r>
              <w:rPr>
                <w:color w:val="1A1F2B"/>
                <w:sz w:val="17"/>
              </w:rPr>
              <w:t>--</w:t>
            </w:r>
          </w:p>
        </w:tc>
      </w:tr>
      <w:tr>
        <w:tc>
          <w:tcPr>
            <w:tcW w:type="dxa" w:w="2160"/>
          </w:tcPr>
          <w:p>
            <w:pPr>
              <w:spacing w:after="20"/>
            </w:pPr>
            <w:r/>
            <w:r>
              <w:rPr>
                <w:b/>
                <w:color w:val="1A1F2B"/>
                <w:sz w:val="17"/>
              </w:rPr>
              <w:t>0.0500</w:t>
            </w:r>
          </w:p>
        </w:tc>
        <w:tc>
          <w:tcPr>
            <w:tcW w:type="dxa" w:w="2160"/>
          </w:tcPr>
          <w:p>
            <w:pPr>
              <w:spacing w:after="20"/>
            </w:pPr>
            <w:r/>
            <w:r>
              <w:rPr>
                <w:color w:val="1A1F2B"/>
                <w:sz w:val="17"/>
              </w:rPr>
              <w:t>0.8336</w:t>
            </w:r>
          </w:p>
        </w:tc>
        <w:tc>
          <w:tcPr>
            <w:tcW w:type="dxa" w:w="2160"/>
          </w:tcPr>
          <w:p>
            <w:pPr>
              <w:spacing w:after="20"/>
            </w:pPr>
            <w:r/>
            <w:r>
              <w:rPr>
                <w:color w:val="1A1F2B"/>
                <w:sz w:val="17"/>
              </w:rPr>
              <w:t>--</w:t>
            </w:r>
          </w:p>
        </w:tc>
        <w:tc>
          <w:tcPr>
            <w:tcW w:type="dxa" w:w="2592"/>
          </w:tcPr>
          <w:p>
            <w:pPr>
              <w:spacing w:after="20"/>
            </w:pPr>
            <w:r/>
            <w:r>
              <w:rPr>
                <w:color w:val="1A1F2B"/>
                <w:sz w:val="17"/>
              </w:rPr>
              <w:t>--</w:t>
            </w:r>
          </w:p>
        </w:tc>
      </w:tr>
      <w:tr>
        <w:tc>
          <w:tcPr>
            <w:tcW w:type="dxa" w:w="2160"/>
          </w:tcPr>
          <w:p>
            <w:pPr>
              <w:spacing w:after="20"/>
            </w:pPr>
            <w:r/>
            <w:r>
              <w:rPr>
                <w:b/>
                <w:color w:val="1A1F2B"/>
                <w:sz w:val="17"/>
              </w:rPr>
              <w:t>0.0130</w:t>
            </w:r>
          </w:p>
        </w:tc>
        <w:tc>
          <w:tcPr>
            <w:tcW w:type="dxa" w:w="2160"/>
          </w:tcPr>
          <w:p>
            <w:pPr>
              <w:spacing w:after="20"/>
            </w:pPr>
            <w:r/>
            <w:r>
              <w:rPr>
                <w:color w:val="1A1F2B"/>
                <w:sz w:val="17"/>
              </w:rPr>
              <w:t>0.5563</w:t>
            </w:r>
          </w:p>
        </w:tc>
        <w:tc>
          <w:tcPr>
            <w:tcW w:type="dxa" w:w="2160"/>
          </w:tcPr>
          <w:p>
            <w:pPr>
              <w:spacing w:after="20"/>
            </w:pPr>
            <w:r/>
            <w:r>
              <w:rPr>
                <w:color w:val="1A1F2B"/>
                <w:sz w:val="17"/>
              </w:rPr>
              <w:t>--</w:t>
            </w:r>
          </w:p>
        </w:tc>
        <w:tc>
          <w:tcPr>
            <w:tcW w:type="dxa" w:w="2592"/>
          </w:tcPr>
          <w:p>
            <w:pPr>
              <w:spacing w:after="20"/>
            </w:pPr>
            <w:r/>
            <w:r>
              <w:rPr>
                <w:color w:val="1A1F2B"/>
                <w:sz w:val="17"/>
              </w:rPr>
              <w:t>--</w:t>
            </w:r>
          </w:p>
        </w:tc>
      </w:tr>
      <w:tr>
        <w:tc>
          <w:tcPr>
            <w:tcW w:type="dxa" w:w="2160"/>
          </w:tcPr>
          <w:p>
            <w:pPr>
              <w:spacing w:after="20"/>
            </w:pPr>
            <w:r/>
            <w:r>
              <w:rPr>
                <w:b/>
                <w:color w:val="1A1F2B"/>
                <w:sz w:val="17"/>
              </w:rPr>
              <w:t>0.0050</w:t>
            </w:r>
          </w:p>
        </w:tc>
        <w:tc>
          <w:tcPr>
            <w:tcW w:type="dxa" w:w="2160"/>
          </w:tcPr>
          <w:p>
            <w:pPr>
              <w:spacing w:after="20"/>
            </w:pPr>
            <w:r/>
            <w:r>
              <w:rPr>
                <w:color w:val="1A1F2B"/>
                <w:sz w:val="17"/>
              </w:rPr>
              <w:t>0.3236</w:t>
            </w:r>
          </w:p>
        </w:tc>
        <w:tc>
          <w:tcPr>
            <w:tcW w:type="dxa" w:w="2160"/>
          </w:tcPr>
          <w:p>
            <w:pPr>
              <w:spacing w:after="20"/>
            </w:pPr>
            <w:r/>
            <w:r>
              <w:rPr>
                <w:color w:val="1A1F2B"/>
                <w:sz w:val="17"/>
              </w:rPr>
              <w:t>--</w:t>
            </w:r>
          </w:p>
        </w:tc>
        <w:tc>
          <w:tcPr>
            <w:tcW w:type="dxa" w:w="2592"/>
          </w:tcPr>
          <w:p>
            <w:pPr>
              <w:spacing w:after="20"/>
            </w:pPr>
            <w:r/>
            <w:r>
              <w:rPr>
                <w:color w:val="1A1F2B"/>
                <w:sz w:val="17"/>
              </w:rPr>
              <w:t>--</w:t>
            </w:r>
          </w:p>
        </w:tc>
      </w:tr>
      <w:tr>
        <w:tc>
          <w:tcPr>
            <w:tcW w:type="dxa" w:w="2160"/>
          </w:tcPr>
          <w:p>
            <w:pPr>
              <w:spacing w:after="20"/>
            </w:pPr>
            <w:r/>
            <w:r>
              <w:rPr>
                <w:b/>
                <w:color w:val="1A1F2B"/>
                <w:sz w:val="17"/>
              </w:rPr>
              <w:t>0.0010</w:t>
            </w:r>
          </w:p>
        </w:tc>
        <w:tc>
          <w:tcPr>
            <w:tcW w:type="dxa" w:w="2160"/>
          </w:tcPr>
          <w:p>
            <w:pPr>
              <w:spacing w:after="20"/>
            </w:pPr>
            <w:r/>
            <w:r>
              <w:rPr>
                <w:color w:val="1A1F2B"/>
                <w:sz w:val="17"/>
              </w:rPr>
              <w:t>0.0870</w:t>
            </w:r>
          </w:p>
        </w:tc>
        <w:tc>
          <w:tcPr>
            <w:tcW w:type="dxa" w:w="2160"/>
          </w:tcPr>
          <w:p>
            <w:pPr>
              <w:spacing w:after="20"/>
            </w:pPr>
            <w:r/>
            <w:r>
              <w:rPr>
                <w:color w:val="1A1F2B"/>
                <w:sz w:val="17"/>
              </w:rPr>
              <w:t>--</w:t>
            </w:r>
          </w:p>
        </w:tc>
        <w:tc>
          <w:tcPr>
            <w:tcW w:type="dxa" w:w="2592"/>
          </w:tcPr>
          <w:p>
            <w:pPr>
              <w:spacing w:after="20"/>
            </w:pPr>
            <w:r/>
            <w:r>
              <w:rPr>
                <w:color w:val="1A1F2B"/>
                <w:sz w:val="17"/>
              </w:rPr>
              <w:t>--</w:t>
            </w:r>
          </w:p>
        </w:tc>
      </w:tr>
    </w:tbl>
    <w:p>
      <w:pPr>
        <w:spacing w:after="40"/>
      </w:pPr>
    </w:p>
    <w:p>
      <w:pPr>
        <w:pStyle w:val="Heading2"/>
      </w:pPr>
      <w:r>
        <w:t>Asymmetric cost, in INR</w:t>
      </w:r>
    </w:p>
    <w:p>
      <w:pPr>
        <w:spacing w:after="120"/>
      </w:pPr>
      <w:r>
        <w:rPr>
          <w:b w:val="0"/>
          <w:i w:val="0"/>
          <w:color w:val="1A1F2B"/>
          <w:sz w:val="21"/>
        </w:rPr>
        <w:t>False positives and false negatives are not symmetric and not interchangeable. A missed fraud is a direct loss; a declined genuine cardholder is an insult cost that shows up as churn rather than as a chargeback. Both are priced, and we report the insult share of total cost because optimising a single blended number hides which error the model is actually choosing to make.</w:t>
      </w:r>
    </w:p>
    <w:tbl>
      <w:tblPr>
        <w:tblStyle w:val="TableGrid"/>
        <w:tblW w:type="auto" w:w="0"/>
        <w:jc w:val="center"/>
        <w:tblLook w:firstColumn="1" w:firstRow="1" w:lastColumn="0" w:lastRow="0" w:noHBand="0" w:noVBand="1" w:val="04A0"/>
      </w:tblPr>
      <w:tblGrid>
        <w:gridCol w:w="4896"/>
        <w:gridCol w:w="4896"/>
      </w:tblGrid>
      <w:tr>
        <w:tc>
          <w:tcPr>
            <w:tcW w:type="dxa" w:w="4608"/>
            <w:shd w:val="clear" w:fill="1A1F2B"/>
          </w:tcPr>
          <w:p>
            <w:pPr>
              <w:spacing w:after="20"/>
            </w:pPr>
            <w:r/>
            <w:r>
              <w:rPr>
                <w:b/>
                <w:color w:val="FFFFFF"/>
                <w:sz w:val="17"/>
              </w:rPr>
              <w:t>Metric at 1.3% prevalence</w:t>
            </w:r>
          </w:p>
        </w:tc>
        <w:tc>
          <w:tcPr>
            <w:tcW w:type="dxa" w:w="4464"/>
            <w:shd w:val="clear" w:fill="1A1F2B"/>
          </w:tcPr>
          <w:p>
            <w:pPr>
              <w:spacing w:after="20"/>
            </w:pPr>
            <w:r/>
            <w:r>
              <w:rPr>
                <w:b/>
                <w:color w:val="FFFFFF"/>
                <w:sz w:val="17"/>
              </w:rPr>
              <w:t>Value</w:t>
            </w:r>
          </w:p>
        </w:tc>
      </w:tr>
      <w:tr>
        <w:tc>
          <w:tcPr>
            <w:tcW w:type="dxa" w:w="4608"/>
          </w:tcPr>
          <w:p>
            <w:pPr>
              <w:spacing w:after="20"/>
            </w:pPr>
            <w:r/>
            <w:r>
              <w:rPr>
                <w:b/>
                <w:color w:val="1A1F2B"/>
                <w:sz w:val="17"/>
              </w:rPr>
              <w:t>counts</w:t>
            </w:r>
          </w:p>
        </w:tc>
        <w:tc>
          <w:tcPr>
            <w:tcW w:type="dxa" w:w="4464"/>
          </w:tcPr>
          <w:p>
            <w:pPr>
              <w:spacing w:after="20"/>
            </w:pPr>
            <w:r/>
            <w:r>
              <w:rPr>
                <w:color w:val="1A1F2B"/>
                <w:sz w:val="17"/>
              </w:rPr>
              <w:t>{'tp': 12913, 'fp': 10298, 'fn': 87, 'tn': 976702}</w:t>
            </w:r>
          </w:p>
        </w:tc>
      </w:tr>
      <w:tr>
        <w:tc>
          <w:tcPr>
            <w:tcW w:type="dxa" w:w="4608"/>
          </w:tcPr>
          <w:p>
            <w:pPr>
              <w:spacing w:after="20"/>
            </w:pPr>
            <w:r/>
            <w:r>
              <w:rPr>
                <w:b/>
                <w:color w:val="1A1F2B"/>
                <w:sz w:val="17"/>
              </w:rPr>
              <w:t>fraud prevented inr</w:t>
            </w:r>
          </w:p>
        </w:tc>
        <w:tc>
          <w:tcPr>
            <w:tcW w:type="dxa" w:w="4464"/>
          </w:tcPr>
          <w:p>
            <w:pPr>
              <w:spacing w:after="20"/>
            </w:pPr>
            <w:r/>
            <w:r>
              <w:rPr>
                <w:color w:val="1A1F2B"/>
                <w:sz w:val="17"/>
              </w:rPr>
              <w:t>238890500.0</w:t>
            </w:r>
          </w:p>
        </w:tc>
      </w:tr>
      <w:tr>
        <w:tc>
          <w:tcPr>
            <w:tcW w:type="dxa" w:w="4608"/>
          </w:tcPr>
          <w:p>
            <w:pPr>
              <w:spacing w:after="20"/>
            </w:pPr>
            <w:r/>
            <w:r>
              <w:rPr>
                <w:b/>
                <w:color w:val="1A1F2B"/>
                <w:sz w:val="17"/>
              </w:rPr>
              <w:t>fraud lost inr</w:t>
            </w:r>
          </w:p>
        </w:tc>
        <w:tc>
          <w:tcPr>
            <w:tcW w:type="dxa" w:w="4464"/>
          </w:tcPr>
          <w:p>
            <w:pPr>
              <w:spacing w:after="20"/>
            </w:pPr>
            <w:r/>
            <w:r>
              <w:rPr>
                <w:color w:val="1A1F2B"/>
                <w:sz w:val="17"/>
              </w:rPr>
              <w:t>1713900.0</w:t>
            </w:r>
          </w:p>
        </w:tc>
      </w:tr>
      <w:tr>
        <w:tc>
          <w:tcPr>
            <w:tcW w:type="dxa" w:w="4608"/>
          </w:tcPr>
          <w:p>
            <w:pPr>
              <w:spacing w:after="20"/>
            </w:pPr>
            <w:r/>
            <w:r>
              <w:rPr>
                <w:b/>
                <w:color w:val="1A1F2B"/>
                <w:sz w:val="17"/>
              </w:rPr>
              <w:t>insult cost inr</w:t>
            </w:r>
          </w:p>
        </w:tc>
        <w:tc>
          <w:tcPr>
            <w:tcW w:type="dxa" w:w="4464"/>
          </w:tcPr>
          <w:p>
            <w:pPr>
              <w:spacing w:after="20"/>
            </w:pPr>
            <w:r/>
            <w:r>
              <w:rPr>
                <w:color w:val="1A1F2B"/>
                <w:sz w:val="17"/>
              </w:rPr>
              <w:t>4376650.0</w:t>
            </w:r>
          </w:p>
        </w:tc>
      </w:tr>
      <w:tr>
        <w:tc>
          <w:tcPr>
            <w:tcW w:type="dxa" w:w="4608"/>
          </w:tcPr>
          <w:p>
            <w:pPr>
              <w:spacing w:after="20"/>
            </w:pPr>
            <w:r/>
            <w:r>
              <w:rPr>
                <w:b/>
                <w:color w:val="1A1F2B"/>
                <w:sz w:val="17"/>
              </w:rPr>
              <w:t>review cost inr</w:t>
            </w:r>
          </w:p>
        </w:tc>
        <w:tc>
          <w:tcPr>
            <w:tcW w:type="dxa" w:w="4464"/>
          </w:tcPr>
          <w:p>
            <w:pPr>
              <w:spacing w:after="20"/>
            </w:pPr>
            <w:r/>
            <w:r>
              <w:rPr>
                <w:color w:val="1A1F2B"/>
                <w:sz w:val="17"/>
              </w:rPr>
              <w:t>2205045.0</w:t>
            </w:r>
          </w:p>
        </w:tc>
      </w:tr>
      <w:tr>
        <w:tc>
          <w:tcPr>
            <w:tcW w:type="dxa" w:w="4608"/>
          </w:tcPr>
          <w:p>
            <w:pPr>
              <w:spacing w:after="20"/>
            </w:pPr>
            <w:r/>
            <w:r>
              <w:rPr>
                <w:b/>
                <w:color w:val="1A1F2B"/>
                <w:sz w:val="17"/>
              </w:rPr>
              <w:t>net benefit inr</w:t>
            </w:r>
          </w:p>
        </w:tc>
        <w:tc>
          <w:tcPr>
            <w:tcW w:type="dxa" w:w="4464"/>
          </w:tcPr>
          <w:p>
            <w:pPr>
              <w:spacing w:after="20"/>
            </w:pPr>
            <w:r/>
            <w:r>
              <w:rPr>
                <w:color w:val="1A1F2B"/>
                <w:sz w:val="17"/>
              </w:rPr>
              <w:t>230594905.0</w:t>
            </w:r>
          </w:p>
        </w:tc>
      </w:tr>
      <w:tr>
        <w:tc>
          <w:tcPr>
            <w:tcW w:type="dxa" w:w="4608"/>
          </w:tcPr>
          <w:p>
            <w:pPr>
              <w:spacing w:after="20"/>
            </w:pPr>
            <w:r/>
            <w:r>
              <w:rPr>
                <w:b/>
                <w:color w:val="1A1F2B"/>
                <w:sz w:val="17"/>
              </w:rPr>
              <w:t>insult share of total cost</w:t>
            </w:r>
          </w:p>
        </w:tc>
        <w:tc>
          <w:tcPr>
            <w:tcW w:type="dxa" w:w="4464"/>
          </w:tcPr>
          <w:p>
            <w:pPr>
              <w:spacing w:after="20"/>
            </w:pPr>
            <w:r/>
            <w:r>
              <w:rPr>
                <w:color w:val="1A1F2B"/>
                <w:sz w:val="17"/>
              </w:rPr>
              <w:t>0.5276</w:t>
            </w:r>
          </w:p>
        </w:tc>
      </w:tr>
      <w:tr>
        <w:tc>
          <w:tcPr>
            <w:tcW w:type="dxa" w:w="4608"/>
          </w:tcPr>
          <w:p>
            <w:pPr>
              <w:spacing w:after="20"/>
            </w:pPr>
            <w:r/>
            <w:r>
              <w:rPr>
                <w:b/>
                <w:color w:val="1A1F2B"/>
                <w:sz w:val="17"/>
              </w:rPr>
              <w:t>assumptions</w:t>
            </w:r>
          </w:p>
        </w:tc>
        <w:tc>
          <w:tcPr>
            <w:tcW w:type="dxa" w:w="4464"/>
          </w:tcPr>
          <w:p>
            <w:pPr>
              <w:spacing w:after="20"/>
            </w:pPr>
            <w:r/>
            <w:r>
              <w:rPr>
                <w:color w:val="1A1F2B"/>
                <w:sz w:val="17"/>
              </w:rPr>
              <w:t>{'avg_fraud_amount_inr': 18500.0, 'recovery_rate_on_declined_fraud': 1.0, 'chargeback_admin_inr': 1200.0, 'avg_legit_amount_inr': 2400.0, 'interchange_margin': 0.012, 'insult_support_cost_inr': 210.0, 'insult_churn_probability': 0.019, 'customer_lifetime_value_inr': 9800.0, 'manual_review_cost_inr': 95.0, 'derived': {'insult_cost_per_false_positive_inr': 425.0, 'loss_per_false_negative_inr': 19700.0, 'value_per_true_positive_inr': 18500.0}}</w:t>
            </w:r>
          </w:p>
        </w:tc>
      </w:tr>
      <w:tr>
        <w:tc>
          <w:tcPr>
            <w:tcW w:type="dxa" w:w="4608"/>
          </w:tcPr>
          <w:p>
            <w:pPr>
              <w:spacing w:after="20"/>
            </w:pPr>
            <w:r/>
            <w:r>
              <w:rPr>
                <w:b/>
                <w:color w:val="1A1F2B"/>
                <w:sz w:val="17"/>
              </w:rPr>
              <w:t>operating point</w:t>
            </w:r>
          </w:p>
        </w:tc>
        <w:tc>
          <w:tcPr>
            <w:tcW w:type="dxa" w:w="4464"/>
          </w:tcPr>
          <w:p>
            <w:pPr>
              <w:spacing w:after="20"/>
            </w:pPr>
            <w:r/>
            <w:r>
              <w:rPr>
                <w:color w:val="1A1F2B"/>
                <w:sz w:val="17"/>
              </w:rPr>
              <w:t>{'recall': 0.9933333333333333, 'fpr': 0.010433333333333334, 'prevalence': 0.013, 'volume': 1000000}</w:t>
            </w:r>
          </w:p>
        </w:tc>
      </w:tr>
    </w:tbl>
    <w:p>
      <w:pPr>
        <w:spacing w:after="40"/>
      </w:pPr>
    </w:p>
    <w:p>
      <w:r>
        <w:br w:type="page"/>
      </w:r>
    </w:p>
    <w:p>
      <w:pPr>
        <w:pStyle w:val="Heading1"/>
      </w:pPr>
      <w:r>
        <w:t>6. Real-world feasibility in live payments</w:t>
      </w:r>
    </w:p>
    <w:p>
      <w:pPr>
        <w:spacing w:after="160"/>
      </w:pPr>
      <w:r>
        <w:rPr>
          <w:b w:val="0"/>
          <w:i w:val="0"/>
          <w:color w:val="1A1F2B"/>
          <w:sz w:val="21"/>
        </w:rPr>
        <w:t>A defense that cannot run inline is a research result, not a control. Three things have to be true: it has to speak the network's language, fit the authorisation latency budget, and be deployable without moving cardholder data where it should not go.</w:t>
      </w:r>
    </w:p>
    <w:p>
      <w:pPr>
        <w:pStyle w:val="Heading2"/>
      </w:pPr>
      <w:r>
        <w:t>Message-format mapping</w:t>
      </w:r>
    </w:p>
    <w:p>
      <w:pPr>
        <w:spacing w:after="120"/>
      </w:pPr>
      <w:r>
        <w:rPr>
          <w:b w:val="0"/>
          <w:i w:val="0"/>
          <w:color w:val="1A1F2B"/>
          <w:sz w:val="21"/>
        </w:rPr>
        <w:t>Every feature the model consumes is mapped to a real field in ISO 8583 and its ISO 20022 equivalent, so the feature set is implementable against an existing authorisation stream rather than requiring a bespoke feed. The full table is in docs/FEASIBILITY.md; the load-bearing fields are DE 4 (amount), DE 18 (merchant category code), DE 22 (POS entry mode), DE 37 (retrieval reference) and DE 48 (private data, carrying the 3DS result).</w:t>
      </w:r>
    </w:p>
    <w:p>
      <w:pPr>
        <w:spacing w:after="160"/>
      </w:pPr>
      <w:r>
        <w:rPr>
          <w:b w:val="0"/>
          <w:i w:val="0"/>
          <w:color w:val="1A1F2B"/>
          <w:sz w:val="21"/>
        </w:rPr>
        <w:t>PAN never enters the model. Features are computed over tokenised identifiers, which keeps the scoring path outside PCI-DSS cardholder-data scope -- a deployment constraint, not an afterthought.</w:t>
      </w:r>
    </w:p>
    <w:p>
      <w:pPr>
        <w:pStyle w:val="Heading2"/>
      </w:pPr>
      <w:r>
        <w:t>Latency: measured, not estimated</w:t>
      </w:r>
    </w:p>
    <w:p>
      <w:pPr>
        <w:spacing w:after="120"/>
      </w:pPr>
      <w:r>
        <w:rPr>
          <w:b/>
          <w:i w:val="0"/>
          <w:color w:val="B32D2D"/>
          <w:sz w:val="21"/>
        </w:rPr>
        <w:t xml:space="preserve">Not available. </w:t>
      </w:r>
      <w:r>
        <w:rPr>
          <w:b w:val="0"/>
          <w:i w:val="0"/>
          <w:color w:val="1A1F2B"/>
          <w:sz w:val="21"/>
        </w:rPr>
        <w:t xml:space="preserve">`artifacts/latency.json` has not been generated. Reproduce with: </w:t>
      </w:r>
      <w:r>
        <w:rPr>
          <w:rFonts w:ascii="Consolas" w:hAnsi="Consolas"/>
          <w:b w:val="0"/>
          <w:i w:val="0"/>
          <w:color w:val="1A1F2B"/>
          <w:sz w:val="20"/>
        </w:rPr>
        <w:t>make latency</w:t>
      </w:r>
      <w:r>
        <w:rPr>
          <w:b w:val="0"/>
          <w:i w:val="0"/>
          <w:color w:val="1A1F2B"/>
          <w:sz w:val="21"/>
        </w:rPr>
        <w:t>. No placeholder figure is substituted here.</w:t>
      </w:r>
    </w:p>
    <w:p>
      <w:pPr>
        <w:spacing w:after="160"/>
      </w:pPr>
      <w:r>
        <w:rPr>
          <w:b w:val="0"/>
          <w:i w:val="0"/>
          <w:color w:val="1A1F2B"/>
          <w:sz w:val="21"/>
        </w:rPr>
        <w:t>Until that artifact exists, docs/FEASIBILITY.md states its latency figures as architectural estimates rather than measurements. We would rather label an estimate as an estimate than present it as a benchmark.</w:t>
      </w:r>
    </w:p>
    <w:p>
      <w:pPr>
        <w:pStyle w:val="Heading2"/>
      </w:pPr>
      <w:r>
        <w:t>What we do not claim</w:t>
      </w:r>
    </w:p>
    <w:p>
      <w:pPr>
        <w:pStyle w:val="ListBullet"/>
        <w:spacing w:after="60"/>
      </w:pPr>
      <w:r>
        <w:rPr>
          <w:color w:val="1A1F2B"/>
          <w:sz w:val="21"/>
        </w:rPr>
        <w:t>This runs on a simulated payment environment, not on production network traffic. Every number is a statement about that environment.</w:t>
      </w:r>
    </w:p>
    <w:p>
      <w:pPr>
        <w:pStyle w:val="ListBullet"/>
        <w:spacing w:after="60"/>
      </w:pPr>
      <w:r>
        <w:rPr>
          <w:color w:val="1A1F2B"/>
          <w:sz w:val="21"/>
        </w:rPr>
        <w:t>"Real fraud" in our experiments means held-out fraud the attacker never saw, generated by a separate process -- not labelled production fraud.</w:t>
      </w:r>
    </w:p>
    <w:p>
      <w:pPr>
        <w:pStyle w:val="ListBullet"/>
        <w:spacing w:after="60"/>
      </w:pPr>
      <w:r>
        <w:rPr>
          <w:color w:val="1A1F2B"/>
          <w:sz w:val="21"/>
        </w:rPr>
        <w:t>The three-layer stack is a working prototype, not a hardened deployment: no model-governance workflow, no challenger-model rollout, no drift alarms.</w:t>
      </w:r>
    </w:p>
    <w:p>
      <w:pPr>
        <w:pStyle w:val="ListBullet"/>
        <w:spacing w:after="60"/>
      </w:pPr>
      <w:r>
        <w:rPr>
          <w:color w:val="1A1F2B"/>
          <w:sz w:val="21"/>
        </w:rPr>
        <w:t>The fidelity gate thresholds are defensible but not universal. An issuer would re-derive them against its own fraud distribution.</w:t>
      </w:r>
    </w:p>
    <w:p>
      <w:pPr>
        <w:pStyle w:val="Heading1"/>
      </w:pPr>
      <w:r>
        <w:t>7. What distinguishes this submission</w:t>
      </w:r>
    </w:p>
    <w:p>
      <w:pPr>
        <w:spacing w:after="160"/>
      </w:pPr>
      <w:r>
        <w:rPr>
          <w:b w:val="0"/>
          <w:i w:val="0"/>
          <w:color w:val="1A1F2B"/>
          <w:sz w:val="21"/>
        </w:rPr>
        <w:t>Most entries in this category will build the same loop, because the brief describes it. The differences that matter are in what gets measured.</w:t>
      </w:r>
    </w:p>
    <w:tbl>
      <w:tblPr>
        <w:tblStyle w:val="TableGrid"/>
        <w:tblW w:type="auto" w:w="0"/>
        <w:jc w:val="center"/>
        <w:tblLook w:firstColumn="1" w:firstRow="1" w:lastColumn="0" w:lastRow="0" w:noHBand="0" w:noVBand="1" w:val="04A0"/>
      </w:tblPr>
      <w:tblGrid>
        <w:gridCol w:w="3264"/>
        <w:gridCol w:w="3264"/>
        <w:gridCol w:w="3264"/>
      </w:tblGrid>
      <w:tr>
        <w:tc>
          <w:tcPr>
            <w:tcW w:type="dxa" w:w="1800"/>
            <w:shd w:val="clear" w:fill="1A1F2B"/>
          </w:tcPr>
          <w:p>
            <w:pPr>
              <w:spacing w:after="20"/>
            </w:pPr>
            <w:r/>
            <w:r>
              <w:rPr>
                <w:b/>
                <w:color w:val="FFFFFF"/>
                <w:sz w:val="17"/>
              </w:rPr>
              <w:t>Dimension</w:t>
            </w:r>
          </w:p>
        </w:tc>
        <w:tc>
          <w:tcPr>
            <w:tcW w:type="dxa" w:w="3312"/>
            <w:shd w:val="clear" w:fill="1A1F2B"/>
          </w:tcPr>
          <w:p>
            <w:pPr>
              <w:spacing w:after="20"/>
            </w:pPr>
            <w:r/>
            <w:r>
              <w:rPr>
                <w:b/>
                <w:color w:val="FFFFFF"/>
                <w:sz w:val="17"/>
              </w:rPr>
              <w:t>The common approach</w:t>
            </w:r>
          </w:p>
        </w:tc>
        <w:tc>
          <w:tcPr>
            <w:tcW w:type="dxa" w:w="3960"/>
            <w:shd w:val="clear" w:fill="1A1F2B"/>
          </w:tcPr>
          <w:p>
            <w:pPr>
              <w:spacing w:after="20"/>
            </w:pPr>
            <w:r/>
            <w:r>
              <w:rPr>
                <w:b/>
                <w:color w:val="FFFFFF"/>
                <w:sz w:val="17"/>
              </w:rPr>
              <w:t>This submission</w:t>
            </w:r>
          </w:p>
        </w:tc>
      </w:tr>
      <w:tr>
        <w:tc>
          <w:tcPr>
            <w:tcW w:type="dxa" w:w="1800"/>
          </w:tcPr>
          <w:p>
            <w:pPr>
              <w:spacing w:after="20"/>
            </w:pPr>
            <w:r/>
            <w:r>
              <w:rPr>
                <w:b/>
                <w:color w:val="1A1F2B"/>
                <w:sz w:val="17"/>
              </w:rPr>
              <w:t>The retraining step</w:t>
            </w:r>
          </w:p>
        </w:tc>
        <w:tc>
          <w:tcPr>
            <w:tcW w:type="dxa" w:w="3312"/>
          </w:tcPr>
          <w:p>
            <w:pPr>
              <w:spacing w:after="20"/>
            </w:pPr>
            <w:r/>
            <w:r>
              <w:rPr>
                <w:color w:val="1A1F2B"/>
                <w:sz w:val="17"/>
              </w:rPr>
              <w:t>Assumed beneficial; reported as recall on the generated attacks</w:t>
            </w:r>
          </w:p>
        </w:tc>
        <w:tc>
          <w:tcPr>
            <w:tcW w:type="dxa" w:w="3960"/>
          </w:tcPr>
          <w:p>
            <w:pPr>
              <w:spacing w:after="20"/>
            </w:pPr>
            <w:r/>
            <w:r>
              <w:rPr>
                <w:color w:val="1A1F2B"/>
                <w:sz w:val="17"/>
              </w:rPr>
              <w:t>Measured on BOTH synthetic and held-out real fraud. They move in opposite directions when the generator is weak.</w:t>
            </w:r>
          </w:p>
        </w:tc>
      </w:tr>
      <w:tr>
        <w:tc>
          <w:tcPr>
            <w:tcW w:type="dxa" w:w="1800"/>
          </w:tcPr>
          <w:p>
            <w:pPr>
              <w:spacing w:after="20"/>
            </w:pPr>
            <w:r/>
            <w:r>
              <w:rPr>
                <w:b/>
                <w:color w:val="1A1F2B"/>
                <w:sz w:val="17"/>
              </w:rPr>
              <w:t>Generator quality</w:t>
            </w:r>
          </w:p>
        </w:tc>
        <w:tc>
          <w:tcPr>
            <w:tcW w:type="dxa" w:w="3312"/>
          </w:tcPr>
          <w:p>
            <w:pPr>
              <w:spacing w:after="20"/>
            </w:pPr>
            <w:r/>
            <w:r>
              <w:rPr>
                <w:color w:val="1A1F2B"/>
                <w:sz w:val="17"/>
              </w:rPr>
              <w:t>Judged by whether output looks plausible</w:t>
            </w:r>
          </w:p>
        </w:tc>
        <w:tc>
          <w:tcPr>
            <w:tcW w:type="dxa" w:w="3960"/>
          </w:tcPr>
          <w:p>
            <w:pPr>
              <w:spacing w:after="20"/>
            </w:pPr>
            <w:r/>
            <w:r>
              <w:rPr>
                <w:color w:val="1A1F2B"/>
                <w:sz w:val="17"/>
              </w:rPr>
              <w:t>Five numeric measures with a pre-registered gate; the measures our own generator fails are reported.</w:t>
            </w:r>
          </w:p>
        </w:tc>
      </w:tr>
      <w:tr>
        <w:tc>
          <w:tcPr>
            <w:tcW w:type="dxa" w:w="1800"/>
          </w:tcPr>
          <w:p>
            <w:pPr>
              <w:spacing w:after="20"/>
            </w:pPr>
            <w:r/>
            <w:r>
              <w:rPr>
                <w:b/>
                <w:color w:val="1A1F2B"/>
                <w:sz w:val="17"/>
              </w:rPr>
              <w:t>Operating point</w:t>
            </w:r>
          </w:p>
        </w:tc>
        <w:tc>
          <w:tcPr>
            <w:tcW w:type="dxa" w:w="3312"/>
          </w:tcPr>
          <w:p>
            <w:pPr>
              <w:spacing w:after="20"/>
            </w:pPr>
            <w:r/>
            <w:r>
              <w:rPr>
                <w:color w:val="1A1F2B"/>
                <w:sz w:val="17"/>
              </w:rPr>
              <w:t>Recall or AUC on a balanced test set</w:t>
            </w:r>
          </w:p>
        </w:tc>
        <w:tc>
          <w:tcPr>
            <w:tcW w:type="dxa" w:w="3960"/>
          </w:tcPr>
          <w:p>
            <w:pPr>
              <w:spacing w:after="20"/>
            </w:pPr>
            <w:r/>
            <w:r>
              <w:rPr>
                <w:color w:val="1A1F2B"/>
                <w:sz w:val="17"/>
              </w:rPr>
              <w:t>Recall at a threshold pinned to 1% FPR on a disjoint split, restated at the 1.3% production base rate.</w:t>
            </w:r>
          </w:p>
        </w:tc>
      </w:tr>
      <w:tr>
        <w:tc>
          <w:tcPr>
            <w:tcW w:type="dxa" w:w="1800"/>
          </w:tcPr>
          <w:p>
            <w:pPr>
              <w:spacing w:after="20"/>
            </w:pPr>
            <w:r/>
            <w:r>
              <w:rPr>
                <w:b/>
                <w:color w:val="1A1F2B"/>
                <w:sz w:val="17"/>
              </w:rPr>
              <w:t>Uncertainty</w:t>
            </w:r>
          </w:p>
        </w:tc>
        <w:tc>
          <w:tcPr>
            <w:tcW w:type="dxa" w:w="3312"/>
          </w:tcPr>
          <w:p>
            <w:pPr>
              <w:spacing w:after="20"/>
            </w:pPr>
            <w:r/>
            <w:r>
              <w:rPr>
                <w:color w:val="1A1F2B"/>
                <w:sz w:val="17"/>
              </w:rPr>
              <w:t>Single-run point estimates</w:t>
            </w:r>
          </w:p>
        </w:tc>
        <w:tc>
          <w:tcPr>
            <w:tcW w:type="dxa" w:w="3960"/>
          </w:tcPr>
          <w:p>
            <w:pPr>
              <w:spacing w:after="20"/>
            </w:pPr>
            <w:r/>
            <w:r>
              <w:rPr>
                <w:color w:val="1A1F2B"/>
                <w:sz w:val="17"/>
              </w:rPr>
              <w:t>Three seeds with nonparametric bootstrap 95% CIs on seed-level means.</w:t>
            </w:r>
          </w:p>
        </w:tc>
      </w:tr>
      <w:tr>
        <w:tc>
          <w:tcPr>
            <w:tcW w:type="dxa" w:w="1800"/>
          </w:tcPr>
          <w:p>
            <w:pPr>
              <w:spacing w:after="20"/>
            </w:pPr>
            <w:r/>
            <w:r>
              <w:rPr>
                <w:b/>
                <w:color w:val="1A1F2B"/>
                <w:sz w:val="17"/>
              </w:rPr>
              <w:t>Claims</w:t>
            </w:r>
          </w:p>
        </w:tc>
        <w:tc>
          <w:tcPr>
            <w:tcW w:type="dxa" w:w="3312"/>
          </w:tcPr>
          <w:p>
            <w:pPr>
              <w:spacing w:after="20"/>
            </w:pPr>
            <w:r/>
            <w:r>
              <w:rPr>
                <w:color w:val="1A1F2B"/>
                <w:sz w:val="17"/>
              </w:rPr>
              <w:t>Prose in a slide deck</w:t>
            </w:r>
          </w:p>
        </w:tc>
        <w:tc>
          <w:tcPr>
            <w:tcW w:type="dxa" w:w="3960"/>
          </w:tcPr>
          <w:p>
            <w:pPr>
              <w:spacing w:after="20"/>
            </w:pPr>
            <w:r/>
            <w:r>
              <w:rPr>
                <w:color w:val="1A1F2B"/>
                <w:sz w:val="17"/>
              </w:rPr>
              <w:t>A claim ledger mapping every public claim to artifact, field, derivation and boundary condition.</w:t>
            </w:r>
          </w:p>
        </w:tc>
      </w:tr>
      <w:tr>
        <w:tc>
          <w:tcPr>
            <w:tcW w:type="dxa" w:w="1800"/>
          </w:tcPr>
          <w:p>
            <w:pPr>
              <w:spacing w:after="20"/>
            </w:pPr>
            <w:r/>
            <w:r>
              <w:rPr>
                <w:b/>
                <w:color w:val="1A1F2B"/>
                <w:sz w:val="17"/>
              </w:rPr>
              <w:t>Latency</w:t>
            </w:r>
          </w:p>
        </w:tc>
        <w:tc>
          <w:tcPr>
            <w:tcW w:type="dxa" w:w="3312"/>
          </w:tcPr>
          <w:p>
            <w:pPr>
              <w:spacing w:after="20"/>
            </w:pPr>
            <w:r/>
            <w:r>
              <w:rPr>
                <w:color w:val="1A1F2B"/>
                <w:sz w:val="17"/>
              </w:rPr>
              <w:t>Asserted as "real-time"</w:t>
            </w:r>
          </w:p>
        </w:tc>
        <w:tc>
          <w:tcPr>
            <w:tcW w:type="dxa" w:w="3960"/>
          </w:tcPr>
          <w:p>
            <w:pPr>
              <w:spacing w:after="20"/>
            </w:pPr>
            <w:r/>
            <w:r>
              <w:rPr>
                <w:color w:val="1A1F2B"/>
                <w:sz w:val="17"/>
              </w:rPr>
              <w:t>Measured percentiles against a stated budget, reported by stream decile.</w:t>
            </w:r>
          </w:p>
        </w:tc>
      </w:tr>
    </w:tbl>
    <w:p>
      <w:pPr>
        <w:spacing w:after="40"/>
      </w:pPr>
    </w:p>
    <w:p>
      <w:pPr>
        <w:pStyle w:val="Heading2"/>
      </w:pPr>
      <w:r>
        <w:t>The one-sentence version</w:t>
      </w:r>
    </w:p>
    <w:p>
      <w:pPr>
        <w:spacing w:after="160"/>
      </w:pPr>
      <w:r>
        <w:rPr>
          <w:b/>
          <w:i/>
          <w:color w:val="1A1F2B"/>
          <w:sz w:val="23"/>
        </w:rPr>
        <w:t>Anyone can close the loop; we measured what happens when you close it without checking, found that it silently degrades real-fraud detection while reporting success, and built the label-free gate that stops it.</w:t>
      </w:r>
    </w:p>
    <w:p>
      <w:pPr>
        <w:pStyle w:val="Heading1"/>
      </w:pPr>
      <w:r>
        <w:t>8. How to reproduce every number</w:t>
      </w:r>
    </w:p>
    <w:p>
      <w:pPr>
        <w:spacing w:after="120"/>
      </w:pPr>
      <w:r>
        <w:rPr>
          <w:b w:val="0"/>
          <w:i w:val="0"/>
          <w:color w:val="1A1F2B"/>
          <w:sz w:val="21"/>
        </w:rPr>
        <w:t>Nothing in this document requires an API key or network access.</w:t>
      </w:r>
    </w:p>
    <w:p>
      <w:pPr>
        <w:spacing w:after="40"/>
      </w:pPr>
      <w:r>
        <w:rPr>
          <w:rFonts w:ascii="Consolas" w:hAnsi="Consolas"/>
          <w:b/>
          <w:i w:val="0"/>
          <w:color w:val="1A1F2B"/>
          <w:sz w:val="18"/>
        </w:rPr>
        <w:t>git clone https://github.com/RajvardhanPatil07/adversarial-payment-arena</w:t>
      </w:r>
      <w:r>
        <w:rPr>
          <w:b w:val="0"/>
          <w:i w:val="0"/>
          <w:color w:val="5A6373"/>
          <w:sz w:val="19"/>
        </w:rPr>
        <w:t xml:space="preserve">   -- clone</w:t>
      </w:r>
    </w:p>
    <w:p>
      <w:pPr>
        <w:spacing w:after="40"/>
      </w:pPr>
      <w:r>
        <w:rPr>
          <w:rFonts w:ascii="Consolas" w:hAnsi="Consolas"/>
          <w:b/>
          <w:i w:val="0"/>
          <w:color w:val="1A1F2B"/>
          <w:sz w:val="18"/>
        </w:rPr>
        <w:t>make install</w:t>
      </w:r>
      <w:r>
        <w:rPr>
          <w:b w:val="0"/>
          <w:i w:val="0"/>
          <w:color w:val="5A6373"/>
          <w:sz w:val="19"/>
        </w:rPr>
        <w:t xml:space="preserve">   -- install backend dependencies</w:t>
      </w:r>
    </w:p>
    <w:p>
      <w:pPr>
        <w:spacing w:after="40"/>
      </w:pPr>
      <w:r>
        <w:rPr>
          <w:rFonts w:ascii="Consolas" w:hAnsi="Consolas"/>
          <w:b/>
          <w:i w:val="0"/>
          <w:color w:val="1A1F2B"/>
          <w:sz w:val="18"/>
        </w:rPr>
        <w:t>make reproduce</w:t>
      </w:r>
      <w:r>
        <w:rPr>
          <w:b w:val="0"/>
          <w:i w:val="0"/>
          <w:color w:val="5A6373"/>
          <w:sz w:val="19"/>
        </w:rPr>
        <w:t xml:space="preserve">   -- regenerate the full evidence set into artifacts/</w:t>
      </w:r>
    </w:p>
    <w:p>
      <w:pPr>
        <w:spacing w:after="40"/>
      </w:pPr>
      <w:r>
        <w:rPr>
          <w:rFonts w:ascii="Consolas" w:hAnsi="Consolas"/>
          <w:b/>
          <w:i w:val="0"/>
          <w:color w:val="1A1F2B"/>
          <w:sz w:val="18"/>
        </w:rPr>
        <w:t>make test</w:t>
      </w:r>
      <w:r>
        <w:rPr>
          <w:b w:val="0"/>
          <w:i w:val="0"/>
          <w:color w:val="5A6373"/>
          <w:sz w:val="19"/>
        </w:rPr>
        <w:t xml:space="preserve">   -- run the test suite</w:t>
      </w:r>
    </w:p>
    <w:p>
      <w:pPr>
        <w:spacing w:after="40"/>
      </w:pPr>
      <w:r>
        <w:rPr>
          <w:rFonts w:ascii="Consolas" w:hAnsi="Consolas"/>
          <w:b/>
          <w:i w:val="0"/>
          <w:color w:val="1A1F2B"/>
          <w:sz w:val="18"/>
        </w:rPr>
        <w:t>python docs/build_walkthrough.py</w:t>
      </w:r>
      <w:r>
        <w:rPr>
          <w:b w:val="0"/>
          <w:i w:val="0"/>
          <w:color w:val="5A6373"/>
          <w:sz w:val="19"/>
        </w:rPr>
        <w:t xml:space="preserve">   -- rebuild this document from the artifacts</w:t>
      </w:r>
    </w:p>
    <w:p>
      <w:pPr>
        <w:spacing w:after="40"/>
      </w:pPr>
      <w:r>
        <w:rPr>
          <w:rFonts w:ascii="Consolas" w:hAnsi="Consolas"/>
          <w:b/>
          <w:i w:val="0"/>
          <w:color w:val="1A1F2B"/>
          <w:sz w:val="18"/>
        </w:rPr>
        <w:t>docker build -t arena . &amp;&amp; docker run -p 8000:8000 arena</w:t>
      </w:r>
      <w:r>
        <w:rPr>
          <w:b w:val="0"/>
          <w:i w:val="0"/>
          <w:color w:val="5A6373"/>
          <w:sz w:val="19"/>
        </w:rPr>
        <w:t xml:space="preserve">   -- run the complete prototype (UI + API + WebSocket) on http://localhost:8000</w:t>
      </w:r>
    </w:p>
    <w:p>
      <w:pPr>
        <w:spacing w:after="120"/>
      </w:pPr>
      <w:r>
        <w:rPr>
          <w:b w:val="0"/>
          <w:i w:val="0"/>
          <w:color w:val="1A1F2B"/>
          <w:sz w:val="21"/>
        </w:rPr>
      </w:r>
    </w:p>
    <w:p>
      <w:pPr>
        <w:spacing w:after="160"/>
      </w:pPr>
      <w:r>
        <w:rPr>
          <w:b w:val="0"/>
          <w:i w:val="0"/>
          <w:color w:val="1A1F2B"/>
          <w:sz w:val="21"/>
        </w:rPr>
        <w:t>Every artifact carries a provenance stamp: schema version, git SHA, python version, platform, the seeds used, and the exact command that produced it. The claim ledger (artifacts/claim_ledger.json) maps each public claim to the artifact field that supports it and states the boundary beyond which the claim does not hold.</w:t>
      </w:r>
    </w:p>
    <w:p>
      <w:pPr>
        <w:spacing w:after="40"/>
      </w:pPr>
      <w:r>
        <w:rPr>
          <w:b/>
          <w:i w:val="0"/>
          <w:color w:val="1A1F2B"/>
          <w:sz w:val="21"/>
        </w:rPr>
        <w:t xml:space="preserve">Live prototype: </w:t>
      </w:r>
      <w:r>
        <w:rPr>
          <w:rFonts w:ascii="Consolas" w:hAnsi="Consolas"/>
          <w:b w:val="0"/>
          <w:i w:val="0"/>
          <w:color w:val="0B5FA5"/>
          <w:sz w:val="20"/>
        </w:rPr>
        <w:t>https://8000-i9u0fjkr9b6mijyftzlkg-8f57ffe2.sandbox.novita.ai</w:t>
      </w:r>
    </w:p>
    <w:p>
      <w:pPr>
        <w:spacing w:after="40"/>
      </w:pPr>
      <w:r>
        <w:rPr>
          <w:b/>
          <w:i w:val="0"/>
          <w:color w:val="1A1F2B"/>
          <w:sz w:val="21"/>
        </w:rPr>
        <w:t xml:space="preserve">Repository: </w:t>
      </w:r>
      <w:r>
        <w:rPr>
          <w:rFonts w:ascii="Consolas" w:hAnsi="Consolas"/>
          <w:b w:val="0"/>
          <w:i w:val="0"/>
          <w:color w:val="0B5FA5"/>
          <w:sz w:val="20"/>
        </w:rPr>
        <w:t>https://github.com/RajvardhanPatil07/adversarial-payment-arena</w:t>
      </w:r>
    </w:p>
    <w:p>
      <w:pPr>
        <w:spacing w:after="120"/>
      </w:pPr>
      <w:r>
        <w:rPr>
          <w:b w:val="0"/>
          <w:i w:val="0"/>
          <w:color w:val="5A6373"/>
          <w:sz w:val="18"/>
        </w:rPr>
        <w:t xml:space="preserve">Built from git </w:t>
      </w:r>
      <w:r>
        <w:rPr>
          <w:rFonts w:ascii="Consolas" w:hAnsi="Consolas"/>
          <w:b w:val="0"/>
          <w:i w:val="0"/>
          <w:color w:val="5A6373"/>
          <w:sz w:val="17"/>
        </w:rPr>
        <w:t>cd9add9</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0B5FA5"/>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A1F2B"/>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A1F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