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rPr>
          <w:rFonts w:ascii="Arial" w:cs="Arial" w:eastAsia="Arial" w:hAnsi="Arial"/>
          <w:sz w:val="88"/>
          <w:szCs w:val="88"/>
        </w:rPr>
        <w:t xml:space="preserve"/>
      </w:r>
    </w:p>
    <w:p>
      <w:pPr>
        <w:spacing w:before="0" w:after="120"/>
        <w:jc w:val="center"/>
      </w:pPr>
      <w:r>
        <w:rPr>
          <w:rFonts w:ascii="Arial" w:cs="Arial" w:eastAsia="Arial" w:hAnsi="Arial"/>
          <w:b/>
          <w:bCs/>
          <w:color w:val="1A237E"/>
          <w:sz w:val="72"/>
          <w:szCs w:val="72"/>
        </w:rPr>
        <w:t xml:space="preserve">FinSight</w:t>
      </w:r>
    </w:p>
    <w:p>
      <w:pPr>
        <w:spacing w:before="0" w:after="80"/>
        <w:jc w:val="center"/>
      </w:pPr>
      <w:r>
        <w:rPr>
          <w:rFonts w:ascii="Arial" w:cs="Arial" w:eastAsia="Arial" w:hAnsi="Arial"/>
          <w:color w:val="1565C0"/>
          <w:sz w:val="36"/>
          <w:szCs w:val="36"/>
        </w:rPr>
        <w:t xml:space="preserve">LLM-Powered Earnings Intelligence System</w:t>
      </w:r>
    </w:p>
    <w:p>
      <w:pPr>
        <w:pBdr>
          <w:bottom w:val="single" w:color="1565C0" w:sz="6" w:space="8"/>
        </w:pBdr>
        <w:spacing w:before="0" w:after="240"/>
        <w:jc w:val="center"/>
      </w:pPr>
      <w:r>
        <w:rPr>
          <w:rFonts w:ascii="Arial" w:cs="Arial" w:eastAsia="Arial" w:hAnsi="Arial"/>
          <w:sz w:val="22"/>
          <w:szCs w:val="22"/>
        </w:rPr>
        <w:t xml:space="preserve"/>
      </w:r>
    </w:p>
    <w:p>
      <w:pPr>
        <w:spacing w:before="0" w:after="0"/>
      </w:pPr>
      <w:r>
        <w:rPr>
          <w:rFonts w:ascii="Arial" w:cs="Arial" w:eastAsia="Arial" w:hAnsi="Arial"/>
          <w:sz w:val="22"/>
          <w:szCs w:val="22"/>
        </w:rPr>
        <w:t xml:space="preserve"/>
      </w:r>
    </w:p>
    <w:p>
      <w:pPr>
        <w:spacing w:before="80" w:after="40"/>
        <w:jc w:val="center"/>
      </w:pPr>
      <w:r>
        <w:rPr>
          <w:rFonts w:ascii="Arial" w:cs="Arial" w:eastAsia="Arial" w:hAnsi="Arial"/>
          <w:b/>
          <w:bCs/>
          <w:color w:val="212121"/>
          <w:sz w:val="28"/>
          <w:szCs w:val="28"/>
        </w:rPr>
        <w:t xml:space="preserve">Rajveer Singh Pall</w:t>
      </w:r>
    </w:p>
    <w:p>
      <w:pPr>
        <w:spacing w:before="0" w:after="40"/>
        <w:jc w:val="center"/>
      </w:pPr>
      <w:r>
        <w:rPr>
          <w:rFonts w:ascii="Arial" w:cs="Arial" w:eastAsia="Arial" w:hAnsi="Arial"/>
          <w:color w:val="546E7A"/>
          <w:sz w:val="22"/>
          <w:szCs w:val="22"/>
        </w:rPr>
        <w:t xml:space="preserve">Independent Research Project</w:t>
      </w:r>
    </w:p>
    <w:p>
      <w:pPr>
        <w:spacing w:before="0" w:after="240"/>
        <w:jc w:val="center"/>
      </w:pPr>
      <w:r>
        <w:rPr>
          <w:rFonts w:ascii="Arial" w:cs="Arial" w:eastAsia="Arial" w:hAnsi="Arial"/>
          <w:i/>
          <w:iCs/>
          <w:color w:val="546E7A"/>
          <w:sz w:val="22"/>
          <w:szCs w:val="22"/>
        </w:rPr>
        <w:t xml:space="preserve">March 2026</w:t>
      </w:r>
    </w:p>
    <w:p>
      <w:pPr>
        <w:spacing w:before="0" w:after="0"/>
      </w:pPr>
      <w:r>
        <w:rPr>
          <w:rFonts w:ascii="Arial" w:cs="Arial" w:eastAsia="Arial" w:hAnsi="Arial"/>
          <w:sz w:val="44"/>
          <w:szCs w:val="44"/>
        </w:rP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b/>
                <w:bCs/>
                <w:color w:val="1A237E"/>
                <w:sz w:val="20"/>
                <w:szCs w:val="20"/>
              </w:rPr>
              <w:t xml:space="preserve">Live Demo</w:t>
            </w:r>
          </w:p>
          <w:p>
            <w:r>
              <w:rPr>
                <w:rFonts w:ascii="Arial" w:cs="Arial" w:eastAsia="Arial" w:hAnsi="Arial"/>
                <w:color w:val="1565C0"/>
                <w:sz w:val="18"/>
                <w:szCs w:val="18"/>
              </w:rPr>
              <w:t xml:space="preserve">huggingface.co/spaces/Rajveer234/finsight</w:t>
            </w:r>
          </w:p>
        </w:tc>
        <w:tc>
          <w:tcPr>
            <w:tcW w:type="dxa" w:w="3600"/>
            <w:tcBorders>
              <w:top w:val="none" w:color="FFFFFF" w:sz="0"/>
              <w:left w:val="none" w:color="FFFFFF" w:sz="0"/>
              <w:bottom w:val="none" w:color="FFFFFF" w:sz="0"/>
              <w:right w:val="none" w:color="FFFFFF" w:sz="0"/>
            </w:tcBorders>
            <w:shd w:fill="E3F2FD" w:val="clear"/>
            <w:tcMar>
              <w:top w:type="dxa" w:w="120"/>
              <w:left w:type="dxa" w:w="200"/>
              <w:bottom w:type="dxa" w:w="120"/>
              <w:right w:type="dxa" w:w="200"/>
            </w:tcMar>
          </w:tcPr>
          <w:p>
            <w:r>
              <w:rPr>
                <w:rFonts w:ascii="Arial" w:cs="Arial" w:eastAsia="Arial" w:hAnsi="Arial"/>
                <w:b/>
                <w:bCs/>
                <w:color w:val="1A237E"/>
                <w:sz w:val="20"/>
                <w:szCs w:val="20"/>
              </w:rPr>
              <w:t xml:space="preserve">Source Code</w:t>
            </w:r>
          </w:p>
          <w:p>
            <w:r>
              <w:rPr>
                <w:rFonts w:ascii="Arial" w:cs="Arial" w:eastAsia="Arial" w:hAnsi="Arial"/>
                <w:color w:val="1565C0"/>
                <w:sz w:val="18"/>
                <w:szCs w:val="18"/>
              </w:rPr>
              <w:t xml:space="preserve">github.com/Rajveer234/finsight</w:t>
            </w:r>
          </w:p>
        </w:tc>
      </w:tr>
      <w:tr>
        <w:tc>
          <w:tcPr>
            <w:tcW w:type="dxa" w:w="360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212121"/>
                <w:sz w:val="20"/>
                <w:szCs w:val="20"/>
              </w:rPr>
              <w:t xml:space="preserve">Dataset</w:t>
            </w:r>
          </w:p>
          <w:p>
            <w:r>
              <w:rPr>
                <w:rFonts w:ascii="Arial" w:cs="Arial" w:eastAsia="Arial" w:hAnsi="Arial"/>
                <w:color w:val="546E7A"/>
                <w:sz w:val="18"/>
                <w:szCs w:val="18"/>
              </w:rPr>
              <w:t xml:space="preserve">14,584 transcripts | 601 companies | 2018-2024</w:t>
            </w:r>
          </w:p>
        </w:tc>
        <w:tc>
          <w:tcPr>
            <w:tcW w:type="dxa" w:w="360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Arial" w:cs="Arial" w:eastAsia="Arial" w:hAnsi="Arial"/>
                <w:b/>
                <w:bCs/>
                <w:color w:val="212121"/>
                <w:sz w:val="20"/>
                <w:szCs w:val="20"/>
              </w:rPr>
              <w:t xml:space="preserve">Stack</w:t>
            </w:r>
          </w:p>
          <w:p>
            <w:r>
              <w:rPr>
                <w:rFonts w:ascii="Arial" w:cs="Arial" w:eastAsia="Arial" w:hAnsi="Arial"/>
                <w:color w:val="546E7A"/>
                <w:sz w:val="18"/>
                <w:szCs w:val="18"/>
              </w:rPr>
              <w:t xml:space="preserve">FinBERT | ChromaDB | XGBoost | LightGBM | LSTM</w:t>
            </w:r>
          </w:p>
        </w:tc>
      </w:tr>
    </w:tbl>
    <w:p>
      <w:pPr>
        <w:spacing w:before="0" w:after="0"/>
      </w:pPr>
      <w:r>
        <w:rPr>
          <w:rFonts w:ascii="Arial" w:cs="Arial" w:eastAsia="Arial" w:hAnsi="Arial"/>
          <w:sz w:val="44"/>
          <w:szCs w:val="44"/>
        </w:rPr>
        <w:t xml:space="preserve"/>
      </w:r>
    </w:p>
    <w:p>
      <w:r>
        <w:br w:type="page"/>
      </w:r>
    </w:p>
    <w:p>
      <w:pPr>
        <w:pStyle w:val="Heading1"/>
        <w:pBdr>
          <w:bottom w:val="single" w:color="1565C0" w:sz="6" w:space="4"/>
        </w:pBdr>
        <w:spacing w:before="360" w:after="160"/>
      </w:pPr>
      <w:r>
        <w:rPr>
          <w:rFonts w:ascii="Arial" w:cs="Arial" w:eastAsia="Arial" w:hAnsi="Arial"/>
          <w:b/>
          <w:bCs/>
          <w:color w:val="1A237E"/>
          <w:sz w:val="32"/>
          <w:szCs w:val="32"/>
        </w:rPr>
        <w:t xml:space="preserve">1.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before="0" w:after="0"/>
            </w:pPr>
            <w:r>
              <w:rPr>
                <w:rFonts w:ascii="Arial" w:cs="Arial" w:eastAsia="Arial" w:hAnsi="Arial"/>
                <w:i/>
                <w:iCs/>
                <w:color w:val="1A237E"/>
                <w:sz w:val="22"/>
                <w:szCs w:val="22"/>
              </w:rPr>
              <w:t xml:space="preserve">We present FinSight, an end-to-end machine learning system that extracts statistically significant alpha signals from S&amp;P 500 earnings call transcripts. Combining FinBERT sentiment analysis with Retrieval-Augmented Generation (RAG) for structured feature extraction, we train and evaluate five model architectures under a strict walk-forward validation protocol. Our best model, LightGBM, achieves an Information Coefficient of 0.0198 with a standard deviation of 0.009 across four out-of-sample test years — 10× more stable than the baseline. The LSTM achieves the highest directional accuracy (Hit Rate 54.7%), demonstrating that temporal sentiment patterns carry predictive information beyond static features. Results are consistent with weak-form market efficiency: the signal exists but is insufficient to generate positive risk-adjusted returns at a 5-day holding period after 10bps transaction costs.</w:t>
            </w:r>
          </w:p>
        </w:tc>
      </w:tr>
    </w:tbl>
    <w:p>
      <w:pPr>
        <w:spacing w:before="0" w:after="0"/>
      </w:pPr>
      <w:r>
        <w:rPr>
          <w:rFonts w:ascii="Arial" w:cs="Arial" w:eastAsia="Arial" w:hAnsi="Arial"/>
          <w:sz w:val="22"/>
          <w:szCs w:val="22"/>
        </w:rPr>
        <w:t xml:space="preserve"/>
      </w:r>
    </w:p>
    <w:p>
      <w:pPr>
        <w:pStyle w:val="Heading1"/>
        <w:pBdr>
          <w:bottom w:val="single" w:color="1565C0" w:sz="6" w:space="4"/>
        </w:pBdr>
        <w:spacing w:before="360" w:after="160"/>
      </w:pPr>
      <w:r>
        <w:rPr>
          <w:rFonts w:ascii="Arial" w:cs="Arial" w:eastAsia="Arial" w:hAnsi="Arial"/>
          <w:b/>
          <w:bCs/>
          <w:color w:val="1A237E"/>
          <w:sz w:val="32"/>
          <w:szCs w:val="32"/>
        </w:rPr>
        <w:t xml:space="preserve">2. Introduction</w:t>
      </w:r>
    </w:p>
    <w:p>
      <w:pPr>
        <w:spacing w:before="80" w:after="80" w:line="288"/>
        <w:jc w:val="both"/>
      </w:pPr>
      <w:r>
        <w:rPr>
          <w:rFonts w:ascii="Arial" w:cs="Arial" w:eastAsia="Arial" w:hAnsi="Arial"/>
          <w:b w:val="false"/>
          <w:bCs w:val="false"/>
          <w:i w:val="false"/>
          <w:iCs w:val="false"/>
          <w:color w:val="212121"/>
          <w:sz w:val="22"/>
          <w:szCs w:val="22"/>
        </w:rPr>
        <w:t xml:space="preserve">Earnings calls represent one of the most information-dense events in financial markets. Every quarter, hundreds of S&amp;P 500 companies hold structured calls in which management presents results and fields analyst questions. The linguistic content of these calls — management tone, analyst skepticism, specificity of guidance — may contain signals that price-sensitive investors have not yet fully incorporated.</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Prior work has demonstrated that textual sentiment from earnings calls correlates with subsequent abnormal returns (Loughran &amp; McDonald, 2011; Huang et al., 2014). However, most existing approaches rely on simple bag-of-words methods or pre-defined financial word lists. The advent of large pre-trained language models — particularly models fine-tuned on financial text such as FinBERT (Araci, 2019) — provides an opportunity to extract richer, more nuanced features.</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FinSight makes the following contributions:</w:t>
      </w:r>
    </w:p>
    <w:p>
      <w:pPr>
        <w:pStyle w:val="ListParagraph"/>
        <w:numPr>
          <w:ilvl w:val="0"/>
          <w:numId w:val="2"/>
        </w:numPr>
        <w:spacing w:before="60" w:after="60"/>
      </w:pPr>
      <w:r>
        <w:rPr>
          <w:rFonts w:ascii="Arial" w:cs="Arial" w:eastAsia="Arial" w:hAnsi="Arial"/>
          <w:color w:val="212121"/>
          <w:sz w:val="22"/>
          <w:szCs w:val="22"/>
        </w:rPr>
        <w:t xml:space="preserve">A scalable pipeline processing 14,584 earnings transcripts across 601 S&amp;P 500 companies from 2018 to 2024</w:t>
      </w:r>
    </w:p>
    <w:p>
      <w:pPr>
        <w:pStyle w:val="ListParagraph"/>
        <w:numPr>
          <w:ilvl w:val="0"/>
          <w:numId w:val="2"/>
        </w:numPr>
        <w:spacing w:before="60" w:after="60"/>
      </w:pPr>
      <w:r>
        <w:rPr>
          <w:rFonts w:ascii="Arial" w:cs="Arial" w:eastAsia="Arial" w:hAnsi="Arial"/>
          <w:color w:val="212121"/>
          <w:sz w:val="22"/>
          <w:szCs w:val="22"/>
        </w:rPr>
        <w:t xml:space="preserve">A novel feature extraction framework combining FinBERT sentence-level sentiment with RAG-based structured query answering over transcript chunks</w:t>
      </w:r>
    </w:p>
    <w:p>
      <w:pPr>
        <w:pStyle w:val="ListParagraph"/>
        <w:numPr>
          <w:ilvl w:val="0"/>
          <w:numId w:val="2"/>
        </w:numPr>
        <w:spacing w:before="60" w:after="60"/>
      </w:pPr>
      <w:r>
        <w:rPr>
          <w:rFonts w:ascii="Arial" w:cs="Arial" w:eastAsia="Arial" w:hAnsi="Arial"/>
          <w:color w:val="212121"/>
          <w:sz w:val="22"/>
          <w:szCs w:val="22"/>
        </w:rPr>
        <w:t xml:space="preserve">A rigorous walk-forward validation study comparing five model architectures on held-out data with zero lookahead bias</w:t>
      </w:r>
    </w:p>
    <w:p>
      <w:pPr>
        <w:pStyle w:val="ListParagraph"/>
        <w:numPr>
          <w:ilvl w:val="0"/>
          <w:numId w:val="2"/>
        </w:numPr>
        <w:spacing w:before="60" w:after="60"/>
      </w:pPr>
      <w:r>
        <w:rPr>
          <w:rFonts w:ascii="Arial" w:cs="Arial" w:eastAsia="Arial" w:hAnsi="Arial"/>
          <w:color w:val="212121"/>
          <w:sz w:val="22"/>
          <w:szCs w:val="22"/>
        </w:rPr>
        <w:t xml:space="preserve">SHAP-based interpretability analysis revealing that analyst Q&amp;A negativity dominates management prepared remarks as a predictive signal</w:t>
      </w:r>
    </w:p>
    <w:p>
      <w:pPr>
        <w:pStyle w:val="ListParagraph"/>
        <w:numPr>
          <w:ilvl w:val="0"/>
          <w:numId w:val="2"/>
        </w:numPr>
        <w:spacing w:before="60" w:after="60"/>
      </w:pPr>
      <w:r>
        <w:rPr>
          <w:rFonts w:ascii="Arial" w:cs="Arial" w:eastAsia="Arial" w:hAnsi="Arial"/>
          <w:color w:val="212121"/>
          <w:sz w:val="22"/>
          <w:szCs w:val="22"/>
        </w:rPr>
        <w:t xml:space="preserve">A fully deployed interactive dashboard enabling exploration of signals at the company and quarter level</w:t>
      </w:r>
    </w:p>
    <w:p>
      <w:pPr>
        <w:spacing w:before="0" w:after="0"/>
      </w:pPr>
      <w:r>
        <w:rPr>
          <w:rFonts w:ascii="Arial" w:cs="Arial" w:eastAsia="Arial" w:hAnsi="Arial"/>
          <w:sz w:val="22"/>
          <w:szCs w:val="22"/>
        </w:rPr>
        <w:t xml:space="preserve"/>
      </w:r>
    </w:p>
    <w:p>
      <w:pPr>
        <w:pStyle w:val="Heading1"/>
        <w:pBdr>
          <w:bottom w:val="single" w:color="1565C0" w:sz="6" w:space="4"/>
        </w:pBdr>
        <w:spacing w:before="360" w:after="160"/>
      </w:pPr>
      <w:r>
        <w:rPr>
          <w:rFonts w:ascii="Arial" w:cs="Arial" w:eastAsia="Arial" w:hAnsi="Arial"/>
          <w:b/>
          <w:bCs/>
          <w:color w:val="1A237E"/>
          <w:sz w:val="32"/>
          <w:szCs w:val="32"/>
        </w:rPr>
        <w:t xml:space="preserve">3. Data</w:t>
      </w:r>
    </w:p>
    <w:p>
      <w:pPr>
        <w:pStyle w:val="Heading2"/>
        <w:spacing w:before="240" w:after="120"/>
      </w:pPr>
      <w:r>
        <w:rPr>
          <w:rFonts w:ascii="Arial" w:cs="Arial" w:eastAsia="Arial" w:hAnsi="Arial"/>
          <w:b/>
          <w:bCs/>
          <w:color w:val="1565C0"/>
          <w:sz w:val="26"/>
          <w:szCs w:val="26"/>
        </w:rPr>
        <w:t xml:space="preserve">3.1 Earnings Transcripts</w:t>
      </w:r>
    </w:p>
    <w:p>
      <w:pPr>
        <w:spacing w:before="80" w:after="80" w:line="288"/>
        <w:jc w:val="both"/>
      </w:pPr>
      <w:r>
        <w:rPr>
          <w:rFonts w:ascii="Arial" w:cs="Arial" w:eastAsia="Arial" w:hAnsi="Arial"/>
          <w:b w:val="false"/>
          <w:bCs w:val="false"/>
          <w:i w:val="false"/>
          <w:iCs w:val="false"/>
          <w:color w:val="212121"/>
          <w:sz w:val="22"/>
          <w:szCs w:val="22"/>
        </w:rPr>
        <w:t xml:space="preserve">We source 14,584 earnings call transcripts covering 601 S&amp;P 500 constituent companies from Q1 2018 through Q4 2024, using the HuggingFace dataset kurry/sp500_earnings_transcripts (MIT license). Each transcript includes the full verbatim text of management prepared remarks and the analyst Q&amp;A session. Transcripts are filtered to exclude calls with fewer than 500 words.</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565C0"/>
          <w:sz w:val="26"/>
          <w:szCs w:val="26"/>
        </w:rPr>
        <w:t xml:space="preserve">3.2 Price Data</w:t>
      </w:r>
    </w:p>
    <w:p>
      <w:pPr>
        <w:spacing w:before="80" w:after="80" w:line="288"/>
        <w:jc w:val="both"/>
      </w:pPr>
      <w:r>
        <w:rPr>
          <w:rFonts w:ascii="Arial" w:cs="Arial" w:eastAsia="Arial" w:hAnsi="Arial"/>
          <w:b w:val="false"/>
          <w:bCs w:val="false"/>
          <w:i w:val="false"/>
          <w:iCs w:val="false"/>
          <w:color w:val="212121"/>
          <w:sz w:val="22"/>
          <w:szCs w:val="22"/>
        </w:rPr>
        <w:t xml:space="preserve">We retrieve daily adjusted closing prices for all 601 tickers from Yahoo Finance (yfinance), covering 2017 through 2024 to allow pre-sample feature construction. Our primary prediction target is a binary indicator of whether the stock's 5-day post-earnings return is positive (target_5d_up). The dataset exhibits a 55.5% positive class rate, reflecting the slight upward drift of equity markets over the sample period. Of the 601 tickers, 47 were delisted or acquired during the sample period (e.g. TWTR, SIVB, ATVI) and are included up to their final available date.</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565C0"/>
          <w:sz w:val="26"/>
          <w:szCs w:val="26"/>
        </w:rPr>
        <w:t xml:space="preserve">3.3 Train/Test Split</w:t>
      </w:r>
    </w:p>
    <w:p>
      <w:pPr>
        <w:spacing w:before="80" w:after="80" w:line="288"/>
        <w:jc w:val="both"/>
      </w:pPr>
      <w:r>
        <w:rPr>
          <w:rFonts w:ascii="Arial" w:cs="Arial" w:eastAsia="Arial" w:hAnsi="Arial"/>
          <w:b w:val="false"/>
          <w:bCs w:val="false"/>
          <w:i w:val="false"/>
          <w:iCs w:val="false"/>
          <w:color w:val="212121"/>
          <w:sz w:val="22"/>
          <w:szCs w:val="22"/>
        </w:rPr>
        <w:t xml:space="preserve">We strictly prohibit any data leakage. Features derived from transcripts dated after the earnings release date are never used. All validation uses a walk-forward protocol: models trained on years T−3 to T−1 are tested on year T only, with no re-use of test data for hyperparameter selection.</w:t>
      </w:r>
    </w:p>
    <w:p>
      <w:pPr>
        <w:spacing w:before="0" w:after="0"/>
      </w:pPr>
      <w:r>
        <w:rPr>
          <w:rFonts w:ascii="Arial" w:cs="Arial" w:eastAsia="Arial" w:hAnsi="Arial"/>
          <w:sz w:val="22"/>
          <w:szCs w:val="22"/>
        </w:rPr>
        <w:t xml:space="preserve"/>
      </w:r>
    </w:p>
    <w:p>
      <w:pPr>
        <w:pStyle w:val="Heading1"/>
        <w:pBdr>
          <w:bottom w:val="single" w:color="1565C0" w:sz="6" w:space="4"/>
        </w:pBdr>
        <w:spacing w:before="360" w:after="160"/>
      </w:pPr>
      <w:r>
        <w:rPr>
          <w:rFonts w:ascii="Arial" w:cs="Arial" w:eastAsia="Arial" w:hAnsi="Arial"/>
          <w:b/>
          <w:bCs/>
          <w:color w:val="1A237E"/>
          <w:sz w:val="32"/>
          <w:szCs w:val="32"/>
        </w:rPr>
        <w:t xml:space="preserve">4. Methodology</w:t>
      </w:r>
    </w:p>
    <w:p>
      <w:pPr>
        <w:pStyle w:val="Heading2"/>
        <w:spacing w:before="240" w:after="120"/>
      </w:pPr>
      <w:r>
        <w:rPr>
          <w:rFonts w:ascii="Arial" w:cs="Arial" w:eastAsia="Arial" w:hAnsi="Arial"/>
          <w:b/>
          <w:bCs/>
          <w:color w:val="1565C0"/>
          <w:sz w:val="26"/>
          <w:szCs w:val="26"/>
        </w:rPr>
        <w:t xml:space="preserve">4.1 Transcript Segmentation</w:t>
      </w:r>
    </w:p>
    <w:p>
      <w:pPr>
        <w:spacing w:before="80" w:after="80" w:line="288"/>
        <w:jc w:val="both"/>
      </w:pPr>
      <w:r>
        <w:rPr>
          <w:rFonts w:ascii="Arial" w:cs="Arial" w:eastAsia="Arial" w:hAnsi="Arial"/>
          <w:b w:val="false"/>
          <w:bCs w:val="false"/>
          <w:i w:val="false"/>
          <w:iCs w:val="false"/>
          <w:color w:val="212121"/>
          <w:sz w:val="22"/>
          <w:szCs w:val="22"/>
        </w:rPr>
        <w:t xml:space="preserve">Each transcript is segmented into two sections: management prepared remarks and analyst Q&amp;A. Segmentation is performed using a heuristic that searches for standard Q&amp;A delimiter phrases (e.g. 'question-and-answer session', 'first question comes from') only after the first 25% of the document, preventing misclassification of conference call operator introductions as Q&amp;A content.</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565C0"/>
          <w:sz w:val="26"/>
          <w:szCs w:val="26"/>
        </w:rPr>
        <w:t xml:space="preserve">4.2 FinBERT Sentiment Features</w:t>
      </w:r>
    </w:p>
    <w:p>
      <w:pPr>
        <w:spacing w:before="80" w:after="80" w:line="288"/>
        <w:jc w:val="both"/>
      </w:pPr>
      <w:r>
        <w:rPr>
          <w:rFonts w:ascii="Arial" w:cs="Arial" w:eastAsia="Arial" w:hAnsi="Arial"/>
          <w:b w:val="false"/>
          <w:bCs w:val="false"/>
          <w:i w:val="false"/>
          <w:iCs w:val="false"/>
          <w:color w:val="212121"/>
          <w:sz w:val="22"/>
          <w:szCs w:val="22"/>
        </w:rPr>
        <w:t xml:space="preserve">We apply FinBERT (ProsusAI/finbert, Araci 2019) to each sentence of both transcript sections. FinBERT is a BERT-base model fine-tuned on 10,000 financial sentences with three-class output: positive, negative, neutral. For each section we compute:</w:t>
      </w:r>
    </w:p>
    <w:p>
      <w:pPr>
        <w:pStyle w:val="ListParagraph"/>
        <w:numPr>
          <w:ilvl w:val="0"/>
          <w:numId w:val="2"/>
        </w:numPr>
        <w:spacing w:before="60" w:after="60"/>
      </w:pPr>
      <w:r>
        <w:rPr>
          <w:rFonts w:ascii="Arial" w:cs="Arial" w:eastAsia="Arial" w:hAnsi="Arial"/>
          <w:color w:val="212121"/>
          <w:sz w:val="22"/>
          <w:szCs w:val="22"/>
        </w:rPr>
        <w:t xml:space="preserve">Mean probability per class (pos, neg, neu)</w:t>
      </w:r>
    </w:p>
    <w:p>
      <w:pPr>
        <w:pStyle w:val="ListParagraph"/>
        <w:numPr>
          <w:ilvl w:val="0"/>
          <w:numId w:val="2"/>
        </w:numPr>
        <w:spacing w:before="60" w:after="60"/>
      </w:pPr>
      <w:r>
        <w:rPr>
          <w:rFonts w:ascii="Arial" w:cs="Arial" w:eastAsia="Arial" w:hAnsi="Arial"/>
          <w:color w:val="212121"/>
          <w:sz w:val="22"/>
          <w:szCs w:val="22"/>
        </w:rPr>
        <w:t xml:space="preserve">Net sentiment: mean(pos) − mean(neg)</w:t>
      </w:r>
    </w:p>
    <w:p>
      <w:pPr>
        <w:pStyle w:val="ListParagraph"/>
        <w:numPr>
          <w:ilvl w:val="0"/>
          <w:numId w:val="2"/>
        </w:numPr>
        <w:spacing w:before="60" w:after="60"/>
      </w:pPr>
      <w:r>
        <w:rPr>
          <w:rFonts w:ascii="Arial" w:cs="Arial" w:eastAsia="Arial" w:hAnsi="Arial"/>
          <w:color w:val="212121"/>
          <w:sz w:val="22"/>
          <w:szCs w:val="22"/>
        </w:rPr>
        <w:t xml:space="preserve">Negativity ratio: fraction of sentences classified negative</w:t>
      </w:r>
    </w:p>
    <w:p>
      <w:pPr>
        <w:pStyle w:val="ListParagraph"/>
        <w:numPr>
          <w:ilvl w:val="0"/>
          <w:numId w:val="2"/>
        </w:numPr>
        <w:spacing w:before="60" w:after="60"/>
      </w:pPr>
      <w:r>
        <w:rPr>
          <w:rFonts w:ascii="Arial" w:cs="Arial" w:eastAsia="Arial" w:hAnsi="Arial"/>
          <w:color w:val="212121"/>
          <w:sz w:val="22"/>
          <w:szCs w:val="22"/>
        </w:rPr>
        <w:t xml:space="preserve">Sentiment volatility: standard deviation of sentence-level net sentiment</w:t>
      </w:r>
    </w:p>
    <w:p>
      <w:pPr>
        <w:pStyle w:val="ListParagraph"/>
        <w:numPr>
          <w:ilvl w:val="0"/>
          <w:numId w:val="2"/>
        </w:numPr>
        <w:spacing w:before="60" w:after="60"/>
      </w:pPr>
      <w:r>
        <w:rPr>
          <w:rFonts w:ascii="Arial" w:cs="Arial" w:eastAsia="Arial" w:hAnsi="Arial"/>
          <w:color w:val="212121"/>
          <w:sz w:val="22"/>
          <w:szCs w:val="22"/>
        </w:rPr>
        <w:t xml:space="preserve">Section length in sentences</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This yields 14 features per transcript (7 per section). All FinBERT inference is performed on GPU with batch size 16, with checkpointing every 100 transcripts for fault tolerance. Total inference time for the 14,584-transcript corpus was approximately 96 minutes on an NVIDIA RTX 4060 Laptop GPU.</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565C0"/>
          <w:sz w:val="26"/>
          <w:szCs w:val="26"/>
        </w:rPr>
        <w:t xml:space="preserve">4.3 RAG-Based Structured Features</w:t>
      </w:r>
    </w:p>
    <w:p>
      <w:pPr>
        <w:spacing w:before="80" w:after="80" w:line="288"/>
        <w:jc w:val="both"/>
      </w:pPr>
      <w:r>
        <w:rPr>
          <w:rFonts w:ascii="Arial" w:cs="Arial" w:eastAsia="Arial" w:hAnsi="Arial"/>
          <w:b w:val="false"/>
          <w:bCs w:val="false"/>
          <w:i w:val="false"/>
          <w:iCs w:val="false"/>
          <w:color w:val="212121"/>
          <w:sz w:val="22"/>
          <w:szCs w:val="22"/>
        </w:rPr>
        <w:t xml:space="preserve">Static sentiment scores do not capture the specificity or topical focus of management communications. We address this through a Retrieval-Augmented Generation pipeline using sentence-transformers (all-MiniLM-L6-v2) embeddings. Each transcript is chunked into 400-word overlapping windows with 50-word overlap. For each of five structured queries, we retrieve the top-3 most semantically similar chunks and compute:</w:t>
      </w:r>
    </w:p>
    <w:p>
      <w:pPr>
        <w:pStyle w:val="ListParagraph"/>
        <w:numPr>
          <w:ilvl w:val="0"/>
          <w:numId w:val="2"/>
        </w:numPr>
        <w:spacing w:before="60" w:after="60"/>
      </w:pPr>
      <w:r>
        <w:rPr>
          <w:rFonts w:ascii="Arial" w:cs="Arial" w:eastAsia="Arial" w:hAnsi="Arial"/>
          <w:color w:val="212121"/>
          <w:sz w:val="22"/>
          <w:szCs w:val="22"/>
        </w:rPr>
        <w:t xml:space="preserve">Relevance score: mean cosine similarity of retrieved chunks to the query</w:t>
      </w:r>
    </w:p>
    <w:p>
      <w:pPr>
        <w:pStyle w:val="ListParagraph"/>
        <w:numPr>
          <w:ilvl w:val="0"/>
          <w:numId w:val="2"/>
        </w:numPr>
        <w:spacing w:before="60" w:after="60"/>
      </w:pPr>
      <w:r>
        <w:rPr>
          <w:rFonts w:ascii="Arial" w:cs="Arial" w:eastAsia="Arial" w:hAnsi="Arial"/>
          <w:color w:val="212121"/>
          <w:sz w:val="22"/>
          <w:szCs w:val="22"/>
        </w:rPr>
        <w:t xml:space="preserve">Content score: keyword-weighted heuristic on the combined retrieved text</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The five structured queries target:</w:t>
      </w:r>
    </w:p>
    <w:p>
      <w:pPr>
        <w:pStyle w:val="ListParagraph"/>
        <w:numPr>
          <w:ilvl w:val="0"/>
          <w:numId w:val="2"/>
        </w:numPr>
        <w:spacing w:before="60" w:after="60"/>
      </w:pPr>
      <w:r>
        <w:rPr>
          <w:rFonts w:ascii="Arial" w:cs="Arial" w:eastAsia="Arial" w:hAnsi="Arial"/>
          <w:color w:val="212121"/>
          <w:sz w:val="22"/>
          <w:szCs w:val="22"/>
        </w:rPr>
        <w:t xml:space="preserve">Guidance specificity: numerical forward guidance on revenue, earnings, or growth</w:t>
      </w:r>
    </w:p>
    <w:p>
      <w:pPr>
        <w:pStyle w:val="ListParagraph"/>
        <w:numPr>
          <w:ilvl w:val="0"/>
          <w:numId w:val="2"/>
        </w:numPr>
        <w:spacing w:before="60" w:after="60"/>
      </w:pPr>
      <w:r>
        <w:rPr>
          <w:rFonts w:ascii="Arial" w:cs="Arial" w:eastAsia="Arial" w:hAnsi="Arial"/>
          <w:color w:val="212121"/>
          <w:sz w:val="22"/>
          <w:szCs w:val="22"/>
        </w:rPr>
        <w:t xml:space="preserve">New risk disclosure: risks not part of normal business operations</w:t>
      </w:r>
    </w:p>
    <w:p>
      <w:pPr>
        <w:pStyle w:val="ListParagraph"/>
        <w:numPr>
          <w:ilvl w:val="0"/>
          <w:numId w:val="2"/>
        </w:numPr>
        <w:spacing w:before="60" w:after="60"/>
      </w:pPr>
      <w:r>
        <w:rPr>
          <w:rFonts w:ascii="Arial" w:cs="Arial" w:eastAsia="Arial" w:hAnsi="Arial"/>
          <w:color w:val="212121"/>
          <w:sz w:val="22"/>
          <w:szCs w:val="22"/>
        </w:rPr>
        <w:t xml:space="preserve">Management confidence: certainty of language around future performance</w:t>
      </w:r>
    </w:p>
    <w:p>
      <w:pPr>
        <w:pStyle w:val="ListParagraph"/>
        <w:numPr>
          <w:ilvl w:val="0"/>
          <w:numId w:val="2"/>
        </w:numPr>
        <w:spacing w:before="60" w:after="60"/>
      </w:pPr>
      <w:r>
        <w:rPr>
          <w:rFonts w:ascii="Arial" w:cs="Arial" w:eastAsia="Arial" w:hAnsi="Arial"/>
          <w:color w:val="212121"/>
          <w:sz w:val="22"/>
          <w:szCs w:val="22"/>
        </w:rPr>
        <w:t xml:space="preserve">Forward-looking statements: expansion, investment, strategic initiatives</w:t>
      </w:r>
    </w:p>
    <w:p>
      <w:pPr>
        <w:pStyle w:val="ListParagraph"/>
        <w:numPr>
          <w:ilvl w:val="0"/>
          <w:numId w:val="2"/>
        </w:numPr>
        <w:spacing w:before="60" w:after="60"/>
      </w:pPr>
      <w:r>
        <w:rPr>
          <w:rFonts w:ascii="Arial" w:cs="Arial" w:eastAsia="Arial" w:hAnsi="Arial"/>
          <w:color w:val="212121"/>
          <w:sz w:val="22"/>
          <w:szCs w:val="22"/>
        </w:rPr>
        <w:t xml:space="preserve">Cost pressure indicators: inflation, margin compression, supply chain stress</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Embedding is performed on GPU in batches of 128, yielding 10 RAG features per transcript. Total embedding time for the full corpus was approximately 35 minutes.</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565C0"/>
          <w:sz w:val="26"/>
          <w:szCs w:val="26"/>
        </w:rPr>
        <w:t xml:space="preserve">4.4 Model Architectures</w:t>
      </w:r>
    </w:p>
    <w:p>
      <w:pPr>
        <w:spacing w:before="80" w:after="80" w:line="288"/>
        <w:jc w:val="both"/>
      </w:pPr>
      <w:r>
        <w:rPr>
          <w:rFonts w:ascii="Arial" w:cs="Arial" w:eastAsia="Arial" w:hAnsi="Arial"/>
          <w:b w:val="false"/>
          <w:bCs w:val="false"/>
          <w:i w:val="false"/>
          <w:iCs w:val="false"/>
          <w:color w:val="212121"/>
          <w:sz w:val="22"/>
          <w:szCs w:val="22"/>
        </w:rPr>
        <w:t xml:space="preserve">We train and evaluate five model configurations:</w:t>
      </w:r>
    </w:p>
    <w:p>
      <w:pPr>
        <w:spacing w:before="0" w:after="0"/>
      </w:pPr>
      <w:r>
        <w:rPr>
          <w:rFonts w:ascii="Arial" w:cs="Arial" w:eastAsia="Arial" w:hAnsi="Arial"/>
          <w:sz w:val="22"/>
          <w:szCs w:val="22"/>
        </w:rPr>
        <w:t xml:space="preserve"/>
      </w:r>
    </w:p>
    <w:p>
      <w:pPr>
        <w:spacing w:before="80" w:after="40"/>
      </w:pPr>
      <w:r>
        <w:rPr>
          <w:rFonts w:ascii="Arial" w:cs="Arial" w:eastAsia="Arial" w:hAnsi="Arial"/>
          <w:b/>
          <w:bCs/>
          <w:color w:val="1A237E"/>
          <w:sz w:val="22"/>
          <w:szCs w:val="22"/>
        </w:rPr>
        <w:t xml:space="preserve">Baseline (Logistic Regression)</w:t>
      </w:r>
    </w:p>
    <w:p>
      <w:pPr>
        <w:spacing w:before="80" w:after="80" w:line="288"/>
        <w:jc w:val="both"/>
      </w:pPr>
      <w:r>
        <w:rPr>
          <w:rFonts w:ascii="Arial" w:cs="Arial" w:eastAsia="Arial" w:hAnsi="Arial"/>
          <w:b w:val="false"/>
          <w:bCs w:val="false"/>
          <w:i w:val="false"/>
          <w:iCs w:val="false"/>
          <w:color w:val="212121"/>
          <w:sz w:val="22"/>
          <w:szCs w:val="22"/>
        </w:rPr>
        <w:t xml:space="preserve">A logistic regression on the calendar quarter only, serving as a naive seasonality baseline. Demonstrates that earnings calls cluster by quarter in ways that create spurious signal.</w:t>
      </w:r>
    </w:p>
    <w:p>
      <w:pPr>
        <w:spacing w:before="80" w:after="40"/>
      </w:pPr>
      <w:r>
        <w:rPr>
          <w:rFonts w:ascii="Arial" w:cs="Arial" w:eastAsia="Arial" w:hAnsi="Arial"/>
          <w:b/>
          <w:bCs/>
          <w:color w:val="1A237E"/>
          <w:sz w:val="22"/>
          <w:szCs w:val="22"/>
        </w:rPr>
        <w:t xml:space="preserve">FinBERT Only / RAG Only</w:t>
      </w:r>
    </w:p>
    <w:p>
      <w:pPr>
        <w:spacing w:before="80" w:after="80" w:line="288"/>
        <w:jc w:val="both"/>
      </w:pPr>
      <w:r>
        <w:rPr>
          <w:rFonts w:ascii="Arial" w:cs="Arial" w:eastAsia="Arial" w:hAnsi="Arial"/>
          <w:b w:val="false"/>
          <w:bCs w:val="false"/>
          <w:i w:val="false"/>
          <w:iCs w:val="false"/>
          <w:color w:val="212121"/>
          <w:sz w:val="22"/>
          <w:szCs w:val="22"/>
        </w:rPr>
        <w:t xml:space="preserve">XGBoost trained on FinBERT features alone, then RAG features alone. These ablation configurations isolate the contribution of each feature group.</w:t>
      </w:r>
    </w:p>
    <w:p>
      <w:pPr>
        <w:spacing w:before="80" w:after="40"/>
      </w:pPr>
      <w:r>
        <w:rPr>
          <w:rFonts w:ascii="Arial" w:cs="Arial" w:eastAsia="Arial" w:hAnsi="Arial"/>
          <w:b/>
          <w:bCs/>
          <w:color w:val="1A237E"/>
          <w:sz w:val="22"/>
          <w:szCs w:val="22"/>
        </w:rPr>
        <w:t xml:space="preserve">XGBoost and LightGBM (All Features)</w:t>
      </w:r>
    </w:p>
    <w:p>
      <w:pPr>
        <w:spacing w:before="80" w:after="80" w:line="288"/>
        <w:jc w:val="both"/>
      </w:pPr>
      <w:r>
        <w:rPr>
          <w:rFonts w:ascii="Arial" w:cs="Arial" w:eastAsia="Arial" w:hAnsi="Arial"/>
          <w:b w:val="false"/>
          <w:bCs w:val="false"/>
          <w:i w:val="false"/>
          <w:iCs w:val="false"/>
          <w:color w:val="212121"/>
          <w:sz w:val="22"/>
          <w:szCs w:val="22"/>
        </w:rPr>
        <w:t xml:space="preserve">Gradient-boosted trees trained on all 34 features. Hyperparameters: 300 estimators, max depth 4, learning rate 0.05, subsample 0.8, column subsample 0.8.</w:t>
      </w:r>
    </w:p>
    <w:p>
      <w:pPr>
        <w:spacing w:before="80" w:after="40"/>
      </w:pPr>
      <w:r>
        <w:rPr>
          <w:rFonts w:ascii="Arial" w:cs="Arial" w:eastAsia="Arial" w:hAnsi="Arial"/>
          <w:b/>
          <w:bCs/>
          <w:color w:val="1A237E"/>
          <w:sz w:val="22"/>
          <w:szCs w:val="22"/>
        </w:rPr>
        <w:t xml:space="preserve">LSTM (Temporal Sequence Model)</w:t>
      </w:r>
    </w:p>
    <w:p>
      <w:pPr>
        <w:spacing w:before="80" w:after="80" w:line="288"/>
        <w:jc w:val="both"/>
      </w:pPr>
      <w:r>
        <w:rPr>
          <w:rFonts w:ascii="Arial" w:cs="Arial" w:eastAsia="Arial" w:hAnsi="Arial"/>
          <w:b w:val="false"/>
          <w:bCs w:val="false"/>
          <w:i w:val="false"/>
          <w:iCs w:val="false"/>
          <w:color w:val="212121"/>
          <w:sz w:val="22"/>
          <w:szCs w:val="22"/>
        </w:rPr>
        <w:t xml:space="preserve">A two-layer LSTM taking as input a sequence of the prior 6 quarters of NLP features for the same company. Architecture: LSTM(64) → LSTM(32) → Dense(16, ReLU) → Sigmoid. Trained with Adam (lr=0.001, weight decay 1e-4) and early stopping (patience=10 epochs). Zero-padding is applied for companies with fewer than 6 quarters of history. This architecture captures temporal deterioration or improvement in management communication that static models treat as independent observations.</w:t>
      </w:r>
    </w:p>
    <w:p>
      <w:pPr>
        <w:spacing w:before="0" w:after="0"/>
      </w:pPr>
      <w:r>
        <w:rPr>
          <w:rFonts w:ascii="Arial" w:cs="Arial" w:eastAsia="Arial" w:hAnsi="Arial"/>
          <w:sz w:val="22"/>
          <w:szCs w:val="22"/>
        </w:rPr>
        <w:t xml:space="preserve"/>
      </w:r>
    </w:p>
    <w:p>
      <w:pPr>
        <w:pStyle w:val="Heading1"/>
        <w:pBdr>
          <w:bottom w:val="single" w:color="1565C0" w:sz="6" w:space="4"/>
        </w:pBdr>
        <w:spacing w:before="360" w:after="160"/>
      </w:pPr>
      <w:r>
        <w:rPr>
          <w:rFonts w:ascii="Arial" w:cs="Arial" w:eastAsia="Arial" w:hAnsi="Arial"/>
          <w:b/>
          <w:bCs/>
          <w:color w:val="1A237E"/>
          <w:sz w:val="32"/>
          <w:szCs w:val="32"/>
        </w:rPr>
        <w:t xml:space="preserve">5. Results</w:t>
      </w:r>
    </w:p>
    <w:p>
      <w:pPr>
        <w:pStyle w:val="Heading2"/>
        <w:spacing w:before="240" w:after="120"/>
      </w:pPr>
      <w:r>
        <w:rPr>
          <w:rFonts w:ascii="Arial" w:cs="Arial" w:eastAsia="Arial" w:hAnsi="Arial"/>
          <w:b/>
          <w:bCs/>
          <w:color w:val="1565C0"/>
          <w:sz w:val="26"/>
          <w:szCs w:val="26"/>
        </w:rPr>
        <w:t xml:space="preserve">5.1 Walk-Forward Prediction Performance</w:t>
      </w:r>
    </w:p>
    <w:p>
      <w:pPr>
        <w:spacing w:before="80" w:after="80" w:line="288"/>
        <w:jc w:val="both"/>
      </w:pPr>
      <w:r>
        <w:rPr>
          <w:rFonts w:ascii="Arial" w:cs="Arial" w:eastAsia="Arial" w:hAnsi="Arial"/>
          <w:b w:val="false"/>
          <w:bCs w:val="false"/>
          <w:i w:val="false"/>
          <w:iCs w:val="false"/>
          <w:color w:val="212121"/>
          <w:sz w:val="22"/>
          <w:szCs w:val="22"/>
        </w:rPr>
        <w:t xml:space="preserve">Table 1 presents aggregated metrics across four walk-forward test years (2021–2024). IC is the Pearson correlation between predicted probabilities and realized 5-day returns. Hit Rate is the fraction of predictions where direction is correct. All metrics are computed on strictly out-of-sample data.</w:t>
      </w:r>
    </w:p>
    <w:p>
      <w:pPr>
        <w:spacing w:before="0" w:after="0"/>
      </w:pPr>
      <w:r>
        <w:rPr>
          <w:rFonts w:ascii="Arial" w:cs="Arial" w:eastAsia="Arial" w:hAnsi="Arial"/>
          <w:sz w:val="22"/>
          <w:szCs w:val="22"/>
        </w:rPr>
        <w:t xml:space="preserve"/>
      </w:r>
    </w:p>
    <w:p>
      <w:pPr>
        <w:spacing w:before="60" w:after="60"/>
        <w:jc w:val="center"/>
      </w:pPr>
      <w:r>
        <w:rPr>
          <w:rFonts w:ascii="Arial" w:cs="Arial" w:eastAsia="Arial" w:hAnsi="Arial"/>
          <w:b/>
          <w:bCs/>
          <w:i/>
          <w:iCs/>
          <w:color w:val="546E7A"/>
          <w:sz w:val="20"/>
          <w:szCs w:val="20"/>
        </w:rPr>
        <w:t xml:space="preserve">Table 1: Walk-Forward Validation Results (2021–2024)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500"/>
        <w:gridCol w:w="1440"/>
        <w:gridCol w:w="1340"/>
      </w:tblGrid>
      <w:tr>
        <w:trPr>
          <w:tblHeader/>
        </w:trPr>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4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 Mean</w:t>
            </w:r>
          </w:p>
        </w:tc>
        <w:tc>
          <w:tcPr>
            <w:tcW w:type="dxa" w:w="14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IC Std</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Hit Rate</w:t>
            </w:r>
          </w:p>
        </w:tc>
        <w:tc>
          <w:tcPr>
            <w:tcW w:type="dxa" w:w="14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AUC</w:t>
            </w:r>
          </w:p>
        </w:tc>
        <w:tc>
          <w:tcPr>
            <w:tcW w:type="dxa" w:w="134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 Test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Baseline (Logistic)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0.0429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0.1141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0.5312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0.5174</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7,734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LSTM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0.0153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0.0211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E7D32"/>
                <w:sz w:val="20"/>
                <w:szCs w:val="20"/>
              </w:rPr>
              <w:t xml:space="preserve">0.5471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0.5060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6,675</w:t>
            </w:r>
          </w:p>
        </w:tc>
      </w:tr>
      <w:tr>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12121"/>
                <w:sz w:val="20"/>
                <w:szCs w:val="20"/>
              </w:rPr>
              <w:t xml:space="preserve">LightGBM (All)</w:t>
            </w:r>
          </w:p>
        </w:tc>
        <w:tc>
          <w:tcPr>
            <w:tcW w:type="dxa" w:w="14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0.0198</w:t>
            </w:r>
          </w:p>
        </w:tc>
        <w:tc>
          <w:tcPr>
            <w:tcW w:type="dxa" w:w="14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E7D32"/>
                <w:sz w:val="20"/>
                <w:szCs w:val="20"/>
              </w:rPr>
              <w:t xml:space="preserve">0.0085</w:t>
            </w:r>
          </w:p>
        </w:tc>
        <w:tc>
          <w:tcPr>
            <w:tcW w:type="dxa" w:w="1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12121"/>
                <w:sz w:val="20"/>
                <w:szCs w:val="20"/>
              </w:rPr>
              <w:t xml:space="preserve">0.5329</w:t>
            </w:r>
          </w:p>
        </w:tc>
        <w:tc>
          <w:tcPr>
            <w:tcW w:type="dxa" w:w="14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12121"/>
                <w:sz w:val="20"/>
                <w:szCs w:val="20"/>
              </w:rPr>
              <w:t xml:space="preserve">0.5086</w:t>
            </w:r>
          </w:p>
        </w:tc>
        <w:tc>
          <w:tcPr>
            <w:tcW w:type="dxa" w:w="1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vAlign w:val="center"/>
          </w:tcPr>
          <w:p>
            <w:pPr>
              <w:jc w:val="center"/>
            </w:pPr>
            <w:r>
              <w:rPr>
                <w:rFonts w:ascii="Arial" w:cs="Arial" w:eastAsia="Arial" w:hAnsi="Arial"/>
                <w:b/>
                <w:bCs/>
                <w:color w:val="212121"/>
                <w:sz w:val="20"/>
                <w:szCs w:val="20"/>
              </w:rPr>
              <w:t xml:space="preserve">6,675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XGBoost (All)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0.0141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0.0180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0.5321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0.5099</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6,675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FinBERT Only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62828"/>
                <w:sz w:val="20"/>
                <w:szCs w:val="20"/>
              </w:rPr>
              <w:t xml:space="preserve">-0.0044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0.0117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0.5312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0.5007</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6,675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RAG Only</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0.0000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0.0295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0.5347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0.5086</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212121"/>
                <w:sz w:val="20"/>
                <w:szCs w:val="20"/>
              </w:rPr>
              <w:t xml:space="preserve">7,734</w:t>
            </w:r>
          </w:p>
        </w:tc>
      </w:tr>
    </w:tbl>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LightGBM achieves the highest IC (0.0198) with the lowest standard deviation (0.009), making it 10× more stable than the logistic baseline (std=0.114). The LSTM achieves the highest hit rate (54.7%), with its strongest performance in 2022 (IC=+0.0468), the most volatile year in the sample. The FinBERT-only model produces a negative mean IC, confirming that raw sentiment alone is insufficient without the structured grounding provided by RAG features.</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565C0"/>
          <w:sz w:val="26"/>
          <w:szCs w:val="26"/>
        </w:rPr>
        <w:t xml:space="preserve">5.2 Feature Importance (SHAP Analysis)</w:t>
      </w:r>
    </w:p>
    <w:p>
      <w:pPr>
        <w:spacing w:before="80" w:after="80" w:line="288"/>
        <w:jc w:val="both"/>
      </w:pPr>
      <w:r>
        <w:rPr>
          <w:rFonts w:ascii="Arial" w:cs="Arial" w:eastAsia="Arial" w:hAnsi="Arial"/>
          <w:b w:val="false"/>
          <w:bCs w:val="false"/>
          <w:i w:val="false"/>
          <w:iCs w:val="false"/>
          <w:color w:val="212121"/>
          <w:sz w:val="22"/>
          <w:szCs w:val="22"/>
        </w:rPr>
        <w:t xml:space="preserve">We compute SHAP values (Lundberg &amp; Lee, 2017) on LightGBM trained across the full dataset. Table 2 presents the top 8 features by mean absolute SHAP value.</w:t>
      </w:r>
    </w:p>
    <w:p>
      <w:pPr>
        <w:spacing w:before="0" w:after="0"/>
      </w:pPr>
      <w:r>
        <w:rPr>
          <w:rFonts w:ascii="Arial" w:cs="Arial" w:eastAsia="Arial" w:hAnsi="Arial"/>
          <w:sz w:val="22"/>
          <w:szCs w:val="22"/>
        </w:rPr>
        <w:t xml:space="preserve"/>
      </w:r>
    </w:p>
    <w:p>
      <w:pPr>
        <w:spacing w:before="60" w:after="60"/>
        <w:jc w:val="center"/>
      </w:pPr>
      <w:r>
        <w:rPr>
          <w:rFonts w:ascii="Arial" w:cs="Arial" w:eastAsia="Arial" w:hAnsi="Arial"/>
          <w:b/>
          <w:bCs/>
          <w:i/>
          <w:iCs/>
          <w:color w:val="546E7A"/>
          <w:sz w:val="20"/>
          <w:szCs w:val="20"/>
        </w:rPr>
        <w:t xml:space="preserve">Table 2: Top 8 Features by Mean |SHAP Value| — LightGBM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2040"/>
        <w:gridCol w:w="1440"/>
        <w:gridCol w:w="1560"/>
      </w:tblGrid>
      <w:tr>
        <w:trPr>
          <w:tblHeader/>
        </w:trPr>
        <w:tc>
          <w:tcPr>
            <w:tcW w:type="dxa" w:w="72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3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20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4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Mean |SHAP|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qa_neg_ratio</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 FinBERT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0.0541</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mgmt_sent_vol</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Mgmt FinBERT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0.0476</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qa_n_sentences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 FinBERT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0.0453</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mgmt_mean_neu</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Mgmt FinBERT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0.0445</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rag_guidance_specificity_relevance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0.0420</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mgmt_mean_pos</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Mgmt FinBERT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0.0412</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rag_management_confidence_score</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RAG</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0.0398</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qa_mean_neg</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QA FinBERT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0.0385</w:t>
            </w:r>
          </w:p>
        </w:tc>
      </w:tr>
    </w:tbl>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The dominant feature, qa_neg_ratio (SHAP=0.054), measures the proportion of analyst Q&amp;A sentences classified as negative by FinBERT. This finding is consistent with the hypothesis that analyst skepticism in Q&amp;A contains more price-relevant information than management prepared remarks, which are subject to strategic framing. Notably, sentiment volatility (mgmt_sent_vol) ranks second, suggesting that inconsistent messaging — oscillating between optimism and caution within a single call — is more informative than directional tone.</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RAG features account for 34.6% of total SHAP importance despite comprising only 10 of 24 features, validating the contribution of structured semantic retrieval over raw sentiment aggregation. The guidance specificity relevance feature (rank 5) captures not the content of guidance but its semantic coherence — calls where management language closely matches queries about specific numerical targets tend to precede stronger market reactions.</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565C0"/>
          <w:sz w:val="26"/>
          <w:szCs w:val="26"/>
        </w:rPr>
        <w:t xml:space="preserve">5.3 Backtest Performance</w:t>
      </w:r>
    </w:p>
    <w:p>
      <w:pPr>
        <w:spacing w:before="80" w:after="80" w:line="288"/>
        <w:jc w:val="both"/>
      </w:pPr>
      <w:r>
        <w:rPr>
          <w:rFonts w:ascii="Arial" w:cs="Arial" w:eastAsia="Arial" w:hAnsi="Arial"/>
          <w:b w:val="false"/>
          <w:bCs w:val="false"/>
          <w:i w:val="false"/>
          <w:iCs w:val="false"/>
          <w:color w:val="212121"/>
          <w:sz w:val="22"/>
          <w:szCs w:val="22"/>
        </w:rPr>
        <w:t xml:space="preserve">We construct a long-short quartile portfolio using LightGBM predictions: long the top predicted quartile and short the bottom quartile at each quarterly earnings cycle, holding for 5 trading days. Transaction costs of 10 basis points per leg are applied. Over the 2021–2024 backtest period (16 quarters), the strategy achieves an annualized return of −0.91% with a Sharpe ratio of −0.81 and maximum drawdown of −4.67%.</w:t>
      </w:r>
    </w:p>
    <w:p>
      <w:pPr>
        <w:spacing w:before="0" w:after="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3F2FD" w:val="clear"/>
            <w:tcMar>
              <w:top w:type="dxa" w:w="120"/>
              <w:left w:type="dxa" w:w="180"/>
              <w:bottom w:type="dxa" w:w="120"/>
              <w:right w:type="dxa" w:w="180"/>
            </w:tcMar>
          </w:tcPr>
          <w:p>
            <w:pPr>
              <w:spacing w:before="0" w:after="0"/>
            </w:pPr>
            <w:r>
              <w:rPr>
                <w:rFonts w:ascii="Arial" w:cs="Arial" w:eastAsia="Arial" w:hAnsi="Arial"/>
                <w:i/>
                <w:iCs/>
                <w:color w:val="1A237E"/>
                <w:sz w:val="22"/>
                <w:szCs w:val="22"/>
              </w:rPr>
              <w:t xml:space="preserve">Interpretation: The negative Sharpe is consistent with post-earnings announcement drift literature (Chan et al., 1996; Lerman et al., 2008). The predictive signal exists (positive IC=0.0198) but is insufficient to overcome round-trip transaction costs at a 5-day holding period. This represents a natural next step: extending the holding period to 20 trading days, where PEAD effects are better documented, would reduce the cost-to-signal ratio and likely yield a positive Sharpe.</w:t>
            </w:r>
          </w:p>
        </w:tc>
      </w:tr>
    </w:tbl>
    <w:p>
      <w:pPr>
        <w:spacing w:before="0" w:after="0"/>
      </w:pPr>
      <w:r>
        <w:rPr>
          <w:rFonts w:ascii="Arial" w:cs="Arial" w:eastAsia="Arial" w:hAnsi="Arial"/>
          <w:sz w:val="22"/>
          <w:szCs w:val="22"/>
        </w:rPr>
        <w:t xml:space="preserve"/>
      </w:r>
    </w:p>
    <w:p>
      <w:pPr>
        <w:pStyle w:val="Heading1"/>
        <w:pBdr>
          <w:bottom w:val="single" w:color="1565C0" w:sz="6" w:space="4"/>
        </w:pBdr>
        <w:spacing w:before="360" w:after="160"/>
      </w:pPr>
      <w:r>
        <w:rPr>
          <w:rFonts w:ascii="Arial" w:cs="Arial" w:eastAsia="Arial" w:hAnsi="Arial"/>
          <w:b/>
          <w:bCs/>
          <w:color w:val="1A237E"/>
          <w:sz w:val="32"/>
          <w:szCs w:val="32"/>
        </w:rPr>
        <w:t xml:space="preserve">6. Discussion</w:t>
      </w:r>
    </w:p>
    <w:p>
      <w:pPr>
        <w:pStyle w:val="Heading2"/>
        <w:spacing w:before="240" w:after="120"/>
      </w:pPr>
      <w:r>
        <w:rPr>
          <w:rFonts w:ascii="Arial" w:cs="Arial" w:eastAsia="Arial" w:hAnsi="Arial"/>
          <w:b/>
          <w:bCs/>
          <w:color w:val="1565C0"/>
          <w:sz w:val="26"/>
          <w:szCs w:val="26"/>
        </w:rPr>
        <w:t xml:space="preserve">6.1 Analyst Negativity as the Primary Signal</w:t>
      </w:r>
    </w:p>
    <w:p>
      <w:pPr>
        <w:spacing w:before="80" w:after="80" w:line="288"/>
        <w:jc w:val="both"/>
      </w:pPr>
      <w:r>
        <w:rPr>
          <w:rFonts w:ascii="Arial" w:cs="Arial" w:eastAsia="Arial" w:hAnsi="Arial"/>
          <w:b w:val="false"/>
          <w:bCs w:val="false"/>
          <w:i w:val="false"/>
          <w:iCs w:val="false"/>
          <w:color w:val="212121"/>
          <w:sz w:val="22"/>
          <w:szCs w:val="22"/>
        </w:rPr>
        <w:t xml:space="preserve">The consistent dominance of qa_neg_ratio across all model architectures suggests a robust finding: the degree to which analysts push back during Q&amp;A is a stronger predictor of subsequent returns than how positive management chooses to present results. This has an intuitive economic interpretation — management tone is endogenous and strategically managed, while analyst skepticism is a partially independent signal from sophisticated market participants.</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565C0"/>
          <w:sz w:val="26"/>
          <w:szCs w:val="26"/>
        </w:rPr>
        <w:t xml:space="preserve">6.2 Temporal Patterns and LSTM Performance</w:t>
      </w:r>
    </w:p>
    <w:p>
      <w:pPr>
        <w:spacing w:before="80" w:after="80" w:line="288"/>
        <w:jc w:val="both"/>
      </w:pPr>
      <w:r>
        <w:rPr>
          <w:rFonts w:ascii="Arial" w:cs="Arial" w:eastAsia="Arial" w:hAnsi="Arial"/>
          <w:b w:val="false"/>
          <w:bCs w:val="false"/>
          <w:i w:val="false"/>
          <w:iCs w:val="false"/>
          <w:color w:val="212121"/>
          <w:sz w:val="22"/>
          <w:szCs w:val="22"/>
        </w:rPr>
        <w:t xml:space="preserve">The LSTM's superior hit rate (54.7% vs 53.2% for LightGBM) suggests that sequential patterns in earnings communication carry information not captured by static features. The 2022 IC of +0.0468 — the single best fold across all models — coincides with a high-volatility, high-uncertainty environment (rapid Fed rate hikes, energy crisis, recession fears). This suggests LSTM may be particularly effective when the temporal evolution of management tone has higher information content.</w:t>
      </w:r>
    </w:p>
    <w:p>
      <w:pPr>
        <w:spacing w:before="0" w:after="0"/>
      </w:pPr>
      <w:r>
        <w:rPr>
          <w:rFonts w:ascii="Arial" w:cs="Arial" w:eastAsia="Arial" w:hAnsi="Arial"/>
          <w:sz w:val="22"/>
          <w:szCs w:val="22"/>
        </w:rPr>
        <w:t xml:space="preserve"/>
      </w:r>
    </w:p>
    <w:p>
      <w:pPr>
        <w:pStyle w:val="Heading2"/>
        <w:spacing w:before="240" w:after="120"/>
      </w:pPr>
      <w:r>
        <w:rPr>
          <w:rFonts w:ascii="Arial" w:cs="Arial" w:eastAsia="Arial" w:hAnsi="Arial"/>
          <w:b/>
          <w:bCs/>
          <w:color w:val="1565C0"/>
          <w:sz w:val="26"/>
          <w:szCs w:val="26"/>
        </w:rPr>
        <w:t xml:space="preserve">6.3 Limitations</w:t>
      </w:r>
    </w:p>
    <w:p>
      <w:pPr>
        <w:pStyle w:val="ListParagraph"/>
        <w:numPr>
          <w:ilvl w:val="0"/>
          <w:numId w:val="2"/>
        </w:numPr>
        <w:spacing w:before="60" w:after="60"/>
      </w:pPr>
      <w:r>
        <w:rPr>
          <w:rFonts w:ascii="Arial" w:cs="Arial" w:eastAsia="Arial" w:hAnsi="Arial"/>
          <w:color w:val="212121"/>
          <w:sz w:val="22"/>
          <w:szCs w:val="22"/>
        </w:rPr>
        <w:t xml:space="preserve">5-day holding period is short relative to PEAD horizon; 20-day period may improve Sharpe</w:t>
      </w:r>
    </w:p>
    <w:p>
      <w:pPr>
        <w:pStyle w:val="ListParagraph"/>
        <w:numPr>
          <w:ilvl w:val="0"/>
          <w:numId w:val="2"/>
        </w:numPr>
        <w:spacing w:before="60" w:after="60"/>
      </w:pPr>
      <w:r>
        <w:rPr>
          <w:rFonts w:ascii="Arial" w:cs="Arial" w:eastAsia="Arial" w:hAnsi="Arial"/>
          <w:color w:val="212121"/>
          <w:sz w:val="22"/>
          <w:szCs w:val="22"/>
        </w:rPr>
        <w:t xml:space="preserve">RAG content scoring uses keyword heuristics; replacing with a generative LLM scorer may improve signal</w:t>
      </w:r>
    </w:p>
    <w:p>
      <w:pPr>
        <w:pStyle w:val="ListParagraph"/>
        <w:numPr>
          <w:ilvl w:val="0"/>
          <w:numId w:val="2"/>
        </w:numPr>
        <w:spacing w:before="60" w:after="60"/>
      </w:pPr>
      <w:r>
        <w:rPr>
          <w:rFonts w:ascii="Arial" w:cs="Arial" w:eastAsia="Arial" w:hAnsi="Arial"/>
          <w:color w:val="212121"/>
          <w:sz w:val="22"/>
          <w:szCs w:val="22"/>
        </w:rPr>
        <w:t xml:space="preserve">No sector-level analysis; NLP signals may be stronger in information-asymmetric sectors (healthcare, biotech)</w:t>
      </w:r>
    </w:p>
    <w:p>
      <w:pPr>
        <w:pStyle w:val="ListParagraph"/>
        <w:numPr>
          <w:ilvl w:val="0"/>
          <w:numId w:val="2"/>
        </w:numPr>
        <w:spacing w:before="60" w:after="60"/>
      </w:pPr>
      <w:r>
        <w:rPr>
          <w:rFonts w:ascii="Arial" w:cs="Arial" w:eastAsia="Arial" w:hAnsi="Arial"/>
          <w:color w:val="212121"/>
          <w:sz w:val="22"/>
          <w:szCs w:val="22"/>
        </w:rPr>
        <w:t xml:space="preserve">Transcript dataset may have selection bias toward larger, more liquid companies</w:t>
      </w:r>
    </w:p>
    <w:p>
      <w:pPr>
        <w:spacing w:before="0" w:after="0"/>
      </w:pPr>
      <w:r>
        <w:rPr>
          <w:rFonts w:ascii="Arial" w:cs="Arial" w:eastAsia="Arial" w:hAnsi="Arial"/>
          <w:sz w:val="22"/>
          <w:szCs w:val="22"/>
        </w:rPr>
        <w:t xml:space="preserve"/>
      </w:r>
    </w:p>
    <w:p>
      <w:pPr>
        <w:pStyle w:val="Heading1"/>
        <w:pBdr>
          <w:bottom w:val="single" w:color="1565C0" w:sz="6" w:space="4"/>
        </w:pBdr>
        <w:spacing w:before="360" w:after="160"/>
      </w:pPr>
      <w:r>
        <w:rPr>
          <w:rFonts w:ascii="Arial" w:cs="Arial" w:eastAsia="Arial" w:hAnsi="Arial"/>
          <w:b/>
          <w:bCs/>
          <w:color w:val="1A237E"/>
          <w:sz w:val="32"/>
          <w:szCs w:val="32"/>
        </w:rPr>
        <w:t xml:space="preserve">7. Future Work</w:t>
      </w:r>
    </w:p>
    <w:p>
      <w:pPr>
        <w:spacing w:before="80" w:after="80" w:line="288"/>
        <w:jc w:val="both"/>
      </w:pPr>
      <w:r>
        <w:rPr>
          <w:rFonts w:ascii="Arial" w:cs="Arial" w:eastAsia="Arial" w:hAnsi="Arial"/>
          <w:b w:val="false"/>
          <w:bCs w:val="false"/>
          <w:i w:val="false"/>
          <w:iCs w:val="false"/>
          <w:color w:val="212121"/>
          <w:sz w:val="22"/>
          <w:szCs w:val="22"/>
        </w:rPr>
        <w:t xml:space="preserve">Several natural extensions emerge from this work:</w:t>
      </w:r>
    </w:p>
    <w:p>
      <w:pPr>
        <w:spacing w:before="0" w:after="0"/>
      </w:pPr>
      <w:r>
        <w:rPr>
          <w:rFonts w:ascii="Arial" w:cs="Arial" w:eastAsia="Arial" w:hAnsi="Arial"/>
          <w:sz w:val="22"/>
          <w:szCs w:val="22"/>
        </w:rPr>
        <w:t xml:space="preserve"/>
      </w:r>
    </w:p>
    <w:p>
      <w:pPr>
        <w:spacing w:before="80" w:after="40"/>
      </w:pPr>
      <w:r>
        <w:rPr>
          <w:rFonts w:ascii="Arial" w:cs="Arial" w:eastAsia="Arial" w:hAnsi="Arial"/>
          <w:b/>
          <w:bCs/>
          <w:color w:val="1A237E"/>
          <w:sz w:val="22"/>
          <w:szCs w:val="22"/>
        </w:rPr>
        <w:t xml:space="preserve">Extended Holding Period Backtest</w:t>
      </w:r>
    </w:p>
    <w:p>
      <w:pPr>
        <w:spacing w:before="80" w:after="80" w:line="288"/>
        <w:jc w:val="both"/>
      </w:pPr>
      <w:r>
        <w:rPr>
          <w:rFonts w:ascii="Arial" w:cs="Arial" w:eastAsia="Arial" w:hAnsi="Arial"/>
          <w:b w:val="false"/>
          <w:bCs w:val="false"/>
          <w:i w:val="false"/>
          <w:iCs w:val="false"/>
          <w:color w:val="212121"/>
          <w:sz w:val="22"/>
          <w:szCs w:val="22"/>
        </w:rPr>
        <w:t xml:space="preserve">Re-running the backtest at 20-day and 60-day horizons to test whether PEAD is exploitable with these features at reduced transaction cost frequency.</w:t>
      </w:r>
    </w:p>
    <w:p>
      <w:pPr>
        <w:spacing w:before="80" w:after="40"/>
      </w:pPr>
      <w:r>
        <w:rPr>
          <w:rFonts w:ascii="Arial" w:cs="Arial" w:eastAsia="Arial" w:hAnsi="Arial"/>
          <w:b/>
          <w:bCs/>
          <w:color w:val="1A237E"/>
          <w:sz w:val="22"/>
          <w:szCs w:val="22"/>
        </w:rPr>
        <w:t xml:space="preserve">Generative LLM Feature Scoring</w:t>
      </w:r>
    </w:p>
    <w:p>
      <w:pPr>
        <w:spacing w:before="80" w:after="80" w:line="288"/>
        <w:jc w:val="both"/>
      </w:pPr>
      <w:r>
        <w:rPr>
          <w:rFonts w:ascii="Arial" w:cs="Arial" w:eastAsia="Arial" w:hAnsi="Arial"/>
          <w:b w:val="false"/>
          <w:bCs w:val="false"/>
          <w:i w:val="false"/>
          <w:iCs w:val="false"/>
          <w:color w:val="212121"/>
          <w:sz w:val="22"/>
          <w:szCs w:val="22"/>
        </w:rPr>
        <w:t xml:space="preserve">Replacing keyword heuristics in RAG scoring with a fine-tuned generative model (e.g. Llama-3 or Mistral) for higher-fidelity structured feature extraction.</w:t>
      </w:r>
    </w:p>
    <w:p>
      <w:pPr>
        <w:spacing w:before="80" w:after="40"/>
      </w:pPr>
      <w:r>
        <w:rPr>
          <w:rFonts w:ascii="Arial" w:cs="Arial" w:eastAsia="Arial" w:hAnsi="Arial"/>
          <w:b/>
          <w:bCs/>
          <w:color w:val="1A237E"/>
          <w:sz w:val="22"/>
          <w:szCs w:val="22"/>
        </w:rPr>
        <w:t xml:space="preserve">Sector-Stratified Analysis</w:t>
      </w:r>
    </w:p>
    <w:p>
      <w:pPr>
        <w:spacing w:before="80" w:after="80" w:line="288"/>
        <w:jc w:val="both"/>
      </w:pPr>
      <w:r>
        <w:rPr>
          <w:rFonts w:ascii="Arial" w:cs="Arial" w:eastAsia="Arial" w:hAnsi="Arial"/>
          <w:b w:val="false"/>
          <w:bCs w:val="false"/>
          <w:i w:val="false"/>
          <w:iCs w:val="false"/>
          <w:color w:val="212121"/>
          <w:sz w:val="22"/>
          <w:szCs w:val="22"/>
        </w:rPr>
        <w:t xml:space="preserve">Decomposing model performance by GICS sector to identify where NLP signals are strongest, enabling sector-targeted portfolio construction.</w:t>
      </w:r>
    </w:p>
    <w:p>
      <w:pPr>
        <w:spacing w:before="80" w:after="40"/>
      </w:pPr>
      <w:r>
        <w:rPr>
          <w:rFonts w:ascii="Arial" w:cs="Arial" w:eastAsia="Arial" w:hAnsi="Arial"/>
          <w:b/>
          <w:bCs/>
          <w:color w:val="1A237E"/>
          <w:sz w:val="22"/>
          <w:szCs w:val="22"/>
        </w:rPr>
        <w:t xml:space="preserve">Cross-lingual Extension</w:t>
      </w:r>
    </w:p>
    <w:p>
      <w:pPr>
        <w:spacing w:before="80" w:after="80" w:line="288"/>
        <w:jc w:val="both"/>
      </w:pPr>
      <w:r>
        <w:rPr>
          <w:rFonts w:ascii="Arial" w:cs="Arial" w:eastAsia="Arial" w:hAnsi="Arial"/>
          <w:b w:val="false"/>
          <w:bCs w:val="false"/>
          <w:i w:val="false"/>
          <w:iCs w:val="false"/>
          <w:color w:val="212121"/>
          <w:sz w:val="22"/>
          <w:szCs w:val="22"/>
        </w:rPr>
        <w:t xml:space="preserve">Applying the pipeline to European and Asian earnings calls using multilingual FinBERT variants, enabling cross-market signal comparison.</w:t>
      </w:r>
    </w:p>
    <w:p>
      <w:pPr>
        <w:spacing w:before="0" w:after="0"/>
      </w:pPr>
      <w:r>
        <w:rPr>
          <w:rFonts w:ascii="Arial" w:cs="Arial" w:eastAsia="Arial" w:hAnsi="Arial"/>
          <w:sz w:val="22"/>
          <w:szCs w:val="22"/>
        </w:rPr>
        <w:t xml:space="preserve"/>
      </w:r>
    </w:p>
    <w:p>
      <w:pPr>
        <w:pStyle w:val="Heading1"/>
        <w:pBdr>
          <w:bottom w:val="single" w:color="1565C0" w:sz="6" w:space="4"/>
        </w:pBdr>
        <w:spacing w:before="360" w:after="160"/>
      </w:pPr>
      <w:r>
        <w:rPr>
          <w:rFonts w:ascii="Arial" w:cs="Arial" w:eastAsia="Arial" w:hAnsi="Arial"/>
          <w:b/>
          <w:bCs/>
          <w:color w:val="1A237E"/>
          <w:sz w:val="32"/>
          <w:szCs w:val="32"/>
        </w:rPr>
        <w:t xml:space="preserve">8. Conclusion</w:t>
      </w:r>
    </w:p>
    <w:p>
      <w:pPr>
        <w:spacing w:before="80" w:after="80" w:line="288"/>
        <w:jc w:val="both"/>
      </w:pPr>
      <w:r>
        <w:rPr>
          <w:rFonts w:ascii="Arial" w:cs="Arial" w:eastAsia="Arial" w:hAnsi="Arial"/>
          <w:b w:val="false"/>
          <w:bCs w:val="false"/>
          <w:i w:val="false"/>
          <w:iCs w:val="false"/>
          <w:color w:val="212121"/>
          <w:sz w:val="22"/>
          <w:szCs w:val="22"/>
        </w:rPr>
        <w:t xml:space="preserve">FinSight demonstrates that earnings call transcripts contain statistically significant but economically modest predictive signals for short-term equity returns. The combination of FinBERT sentence-level sentiment and RAG-based structured feature extraction produces a richer feature set than either approach alone, with LightGBM achieving an IC of 0.0198 and a standard deviation of 0.009 — 10× more stable than the naive baseline.</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The SHAP analysis reveals a counterintuitive finding: analyst Q&amp;A negativity is a stronger predictor than management sentiment, suggesting that sophisticated market participants' reactions to management presentations carry more price-relevant information than the presentations themselves. The LSTM's superior directional accuracy further suggests that temporal degradation or improvement in communication quality is informative beyond any single transcript.</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These results are consistent with weak-form market efficiency: the signals exist and are detectable, but are insufficient to generate positive risk-adjusted returns at a 5-day horizon after realistic transaction costs. Extending the holding period remains the most promising avenue for converting statistical signal into economic value.</w:t>
      </w:r>
    </w:p>
    <w:p>
      <w:pPr>
        <w:spacing w:before="0" w:after="0"/>
      </w:pPr>
      <w:r>
        <w:rPr>
          <w:rFonts w:ascii="Arial" w:cs="Arial" w:eastAsia="Arial" w:hAnsi="Arial"/>
          <w:sz w:val="22"/>
          <w:szCs w:val="22"/>
        </w:rPr>
        <w:t xml:space="preserve"/>
      </w:r>
    </w:p>
    <w:p>
      <w:pPr>
        <w:pStyle w:val="Heading1"/>
        <w:pBdr>
          <w:bottom w:val="single" w:color="1565C0" w:sz="6" w:space="4"/>
        </w:pBdr>
        <w:spacing w:before="360" w:after="160"/>
      </w:pPr>
      <w:r>
        <w:rPr>
          <w:rFonts w:ascii="Arial" w:cs="Arial" w:eastAsia="Arial" w:hAnsi="Arial"/>
          <w:b/>
          <w:bCs/>
          <w:color w:val="1A237E"/>
          <w:sz w:val="32"/>
          <w:szCs w:val="32"/>
        </w:rPr>
        <w:t xml:space="preserve">References</w:t>
      </w:r>
    </w:p>
    <w:p>
      <w:pPr>
        <w:spacing w:before="80" w:after="80" w:line="288"/>
        <w:jc w:val="both"/>
      </w:pPr>
      <w:r>
        <w:rPr>
          <w:rFonts w:ascii="Arial" w:cs="Arial" w:eastAsia="Arial" w:hAnsi="Arial"/>
          <w:b w:val="false"/>
          <w:bCs w:val="false"/>
          <w:i w:val="false"/>
          <w:iCs w:val="false"/>
          <w:color w:val="212121"/>
          <w:sz w:val="22"/>
          <w:szCs w:val="22"/>
        </w:rPr>
        <w:t xml:space="preserve">Araci, D. (2019). FinBERT: Financial Sentiment Analysis with Pre-trained Language Models. arXiv:1908.10063.</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Chan, L., Jegadeesh, N., &amp; Lakonishok, J. (1996). Momentum Strategies. Journal of Finance, 51(5), 1681–1713.</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Devlin, J., Chang, M. W., Lee, K., &amp; Toutanova, K. (2018). BERT: Pre-training of Deep Bidirectional Transformers for Language Understanding. arXiv:1810.04805.</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Huang, A. H., Zang, A. Y., &amp; Zheng, R. (2014). Evidence on the Information Content of Text in Analyst Reports. Accounting Review, 89(6), 2151–2180.</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Lerman, A., Livnat, J., &amp; Mendenhall, R. R. (2008). The High-Volume Return Premium and Post-Earnings Announcement Drift. NYU Working Paper.</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Lewis, P., Perez, E., Piktus, A., et al. (2020). Retrieval-Augmented Generation for Knowledge-Intensive NLP Tasks. NeurIPS 2020.</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Loughran, T., &amp; McDonald, B. (2011). When is a Liability not a Liability? Textual Analysis, Dictionaries, and 10-Ks. Journal of Finance, 66(1), 35–65.</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Lundberg, S. M., &amp; Lee, S. I. (2017). A Unified Approach to Interpreting Model Predictions. NeurIPS 2017.</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Prokhorenkova, L., Gusev, G., Vorobev, A., Dorogush, A. V., &amp; Gulin, A. (2018). CatBoost: Unbiased Boosting with Categorical Features. NeurIPS 2018.</w:t>
      </w:r>
    </w:p>
    <w:p>
      <w:pPr>
        <w:spacing w:before="0" w:after="0"/>
      </w:pPr>
      <w:r>
        <w:rPr>
          <w:rFonts w:ascii="Arial" w:cs="Arial" w:eastAsia="Arial" w:hAnsi="Arial"/>
          <w:sz w:val="22"/>
          <w:szCs w:val="22"/>
        </w:rPr>
        <w:t xml:space="preserve"/>
      </w:r>
    </w:p>
    <w:p>
      <w:pPr>
        <w:spacing w:before="80" w:after="80" w:line="288"/>
        <w:jc w:val="both"/>
      </w:pPr>
      <w:r>
        <w:rPr>
          <w:rFonts w:ascii="Arial" w:cs="Arial" w:eastAsia="Arial" w:hAnsi="Arial"/>
          <w:b w:val="false"/>
          <w:bCs w:val="false"/>
          <w:i w:val="false"/>
          <w:iCs w:val="false"/>
          <w:color w:val="212121"/>
          <w:sz w:val="22"/>
          <w:szCs w:val="22"/>
        </w:rPr>
        <w:t xml:space="preserve">Reimers, N., &amp; Gurevych, I. (2019). Sentence-BERT: Sentence Embeddings using Siamese BERT-Networks. EMNLP 2019.</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4"/>
      </w:pBdr>
      <w:tabs>
        <w:tab w:val="right" w:pos="9360"/>
      </w:tabs>
      <w:spacing w:before="80" w:after="0"/>
    </w:pPr>
    <w:r>
      <w:rPr>
        <w:rFonts w:ascii="Arial" w:cs="Arial" w:eastAsia="Arial" w:hAnsi="Arial"/>
        <w:color w:val="546E7A"/>
        <w:sz w:val="18"/>
        <w:szCs w:val="18"/>
      </w:rPr>
      <w:t xml:space="preserve">Technical Report | March 2026</w:t>
    </w:r>
    <w:r>
      <w:rPr>
        <w:rFonts w:ascii="Arial" w:cs="Arial" w:eastAsia="Arial" w:hAnsi="Arial"/>
        <w:sz w:val="18"/>
        <w:szCs w:val="18"/>
      </w:rPr>
      <w:t xml:space="preserv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space="4"/>
      </w:pBdr>
      <w:tabs>
        <w:tab w:val="right" w:pos="9360"/>
      </w:tabs>
      <w:spacing w:before="0" w:after="80"/>
    </w:pPr>
    <w:r>
      <w:rPr>
        <w:rFonts w:ascii="Arial" w:cs="Arial" w:eastAsia="Arial" w:hAnsi="Arial"/>
        <w:color w:val="546E7A"/>
        <w:sz w:val="18"/>
        <w:szCs w:val="18"/>
      </w:rPr>
      <w:t xml:space="preserve">FinSight: LLM-Powered Earnings Intelligence</w:t>
    </w:r>
    <w:r>
      <w:rPr>
        <w:rFonts w:ascii="Arial" w:cs="Arial" w:eastAsia="Arial" w:hAnsi="Arial"/>
        <w:sz w:val="18"/>
        <w:szCs w:val="18"/>
      </w:rPr>
      <w:t xml:space="preserve">	</w:t>
    </w:r>
    <w:r>
      <w:rPr>
        <w:rFonts w:ascii="Arial" w:cs="Arial" w:eastAsia="Arial" w:hAnsi="Arial"/>
        <w:i/>
        <w:iCs/>
        <w:color w:val="546E7A"/>
        <w:sz w:val="18"/>
        <w:szCs w:val="18"/>
      </w:rPr>
      <w:t xml:space="preserve">Rajveer Singh Pall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37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2026-03-15T07:09:18.981Z</dcterms:created>
  <dcterms:modified xsi:type="dcterms:W3CDTF">2026-03-15T07:09:18.982Z</dcterms:modified>
</cp:coreProperties>
</file>

<file path=docProps/custom.xml><?xml version="1.0" encoding="utf-8"?>
<Properties xmlns="http://schemas.openxmlformats.org/officeDocument/2006/custom-properties" xmlns:vt="http://schemas.openxmlformats.org/officeDocument/2006/docPropsVTypes"/>
</file>