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6"/>
          <w:szCs w:val="56"/>
        </w:rPr>
        <w:t xml:space="preserve">IndiaFinBench</w:t>
      </w:r>
    </w:p>
    <w:p>
      <w:pPr>
        <w:spacing w:before="0" w:after="80"/>
        <w:jc w:val="center"/>
      </w:pPr>
      <w:r>
        <w:rPr>
          <w:rFonts w:ascii="Arial" w:cs="Arial" w:eastAsia="Arial" w:hAnsi="Arial"/>
          <w:color w:val="2E75B6"/>
          <w:sz w:val="32"/>
          <w:szCs w:val="32"/>
        </w:rPr>
        <w:t xml:space="preserve">Annotator Briefing Document</w:t>
      </w:r>
    </w:p>
    <w:p>
      <w:pPr>
        <w:pBdr>
          <w:bottom w:val="single" w:color="1F4E79" w:sz="6" w:space="8"/>
        </w:pBdr>
        <w:spacing w:before="0" w:after="480"/>
        <w:jc w:val="center"/>
      </w:pPr>
      <w:r>
        <w:rPr>
          <w:rFonts w:ascii="Arial" w:cs="Arial" w:eastAsia="Arial" w:hAnsi="Arial"/>
          <w:color w:val="555555"/>
          <w:sz w:val="24"/>
          <w:szCs w:val="24"/>
        </w:rPr>
        <w:t xml:space="preserve">LLM Evaluation Benchmark for Indian Financial Regulatory Text</w:t>
      </w:r>
    </w:p>
    <w:p>
      <w:pPr>
        <w:pStyle w:val="Heading1"/>
        <w:pBdr>
          <w:bottom w:val="single" w:color="1F4E79" w:sz="4" w:space="4"/>
        </w:pBdr>
        <w:spacing w:before="360" w:after="160"/>
      </w:pPr>
      <w:r>
        <w:rPr>
          <w:rFonts w:ascii="Arial" w:cs="Arial" w:eastAsia="Arial" w:hAnsi="Arial"/>
          <w:b/>
          <w:bCs/>
          <w:color w:val="1F4E79"/>
          <w:sz w:val="32"/>
          <w:szCs w:val="32"/>
        </w:rPr>
        <w:t xml:space="preserve">1. What You Are Being Asked to Do</w:t>
      </w:r>
    </w:p>
    <w:p>
      <w:pPr>
        <w:spacing w:before="120" w:after="0"/>
      </w:pPr>
      <w:r>
        <w:t xml:space="preserve"/>
      </w:r>
    </w:p>
    <w:p>
      <w:pPr>
        <w:spacing w:before="80" w:after="80"/>
      </w:pPr>
      <w:r>
        <w:rPr>
          <w:rFonts w:ascii="Arial" w:cs="Arial" w:eastAsia="Arial" w:hAnsi="Arial"/>
          <w:sz w:val="22"/>
          <w:szCs w:val="22"/>
        </w:rPr>
        <w:t xml:space="preserve">Thank you for agreeing to be an annotator for this research project. This document explains everything you need to know. Please read it fully before you begin — it will take about 10 minutes.</w:t>
      </w:r>
    </w:p>
    <w:p>
      <w:pPr>
        <w:spacing w:before="120" w:after="0"/>
      </w:pPr>
      <w:r>
        <w:t xml:space="preserve"/>
      </w:r>
    </w:p>
    <w:p>
      <w:pPr>
        <w:spacing w:before="80" w:after="80"/>
      </w:pPr>
      <w:r>
        <w:rPr>
          <w:rFonts w:ascii="Arial" w:cs="Arial" w:eastAsia="Arial" w:hAnsi="Arial"/>
          <w:sz w:val="22"/>
          <w:szCs w:val="22"/>
        </w:rPr>
        <w:t xml:space="preserve">You will be given a file containing 150 question-answer items. Each item has:</w:t>
      </w:r>
    </w:p>
    <w:p>
      <w:pPr>
        <w:pStyle w:val="ListParagraph"/>
        <w:numPr>
          <w:ilvl w:val="0"/>
          <w:numId w:val="2"/>
        </w:numPr>
        <w:spacing w:before="60" w:after="60"/>
      </w:pPr>
      <w:r>
        <w:rPr>
          <w:rFonts w:ascii="Arial" w:cs="Arial" w:eastAsia="Arial" w:hAnsi="Arial"/>
          <w:sz w:val="22"/>
          <w:szCs w:val="22"/>
        </w:rPr>
        <w:t xml:space="preserve">A context passage — a short excerpt (100-300 words) from an official Indian regulatory document (SEBI or RBI)</w:t>
      </w:r>
    </w:p>
    <w:p>
      <w:pPr>
        <w:pStyle w:val="ListParagraph"/>
        <w:numPr>
          <w:ilvl w:val="0"/>
          <w:numId w:val="2"/>
        </w:numPr>
        <w:spacing w:before="60" w:after="60"/>
      </w:pPr>
      <w:r>
        <w:rPr>
          <w:rFonts w:ascii="Arial" w:cs="Arial" w:eastAsia="Arial" w:hAnsi="Arial"/>
          <w:sz w:val="22"/>
          <w:szCs w:val="22"/>
        </w:rPr>
        <w:t xml:space="preserve">A question about that passage</w:t>
      </w:r>
    </w:p>
    <w:p>
      <w:pPr>
        <w:pStyle w:val="ListParagraph"/>
        <w:numPr>
          <w:ilvl w:val="0"/>
          <w:numId w:val="2"/>
        </w:numPr>
        <w:spacing w:before="60" w:after="60"/>
      </w:pPr>
      <w:r>
        <w:rPr>
          <w:rFonts w:ascii="Arial" w:cs="Arial" w:eastAsia="Arial" w:hAnsi="Arial"/>
          <w:sz w:val="22"/>
          <w:szCs w:val="22"/>
        </w:rPr>
        <w:t xml:space="preserve">A blank field where you write your answer</w:t>
      </w:r>
    </w:p>
    <w:p>
      <w:pPr>
        <w:spacing w:before="120" w:after="0"/>
      </w:pPr>
      <w:r>
        <w:t xml:space="preserve"/>
      </w:r>
    </w:p>
    <w:p>
      <w:pPr>
        <w:spacing w:before="80" w:after="80"/>
      </w:pPr>
      <w:r>
        <w:rPr>
          <w:rFonts w:ascii="Arial" w:cs="Arial" w:eastAsia="Arial" w:hAnsi="Arial"/>
          <w:sz w:val="22"/>
          <w:szCs w:val="22"/>
        </w:rPr>
        <w:t xml:space="preserve">Your job is simple: read the context passage, read the question, and write what you believe is the correct answer. That is all.</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1F4E79" w:sz="16"/>
              <w:bottom w:val="single" w:color="2E75B6" w:sz="4"/>
              <w:right w:val="none" w:color="FFFFFF" w:sz="0"/>
            </w:tcBorders>
            <w:shd w:fill="EBF3FB" w:val="clear"/>
            <w:tcMar>
              <w:top w:type="dxa" w:w="120"/>
              <w:left w:type="dxa" w:w="200"/>
              <w:bottom w:type="dxa" w:w="120"/>
              <w:right w:type="dxa" w:w="120"/>
            </w:tcMar>
          </w:tcPr>
          <w:p>
            <w:pPr>
              <w:spacing w:before="60" w:after="60"/>
            </w:pPr>
            <w:r>
              <w:rPr>
                <w:rFonts w:ascii="Arial" w:cs="Arial" w:eastAsia="Arial" w:hAnsi="Arial"/>
                <w:sz w:val="22"/>
                <w:szCs w:val="22"/>
              </w:rPr>
              <w:t xml:space="preserve">IMPORTANT: You do not need any finance or legal background.</w:t>
            </w:r>
          </w:p>
          <w:p>
            <w:pPr>
              <w:spacing w:before="60" w:after="60"/>
            </w:pPr>
            <w:r>
              <w:rPr>
                <w:rFonts w:ascii="Arial" w:cs="Arial" w:eastAsia="Arial" w:hAnsi="Arial"/>
                <w:sz w:val="22"/>
                <w:szCs w:val="22"/>
              </w:rPr>
              <w:t xml:space="preserve">Every question can be answered using only the context passage provided.</w:t>
            </w:r>
          </w:p>
          <w:p>
            <w:pPr>
              <w:spacing w:before="60" w:after="60"/>
            </w:pPr>
            <w:r>
              <w:rPr>
                <w:rFonts w:ascii="Arial" w:cs="Arial" w:eastAsia="Arial" w:hAnsi="Arial"/>
                <w:sz w:val="22"/>
                <w:szCs w:val="22"/>
              </w:rPr>
              <w:t xml:space="preserve">Do not use the internet, textbooks, or any outside knowledge.</w:t>
            </w:r>
          </w:p>
          <w:p>
            <w:pPr>
              <w:spacing w:before="60" w:after="60"/>
            </w:pPr>
            <w:r>
              <w:rPr>
                <w:rFonts w:ascii="Arial" w:cs="Arial" w:eastAsia="Arial" w:hAnsi="Arial"/>
                <w:sz w:val="22"/>
                <w:szCs w:val="22"/>
              </w:rPr>
              <w:t xml:space="preserve">If the answer is not in the passage, write: Cannot be determined from context.</w:t>
            </w:r>
          </w:p>
        </w:tc>
      </w:tr>
    </w:tbl>
    <w:p>
      <w:pPr>
        <w:spacing w:before="120" w:after="0"/>
      </w:pPr>
      <w:r>
        <w:t xml:space="preserve"/>
      </w:r>
    </w:p>
    <w:p>
      <w:pPr>
        <w:pStyle w:val="Heading1"/>
        <w:pBdr>
          <w:bottom w:val="single" w:color="1F4E79" w:sz="4" w:space="4"/>
        </w:pBdr>
        <w:spacing w:before="360" w:after="160"/>
      </w:pPr>
      <w:r>
        <w:rPr>
          <w:rFonts w:ascii="Arial" w:cs="Arial" w:eastAsia="Arial" w:hAnsi="Arial"/>
          <w:b/>
          <w:bCs/>
          <w:color w:val="1F4E79"/>
          <w:sz w:val="32"/>
          <w:szCs w:val="32"/>
        </w:rPr>
        <w:t xml:space="preserve">2. The Four Question Types</w:t>
      </w:r>
    </w:p>
    <w:p>
      <w:pPr>
        <w:spacing w:before="120" w:after="0"/>
      </w:pPr>
      <w:r>
        <w:t xml:space="preserve"/>
      </w:r>
    </w:p>
    <w:p>
      <w:pPr>
        <w:spacing w:before="80" w:after="80"/>
      </w:pPr>
      <w:r>
        <w:rPr>
          <w:rFonts w:ascii="Arial" w:cs="Arial" w:eastAsia="Arial" w:hAnsi="Arial"/>
          <w:sz w:val="22"/>
          <w:szCs w:val="22"/>
        </w:rPr>
        <w:t xml:space="preserve">The 150 items are divided into four types. Here is what each type looks like and how to answer it.</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Type 1 — Regulatory Interpretation</w:t>
      </w:r>
    </w:p>
    <w:p>
      <w:pPr>
        <w:spacing w:before="80" w:after="80"/>
      </w:pPr>
      <w:r>
        <w:rPr>
          <w:rFonts w:ascii="Arial" w:cs="Arial" w:eastAsia="Arial" w:hAnsi="Arial"/>
          <w:sz w:val="22"/>
          <w:szCs w:val="22"/>
        </w:rPr>
        <w:t xml:space="preserve">These questions ask you to extract a specific fact, rule, deadline, or condition directly from the passage. The answer is almost always a phrase or sentence from the passage.</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EXAMPLE — Regulatory Interpretation</w:t>
            </w:r>
          </w:p>
        </w:tc>
      </w:tr>
      <w:tr>
        <w:tc>
          <w:tcPr>
            <w:tcW w:type="dxa" w:w="9026"/>
            <w:tcBorders>
              <w:top w:val="none" w:color="FFFFFF" w:sz="0"/>
              <w:left w:val="single" w:color="CCCCCC" w:sz="1"/>
              <w:bottom w:val="single" w:color="CCCCCC" w:sz="1"/>
              <w:right w:val="single" w:color="CCCCCC" w:sz="1"/>
            </w:tcBorders>
            <w:shd w:fill="F5F5F5" w:val="clear"/>
            <w:tcMar>
              <w:top w:type="dxa" w:w="100"/>
              <w:left w:type="dxa" w:w="160"/>
              <w:bottom w:type="dxa" w:w="100"/>
              <w:right w:type="dxa" w:w="160"/>
            </w:tcMar>
          </w:tcPr>
          <w:p>
            <w:pPr>
              <w:spacing w:before="80" w:after="80"/>
            </w:pPr>
            <w:r>
              <w:rPr>
                <w:rFonts w:ascii="Arial" w:cs="Arial" w:eastAsia="Arial" w:hAnsi="Arial"/>
                <w:b/>
                <w:bCs/>
                <w:sz w:val="22"/>
                <w:szCs w:val="22"/>
              </w:rPr>
              <w:t xml:space="preserve">Context: </w:t>
            </w:r>
            <w:r>
              <w:rPr>
                <w:rFonts w:ascii="Arial" w:cs="Arial" w:eastAsia="Arial" w:hAnsi="Arial"/>
                <w:sz w:val="22"/>
                <w:szCs w:val="22"/>
              </w:rPr>
              <w:t xml:space="preserve">An issuer shall be eligible to make an initial public offer only if it has an average operating profit of at least fifteen crore rupees during the preceding three years, with operating profit in each of these preceding three years.</w:t>
            </w:r>
          </w:p>
          <w:p>
            <w:pPr>
              <w:spacing w:before="80" w:after="80"/>
            </w:pPr>
            <w:r>
              <w:rPr>
                <w:rFonts w:ascii="Arial" w:cs="Arial" w:eastAsia="Arial" w:hAnsi="Arial"/>
                <w:b/>
                <w:bCs/>
                <w:sz w:val="22"/>
                <w:szCs w:val="22"/>
              </w:rPr>
              <w:t xml:space="preserve">Question: </w:t>
            </w:r>
            <w:r>
              <w:rPr>
                <w:rFonts w:ascii="Arial" w:cs="Arial" w:eastAsia="Arial" w:hAnsi="Arial"/>
                <w:sz w:val="22"/>
                <w:szCs w:val="22"/>
              </w:rPr>
              <w:t xml:space="preserve">What is the minimum average operating profit an issuer must have over the preceding three years to be eligible to make an initial public offer?</w:t>
            </w:r>
          </w:p>
          <w:p>
            <w:pPr>
              <w:spacing w:before="80" w:after="80"/>
            </w:pPr>
            <w:r>
              <w:rPr>
                <w:rFonts w:ascii="Arial" w:cs="Arial" w:eastAsia="Arial" w:hAnsi="Arial"/>
                <w:b/>
                <w:bCs/>
                <w:sz w:val="22"/>
                <w:szCs w:val="22"/>
              </w:rPr>
              <w:t xml:space="preserve">Correct answer: </w:t>
            </w:r>
            <w:r>
              <w:rPr>
                <w:rFonts w:ascii="Arial" w:cs="Arial" w:eastAsia="Arial" w:hAnsi="Arial"/>
                <w:sz w:val="22"/>
                <w:szCs w:val="22"/>
              </w:rPr>
              <w:t xml:space="preserve">At least fifteen crore rupees</w:t>
            </w:r>
          </w:p>
          <w:p>
            <w:pPr>
              <w:spacing w:before="80" w:after="80"/>
            </w:pPr>
            <w:r>
              <w:rPr>
                <w:rFonts w:ascii="Arial" w:cs="Arial" w:eastAsia="Arial" w:hAnsi="Arial"/>
                <w:b/>
                <w:bCs/>
                <w:sz w:val="22"/>
                <w:szCs w:val="22"/>
              </w:rPr>
              <w:t xml:space="preserve">Wrong answer: </w:t>
            </w:r>
            <w:r>
              <w:rPr>
                <w:rFonts w:ascii="Arial" w:cs="Arial" w:eastAsia="Arial" w:hAnsi="Arial"/>
                <w:sz w:val="22"/>
                <w:szCs w:val="22"/>
              </w:rPr>
              <w:t xml:space="preserve">The company needs to be profitable (too vague, not the specific figure)</w:t>
            </w:r>
          </w:p>
        </w:tc>
      </w:tr>
    </w:tbl>
    <w:p>
      <w:pPr>
        <w:spacing w:before="120" w:after="0"/>
      </w:pPr>
      <w:r>
        <w:t xml:space="preserve"/>
      </w:r>
    </w:p>
    <w:p>
      <w:pPr>
        <w:spacing w:before="80" w:after="80"/>
      </w:pPr>
      <w:r>
        <w:rPr>
          <w:rFonts w:ascii="Arial" w:cs="Arial" w:eastAsia="Arial" w:hAnsi="Arial"/>
          <w:sz w:val="22"/>
          <w:szCs w:val="22"/>
        </w:rPr>
        <w:t xml:space="preserve">Tips for this type:</w:t>
      </w:r>
    </w:p>
    <w:p>
      <w:pPr>
        <w:pStyle w:val="ListParagraph"/>
        <w:numPr>
          <w:ilvl w:val="0"/>
          <w:numId w:val="2"/>
        </w:numPr>
        <w:spacing w:before="60" w:after="60"/>
      </w:pPr>
      <w:r>
        <w:rPr>
          <w:rFonts w:ascii="Arial" w:cs="Arial" w:eastAsia="Arial" w:hAnsi="Arial"/>
          <w:sz w:val="22"/>
          <w:szCs w:val="22"/>
        </w:rPr>
        <w:t xml:space="preserve">Look for exact numbers, percentages, time periods, or conditions stated in the passage</w:t>
      </w:r>
    </w:p>
    <w:p>
      <w:pPr>
        <w:pStyle w:val="ListParagraph"/>
        <w:numPr>
          <w:ilvl w:val="0"/>
          <w:numId w:val="2"/>
        </w:numPr>
        <w:spacing w:before="60" w:after="60"/>
      </w:pPr>
      <w:r>
        <w:rPr>
          <w:rFonts w:ascii="Arial" w:cs="Arial" w:eastAsia="Arial" w:hAnsi="Arial"/>
          <w:sz w:val="22"/>
          <w:szCs w:val="22"/>
        </w:rPr>
        <w:t xml:space="preserve">Copy the relevant phrase as closely as possible — do not paraphrase</w:t>
      </w:r>
    </w:p>
    <w:p>
      <w:pPr>
        <w:pStyle w:val="ListParagraph"/>
        <w:numPr>
          <w:ilvl w:val="0"/>
          <w:numId w:val="2"/>
        </w:numPr>
        <w:spacing w:before="60" w:after="60"/>
      </w:pPr>
      <w:r>
        <w:rPr>
          <w:rFonts w:ascii="Arial" w:cs="Arial" w:eastAsia="Arial" w:hAnsi="Arial"/>
          <w:sz w:val="22"/>
          <w:szCs w:val="22"/>
        </w:rPr>
        <w:t xml:space="preserve">If there is a 'Provided that' clause, read it carefully — it may modify the main rule</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Type 2 — Numerical Reasoning</w:t>
      </w:r>
    </w:p>
    <w:p>
      <w:pPr>
        <w:spacing w:before="80" w:after="80"/>
      </w:pPr>
      <w:r>
        <w:rPr>
          <w:rFonts w:ascii="Arial" w:cs="Arial" w:eastAsia="Arial" w:hAnsi="Arial"/>
          <w:sz w:val="22"/>
          <w:szCs w:val="22"/>
        </w:rPr>
        <w:t xml:space="preserve">These questions ask you to perform a calculation using numbers given in the passage. You must show your working.</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EXAMPLE — Numerical Reasoning</w:t>
            </w:r>
          </w:p>
        </w:tc>
      </w:tr>
      <w:tr>
        <w:tc>
          <w:tcPr>
            <w:tcW w:type="dxa" w:w="9026"/>
            <w:tcBorders>
              <w:top w:val="none" w:color="FFFFFF" w:sz="0"/>
              <w:left w:val="single" w:color="CCCCCC" w:sz="1"/>
              <w:bottom w:val="single" w:color="CCCCCC" w:sz="1"/>
              <w:right w:val="single" w:color="CCCCCC" w:sz="1"/>
            </w:tcBorders>
            <w:shd w:fill="F5F5F5" w:val="clear"/>
            <w:tcMar>
              <w:top w:type="dxa" w:w="100"/>
              <w:left w:type="dxa" w:w="160"/>
              <w:bottom w:type="dxa" w:w="100"/>
              <w:right w:type="dxa" w:w="160"/>
            </w:tcMar>
          </w:tcPr>
          <w:p>
            <w:pPr>
              <w:spacing w:before="80" w:after="80"/>
            </w:pPr>
            <w:r>
              <w:rPr>
                <w:rFonts w:ascii="Arial" w:cs="Arial" w:eastAsia="Arial" w:hAnsi="Arial"/>
                <w:b/>
                <w:bCs/>
                <w:sz w:val="22"/>
                <w:szCs w:val="22"/>
              </w:rPr>
              <w:t xml:space="preserve">Context: </w:t>
            </w:r>
            <w:r>
              <w:rPr>
                <w:rFonts w:ascii="Arial" w:cs="Arial" w:eastAsia="Arial" w:hAnsi="Arial"/>
                <w:sz w:val="22"/>
                <w:szCs w:val="22"/>
              </w:rPr>
              <w:t xml:space="preserve">The stock broker may act as an underwriter only out of its own net worth/funds and the underwriting obligation shall not exceed twenty times of the net worth. Minimum net worth for a Self-Clearing Member: 5 crore.</w:t>
            </w:r>
          </w:p>
          <w:p>
            <w:pPr>
              <w:spacing w:before="80" w:after="80"/>
            </w:pPr>
            <w:r>
              <w:rPr>
                <w:rFonts w:ascii="Arial" w:cs="Arial" w:eastAsia="Arial" w:hAnsi="Arial"/>
                <w:b/>
                <w:bCs/>
                <w:sz w:val="22"/>
                <w:szCs w:val="22"/>
              </w:rPr>
              <w:t xml:space="preserve">Question: </w:t>
            </w:r>
            <w:r>
              <w:rPr>
                <w:rFonts w:ascii="Arial" w:cs="Arial" w:eastAsia="Arial" w:hAnsi="Arial"/>
                <w:sz w:val="22"/>
                <w:szCs w:val="22"/>
              </w:rPr>
              <w:t xml:space="preserve">What is the maximum underwriting obligation a Self-Clearing Member can undertake, given its minimum net worth requirement?</w:t>
            </w:r>
          </w:p>
          <w:p>
            <w:pPr>
              <w:spacing w:before="80" w:after="80"/>
            </w:pPr>
            <w:r>
              <w:rPr>
                <w:rFonts w:ascii="Arial" w:cs="Arial" w:eastAsia="Arial" w:hAnsi="Arial"/>
                <w:b/>
                <w:bCs/>
                <w:sz w:val="22"/>
                <w:szCs w:val="22"/>
              </w:rPr>
              <w:t xml:space="preserve">Correct answer: </w:t>
            </w:r>
            <w:r>
              <w:rPr>
                <w:rFonts w:ascii="Arial" w:cs="Arial" w:eastAsia="Arial" w:hAnsi="Arial"/>
                <w:sz w:val="22"/>
                <w:szCs w:val="22"/>
              </w:rPr>
              <w:t xml:space="preserve">100 crore rupees (5 crore net worth × 20 = 100 crore)</w:t>
            </w:r>
          </w:p>
          <w:p>
            <w:pPr>
              <w:spacing w:before="80" w:after="80"/>
            </w:pPr>
            <w:r>
              <w:rPr>
                <w:rFonts w:ascii="Arial" w:cs="Arial" w:eastAsia="Arial" w:hAnsi="Arial"/>
                <w:b/>
                <w:bCs/>
                <w:sz w:val="22"/>
                <w:szCs w:val="22"/>
              </w:rPr>
              <w:t xml:space="preserve">Wrong answer: </w:t>
            </w:r>
            <w:r>
              <w:rPr>
                <w:rFonts w:ascii="Arial" w:cs="Arial" w:eastAsia="Arial" w:hAnsi="Arial"/>
                <w:sz w:val="22"/>
                <w:szCs w:val="22"/>
              </w:rPr>
              <w:t xml:space="preserve">20 times (this is the ratio, not the computed answer)</w:t>
            </w:r>
          </w:p>
        </w:tc>
      </w:tr>
    </w:tbl>
    <w:p>
      <w:pPr>
        <w:spacing w:before="120" w:after="0"/>
      </w:pPr>
      <w:r>
        <w:t xml:space="preserve"/>
      </w:r>
    </w:p>
    <w:p>
      <w:pPr>
        <w:spacing w:before="80" w:after="80"/>
      </w:pPr>
      <w:r>
        <w:rPr>
          <w:rFonts w:ascii="Arial" w:cs="Arial" w:eastAsia="Arial" w:hAnsi="Arial"/>
          <w:sz w:val="22"/>
          <w:szCs w:val="22"/>
        </w:rPr>
        <w:t xml:space="preserve">Tips for this type:</w:t>
      </w:r>
    </w:p>
    <w:p>
      <w:pPr>
        <w:pStyle w:val="ListParagraph"/>
        <w:numPr>
          <w:ilvl w:val="0"/>
          <w:numId w:val="2"/>
        </w:numPr>
        <w:spacing w:before="60" w:after="60"/>
      </w:pPr>
      <w:r>
        <w:rPr>
          <w:rFonts w:ascii="Arial" w:cs="Arial" w:eastAsia="Arial" w:hAnsi="Arial"/>
          <w:sz w:val="22"/>
          <w:szCs w:val="22"/>
        </w:rPr>
        <w:t xml:space="preserve">Write both your working AND your final answer (e.g., '5 × 20 = 100 crore rupees')</w:t>
      </w:r>
    </w:p>
    <w:p>
      <w:pPr>
        <w:pStyle w:val="ListParagraph"/>
        <w:numPr>
          <w:ilvl w:val="0"/>
          <w:numId w:val="2"/>
        </w:numPr>
        <w:spacing w:before="60" w:after="60"/>
      </w:pPr>
      <w:r>
        <w:rPr>
          <w:rFonts w:ascii="Arial" w:cs="Arial" w:eastAsia="Arial" w:hAnsi="Arial"/>
          <w:sz w:val="22"/>
          <w:szCs w:val="22"/>
        </w:rPr>
        <w:t xml:space="preserve">Include units in your answer (crore rupees, per cent, days, etc.)</w:t>
      </w:r>
    </w:p>
    <w:p>
      <w:pPr>
        <w:pStyle w:val="ListParagraph"/>
        <w:numPr>
          <w:ilvl w:val="0"/>
          <w:numId w:val="2"/>
        </w:numPr>
        <w:spacing w:before="60" w:after="60"/>
      </w:pPr>
      <w:r>
        <w:rPr>
          <w:rFonts w:ascii="Arial" w:cs="Arial" w:eastAsia="Arial" w:hAnsi="Arial"/>
          <w:sz w:val="22"/>
          <w:szCs w:val="22"/>
        </w:rPr>
        <w:t xml:space="preserve">Only use numbers that appear in the context passage — no outside figures</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Type 3 — Contradiction Detection</w:t>
      </w:r>
    </w:p>
    <w:p>
      <w:pPr>
        <w:spacing w:before="80" w:after="80"/>
      </w:pPr>
      <w:r>
        <w:rPr>
          <w:rFonts w:ascii="Arial" w:cs="Arial" w:eastAsia="Arial" w:hAnsi="Arial"/>
          <w:sz w:val="22"/>
          <w:szCs w:val="22"/>
        </w:rPr>
        <w:t xml:space="preserve">These questions give you TWO passages (Passage A and Passage B) and ask whether they contradict each other on a specific point. Your answer must be either Yes or No, followed by one sentence of explanation.</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EXAMPLE — Contradiction Detection</w:t>
            </w:r>
          </w:p>
        </w:tc>
      </w:tr>
      <w:tr>
        <w:tc>
          <w:tcPr>
            <w:tcW w:type="dxa" w:w="9026"/>
            <w:tcBorders>
              <w:top w:val="none" w:color="FFFFFF" w:sz="0"/>
              <w:left w:val="single" w:color="CCCCCC" w:sz="1"/>
              <w:bottom w:val="single" w:color="CCCCCC" w:sz="1"/>
              <w:right w:val="single" w:color="CCCCCC" w:sz="1"/>
            </w:tcBorders>
            <w:shd w:fill="F5F5F5" w:val="clear"/>
            <w:tcMar>
              <w:top w:type="dxa" w:w="100"/>
              <w:left w:type="dxa" w:w="160"/>
              <w:bottom w:type="dxa" w:w="100"/>
              <w:right w:type="dxa" w:w="160"/>
            </w:tcMar>
          </w:tcPr>
          <w:p>
            <w:pPr>
              <w:spacing w:before="80" w:after="80"/>
            </w:pPr>
            <w:r>
              <w:rPr>
                <w:rFonts w:ascii="Arial" w:cs="Arial" w:eastAsia="Arial" w:hAnsi="Arial"/>
                <w:b/>
                <w:bCs/>
                <w:sz w:val="22"/>
                <w:szCs w:val="22"/>
              </w:rPr>
              <w:t xml:space="preserve">Passage A: </w:t>
            </w:r>
            <w:r>
              <w:rPr>
                <w:rFonts w:ascii="Arial" w:cs="Arial" w:eastAsia="Arial" w:hAnsi="Arial"/>
                <w:sz w:val="22"/>
                <w:szCs w:val="22"/>
              </w:rPr>
              <w:t xml:space="preserve">The minimum promoters' contribution shall be locked in for a period of three years from the date of commencement of commercial production or date of allotment.</w:t>
            </w:r>
          </w:p>
          <w:p>
            <w:pPr>
              <w:spacing w:before="80" w:after="80"/>
            </w:pPr>
            <w:r>
              <w:rPr>
                <w:rFonts w:ascii="Arial" w:cs="Arial" w:eastAsia="Arial" w:hAnsi="Arial"/>
                <w:b/>
                <w:bCs/>
                <w:sz w:val="22"/>
                <w:szCs w:val="22"/>
              </w:rPr>
              <w:t xml:space="preserve">Passage B: </w:t>
            </w:r>
            <w:r>
              <w:rPr>
                <w:rFonts w:ascii="Arial" w:cs="Arial" w:eastAsia="Arial" w:hAnsi="Arial"/>
                <w:sz w:val="22"/>
                <w:szCs w:val="22"/>
              </w:rPr>
              <w:t xml:space="preserve">The minimum promoters' contribution shall be locked in for a period of eighteen months from the date of allotment. (Capital expenditure exception: three years.)</w:t>
            </w:r>
          </w:p>
          <w:p>
            <w:pPr>
              <w:spacing w:before="80" w:after="80"/>
            </w:pPr>
            <w:r>
              <w:rPr>
                <w:rFonts w:ascii="Arial" w:cs="Arial" w:eastAsia="Arial" w:hAnsi="Arial"/>
                <w:b/>
                <w:bCs/>
                <w:sz w:val="22"/>
                <w:szCs w:val="22"/>
              </w:rPr>
              <w:t xml:space="preserve">Question: </w:t>
            </w:r>
            <w:r>
              <w:rPr>
                <w:rFonts w:ascii="Arial" w:cs="Arial" w:eastAsia="Arial" w:hAnsi="Arial"/>
                <w:sz w:val="22"/>
                <w:szCs w:val="22"/>
              </w:rPr>
              <w:t xml:space="preserve">Do the two passages prescribe different lock-in periods for minimum promoters' contribution in the general (non-capital-expenditure) case?</w:t>
            </w:r>
          </w:p>
          <w:p>
            <w:pPr>
              <w:spacing w:before="80" w:after="80"/>
            </w:pPr>
            <w:r>
              <w:rPr>
                <w:rFonts w:ascii="Arial" w:cs="Arial" w:eastAsia="Arial" w:hAnsi="Arial"/>
                <w:b/>
                <w:bCs/>
                <w:sz w:val="22"/>
                <w:szCs w:val="22"/>
              </w:rPr>
              <w:t xml:space="preserve">Correct answer: </w:t>
            </w:r>
            <w:r>
              <w:rPr>
                <w:rFonts w:ascii="Arial" w:cs="Arial" w:eastAsia="Arial" w:hAnsi="Arial"/>
                <w:sz w:val="22"/>
                <w:szCs w:val="22"/>
              </w:rPr>
              <w:t xml:space="preserve">Yes — Passage A requires three years as the default; Passage B requires only eighteen months as the default.</w:t>
            </w:r>
          </w:p>
          <w:p>
            <w:pPr>
              <w:spacing w:before="80" w:after="80"/>
            </w:pPr>
            <w:r>
              <w:rPr>
                <w:rFonts w:ascii="Arial" w:cs="Arial" w:eastAsia="Arial" w:hAnsi="Arial"/>
                <w:b/>
                <w:bCs/>
                <w:sz w:val="22"/>
                <w:szCs w:val="22"/>
              </w:rPr>
              <w:t xml:space="preserve">Wrong answer: </w:t>
            </w:r>
            <w:r>
              <w:rPr>
                <w:rFonts w:ascii="Arial" w:cs="Arial" w:eastAsia="Arial" w:hAnsi="Arial"/>
                <w:sz w:val="22"/>
                <w:szCs w:val="22"/>
              </w:rPr>
              <w:t xml:space="preserve">Yes, they are different (explanation is required — never leave it blank)</w:t>
            </w:r>
          </w:p>
        </w:tc>
      </w:tr>
    </w:tbl>
    <w:p>
      <w:pPr>
        <w:spacing w:before="120" w:after="0"/>
      </w:pPr>
      <w:r>
        <w:t xml:space="preserve"/>
      </w:r>
    </w:p>
    <w:p>
      <w:pPr>
        <w:spacing w:before="80" w:after="80"/>
      </w:pPr>
      <w:r>
        <w:rPr>
          <w:rFonts w:ascii="Arial" w:cs="Arial" w:eastAsia="Arial" w:hAnsi="Arial"/>
          <w:sz w:val="22"/>
          <w:szCs w:val="22"/>
        </w:rPr>
        <w:t xml:space="preserve">Tips for this type:</w:t>
      </w:r>
    </w:p>
    <w:p>
      <w:pPr>
        <w:pStyle w:val="ListParagraph"/>
        <w:numPr>
          <w:ilvl w:val="0"/>
          <w:numId w:val="2"/>
        </w:numPr>
        <w:spacing w:before="60" w:after="60"/>
      </w:pPr>
      <w:r>
        <w:rPr>
          <w:rFonts w:ascii="Arial" w:cs="Arial" w:eastAsia="Arial" w:hAnsi="Arial"/>
          <w:sz w:val="22"/>
          <w:szCs w:val="22"/>
        </w:rPr>
        <w:t xml:space="preserve">Focus exactly on what the question asks — not whether the passages differ in general</w:t>
      </w:r>
    </w:p>
    <w:p>
      <w:pPr>
        <w:pStyle w:val="ListParagraph"/>
        <w:numPr>
          <w:ilvl w:val="0"/>
          <w:numId w:val="2"/>
        </w:numPr>
        <w:spacing w:before="60" w:after="60"/>
      </w:pPr>
      <w:r>
        <w:rPr>
          <w:rFonts w:ascii="Arial" w:cs="Arial" w:eastAsia="Arial" w:hAnsi="Arial"/>
          <w:sz w:val="22"/>
          <w:szCs w:val="22"/>
        </w:rPr>
        <w:t xml:space="preserve">Always write Yes or No first, then one sentence explaining why</w:t>
      </w:r>
    </w:p>
    <w:p>
      <w:pPr>
        <w:pStyle w:val="ListParagraph"/>
        <w:numPr>
          <w:ilvl w:val="0"/>
          <w:numId w:val="2"/>
        </w:numPr>
        <w:spacing w:before="60" w:after="60"/>
      </w:pPr>
      <w:r>
        <w:rPr>
          <w:rFonts w:ascii="Arial" w:cs="Arial" w:eastAsia="Arial" w:hAnsi="Arial"/>
          <w:sz w:val="22"/>
          <w:szCs w:val="22"/>
        </w:rPr>
        <w:t xml:space="preserve">'No' answers are just as valid as 'Yes' answers — do not assume they must always contradict</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Type 4 — Temporal Reasoning</w:t>
      </w:r>
    </w:p>
    <w:p>
      <w:pPr>
        <w:spacing w:before="80" w:after="80"/>
      </w:pPr>
      <w:r>
        <w:rPr>
          <w:rFonts w:ascii="Arial" w:cs="Arial" w:eastAsia="Arial" w:hAnsi="Arial"/>
          <w:sz w:val="22"/>
          <w:szCs w:val="22"/>
        </w:rPr>
        <w:t xml:space="preserve">These questions ask you to reason about the timing or sequence of regulatory events — which rule came first, which is currently in force, or when a change took effect.</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EXAMPLE — Temporal Reasoning</w:t>
            </w:r>
          </w:p>
        </w:tc>
      </w:tr>
      <w:tr>
        <w:tc>
          <w:tcPr>
            <w:tcW w:type="dxa" w:w="9026"/>
            <w:tcBorders>
              <w:top w:val="none" w:color="FFFFFF" w:sz="0"/>
              <w:left w:val="single" w:color="CCCCCC" w:sz="1"/>
              <w:bottom w:val="single" w:color="CCCCCC" w:sz="1"/>
              <w:right w:val="single" w:color="CCCCCC" w:sz="1"/>
            </w:tcBorders>
            <w:shd w:fill="F5F5F5" w:val="clear"/>
            <w:tcMar>
              <w:top w:type="dxa" w:w="100"/>
              <w:left w:type="dxa" w:w="160"/>
              <w:bottom w:type="dxa" w:w="100"/>
              <w:right w:type="dxa" w:w="160"/>
            </w:tcMar>
          </w:tcPr>
          <w:p>
            <w:pPr>
              <w:spacing w:before="80" w:after="80"/>
            </w:pPr>
            <w:r>
              <w:rPr>
                <w:rFonts w:ascii="Arial" w:cs="Arial" w:eastAsia="Arial" w:hAnsi="Arial"/>
                <w:b/>
                <w:bCs/>
                <w:sz w:val="22"/>
                <w:szCs w:val="22"/>
              </w:rPr>
              <w:t xml:space="preserve">Context: </w:t>
            </w:r>
            <w:r>
              <w:rPr>
                <w:rFonts w:ascii="Arial" w:cs="Arial" w:eastAsia="Arial" w:hAnsi="Arial"/>
                <w:sz w:val="22"/>
                <w:szCs w:val="22"/>
              </w:rPr>
              <w:t xml:space="preserve">The term 'innovators growth platform' was substituted by the SEBI (ICDR) (Second Amendment) Regulations, 2019, w.e.f 05.04.2019. Prior to its substitution, it was referred to as 'institutional trading platform'.</w:t>
            </w:r>
          </w:p>
          <w:p>
            <w:pPr>
              <w:spacing w:before="80" w:after="80"/>
            </w:pPr>
            <w:r>
              <w:rPr>
                <w:rFonts w:ascii="Arial" w:cs="Arial" w:eastAsia="Arial" w:hAnsi="Arial"/>
                <w:b/>
                <w:bCs/>
                <w:sz w:val="22"/>
                <w:szCs w:val="22"/>
              </w:rPr>
              <w:t xml:space="preserve">Question: </w:t>
            </w:r>
            <w:r>
              <w:rPr>
                <w:rFonts w:ascii="Arial" w:cs="Arial" w:eastAsia="Arial" w:hAnsi="Arial"/>
                <w:sz w:val="22"/>
                <w:szCs w:val="22"/>
              </w:rPr>
              <w:t xml:space="preserve">What was the name of the trading platform for emerging issuers under SEBI ICDR Regulations before 5 April 2019?</w:t>
            </w:r>
          </w:p>
          <w:p>
            <w:pPr>
              <w:spacing w:before="80" w:after="80"/>
            </w:pPr>
            <w:r>
              <w:rPr>
                <w:rFonts w:ascii="Arial" w:cs="Arial" w:eastAsia="Arial" w:hAnsi="Arial"/>
                <w:b/>
                <w:bCs/>
                <w:sz w:val="22"/>
                <w:szCs w:val="22"/>
              </w:rPr>
              <w:t xml:space="preserve">Correct answer: </w:t>
            </w:r>
            <w:r>
              <w:rPr>
                <w:rFonts w:ascii="Arial" w:cs="Arial" w:eastAsia="Arial" w:hAnsi="Arial"/>
                <w:sz w:val="22"/>
                <w:szCs w:val="22"/>
              </w:rPr>
              <w:t xml:space="preserve">Institutional trading platform</w:t>
            </w:r>
          </w:p>
          <w:p>
            <w:pPr>
              <w:spacing w:before="80" w:after="80"/>
            </w:pPr>
            <w:r>
              <w:rPr>
                <w:rFonts w:ascii="Arial" w:cs="Arial" w:eastAsia="Arial" w:hAnsi="Arial"/>
                <w:b/>
                <w:bCs/>
                <w:sz w:val="22"/>
                <w:szCs w:val="22"/>
              </w:rPr>
              <w:t xml:space="preserve">Wrong answer: </w:t>
            </w:r>
            <w:r>
              <w:rPr>
                <w:rFonts w:ascii="Arial" w:cs="Arial" w:eastAsia="Arial" w:hAnsi="Arial"/>
                <w:sz w:val="22"/>
                <w:szCs w:val="22"/>
              </w:rPr>
              <w:t xml:space="preserve">Innovators growth platform (this is the current name, not the historical one)</w:t>
            </w:r>
          </w:p>
        </w:tc>
      </w:tr>
    </w:tbl>
    <w:p>
      <w:pPr>
        <w:spacing w:before="120" w:after="0"/>
      </w:pPr>
      <w:r>
        <w:t xml:space="preserve"/>
      </w:r>
    </w:p>
    <w:p>
      <w:pPr>
        <w:spacing w:before="80" w:after="80"/>
      </w:pPr>
      <w:r>
        <w:rPr>
          <w:rFonts w:ascii="Arial" w:cs="Arial" w:eastAsia="Arial" w:hAnsi="Arial"/>
          <w:sz w:val="22"/>
          <w:szCs w:val="22"/>
        </w:rPr>
        <w:t xml:space="preserve">Tips for this type:</w:t>
      </w:r>
    </w:p>
    <w:p>
      <w:pPr>
        <w:pStyle w:val="ListParagraph"/>
        <w:numPr>
          <w:ilvl w:val="0"/>
          <w:numId w:val="2"/>
        </w:numPr>
        <w:spacing w:before="60" w:after="60"/>
      </w:pPr>
      <w:r>
        <w:rPr>
          <w:rFonts w:ascii="Arial" w:cs="Arial" w:eastAsia="Arial" w:hAnsi="Arial"/>
          <w:sz w:val="22"/>
          <w:szCs w:val="22"/>
        </w:rPr>
        <w:t xml:space="preserve">Pay close attention to phrases like 'prior to', 'w.e.f.', 'before the amendment', 'as substituted by'</w:t>
      </w:r>
    </w:p>
    <w:p>
      <w:pPr>
        <w:pStyle w:val="ListParagraph"/>
        <w:numPr>
          <w:ilvl w:val="0"/>
          <w:numId w:val="2"/>
        </w:numPr>
        <w:spacing w:before="60" w:after="60"/>
      </w:pPr>
      <w:r>
        <w:rPr>
          <w:rFonts w:ascii="Arial" w:cs="Arial" w:eastAsia="Arial" w:hAnsi="Arial"/>
          <w:sz w:val="22"/>
          <w:szCs w:val="22"/>
        </w:rPr>
        <w:t xml:space="preserve">The question may ask about the historical state (before an amendment) or the current state — read carefully</w:t>
      </w:r>
    </w:p>
    <w:p>
      <w:pPr>
        <w:pStyle w:val="ListParagraph"/>
        <w:numPr>
          <w:ilvl w:val="0"/>
          <w:numId w:val="2"/>
        </w:numPr>
        <w:spacing w:before="60" w:after="60"/>
      </w:pPr>
      <w:r>
        <w:rPr>
          <w:rFonts w:ascii="Arial" w:cs="Arial" w:eastAsia="Arial" w:hAnsi="Arial"/>
          <w:sz w:val="22"/>
          <w:szCs w:val="22"/>
        </w:rPr>
        <w:t xml:space="preserve">Dates in Indian regulatory text use the format DD.MM.YYYY (e.g., 05.04.2019 = 5 April 2019)</w:t>
      </w:r>
    </w:p>
    <w:p>
      <w:pPr>
        <w:spacing w:before="120" w:after="0"/>
      </w:pPr>
      <w:r>
        <w:t xml:space="preserve"/>
      </w:r>
    </w:p>
    <w:p>
      <w:pPr>
        <w:pStyle w:val="Heading1"/>
        <w:pBdr>
          <w:bottom w:val="single" w:color="1F4E79" w:sz="4" w:space="4"/>
        </w:pBdr>
        <w:spacing w:before="360" w:after="160"/>
      </w:pPr>
      <w:r>
        <w:rPr>
          <w:rFonts w:ascii="Arial" w:cs="Arial" w:eastAsia="Arial" w:hAnsi="Arial"/>
          <w:b/>
          <w:bCs/>
          <w:color w:val="1F4E79"/>
          <w:sz w:val="32"/>
          <w:szCs w:val="32"/>
        </w:rPr>
        <w:t xml:space="preserve">3. Rules You Must Follow</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1F4E79" w:sz="16"/>
              <w:bottom w:val="single" w:color="2E75B6" w:sz="4"/>
              <w:right w:val="none" w:color="FFFFFF" w:sz="0"/>
            </w:tcBorders>
            <w:shd w:fill="FFF3E0" w:val="clear"/>
            <w:tcMar>
              <w:top w:type="dxa" w:w="120"/>
              <w:left w:type="dxa" w:w="200"/>
              <w:bottom w:type="dxa" w:w="120"/>
              <w:right w:type="dxa" w:w="120"/>
            </w:tcMar>
          </w:tcPr>
          <w:p>
            <w:pPr>
              <w:spacing w:before="60" w:after="60"/>
            </w:pPr>
            <w:r>
              <w:rPr>
                <w:rFonts w:ascii="Arial" w:cs="Arial" w:eastAsia="Arial" w:hAnsi="Arial"/>
                <w:sz w:val="22"/>
                <w:szCs w:val="22"/>
              </w:rPr>
              <w:t xml:space="preserve">Rule 1 — Use only the context passage. Never use outside knowledge, Google, or textbooks.</w:t>
            </w:r>
          </w:p>
          <w:p>
            <w:pPr>
              <w:spacing w:before="60" w:after="60"/>
            </w:pPr>
            <w:r>
              <w:rPr>
                <w:rFonts w:ascii="Arial" w:cs="Arial" w:eastAsia="Arial" w:hAnsi="Arial"/>
                <w:sz w:val="22"/>
                <w:szCs w:val="22"/>
              </w:rPr>
              <w:t xml:space="preserve">Rule 2 — Answer every question. Do not skip items.</w:t>
            </w:r>
          </w:p>
          <w:p>
            <w:pPr>
              <w:spacing w:before="60" w:after="60"/>
            </w:pPr>
            <w:r>
              <w:rPr>
                <w:rFonts w:ascii="Arial" w:cs="Arial" w:eastAsia="Arial" w:hAnsi="Arial"/>
                <w:sz w:val="22"/>
                <w:szCs w:val="22"/>
              </w:rPr>
              <w:t xml:space="preserve">Rule 3 — If genuinely unanswerable from context, write: Cannot be determined from context.</w:t>
            </w:r>
          </w:p>
          <w:p>
            <w:pPr>
              <w:spacing w:before="60" w:after="60"/>
            </w:pPr>
            <w:r>
              <w:rPr>
                <w:rFonts w:ascii="Arial" w:cs="Arial" w:eastAsia="Arial" w:hAnsi="Arial"/>
                <w:sz w:val="22"/>
                <w:szCs w:val="22"/>
              </w:rPr>
              <w:t xml:space="preserve">Rule 4 — For Type 3 (Contradiction), always write Yes or No first, then explain in one sentence.</w:t>
            </w:r>
          </w:p>
          <w:p>
            <w:pPr>
              <w:spacing w:before="60" w:after="60"/>
            </w:pPr>
            <w:r>
              <w:rPr>
                <w:rFonts w:ascii="Arial" w:cs="Arial" w:eastAsia="Arial" w:hAnsi="Arial"/>
                <w:sz w:val="22"/>
                <w:szCs w:val="22"/>
              </w:rPr>
              <w:t xml:space="preserve">Rule 5 — For Type 2 (Numerical), always show your working alongside the final answer.</w:t>
            </w:r>
          </w:p>
          <w:p>
            <w:pPr>
              <w:spacing w:before="60" w:after="60"/>
            </w:pPr>
            <w:r>
              <w:rPr>
                <w:rFonts w:ascii="Arial" w:cs="Arial" w:eastAsia="Arial" w:hAnsi="Arial"/>
                <w:sz w:val="22"/>
                <w:szCs w:val="22"/>
              </w:rPr>
              <w:t xml:space="preserve">Rule 6 — Do not discuss your answers with anyone else during annotation.</w:t>
            </w:r>
          </w:p>
        </w:tc>
      </w:tr>
    </w:tbl>
    <w:p>
      <w:pPr>
        <w:spacing w:before="120" w:after="0"/>
      </w:pPr>
      <w:r>
        <w:t xml:space="preserve"/>
      </w:r>
    </w:p>
    <w:p>
      <w:pPr>
        <w:pStyle w:val="Heading1"/>
        <w:pBdr>
          <w:bottom w:val="single" w:color="1F4E79" w:sz="4" w:space="4"/>
        </w:pBdr>
        <w:spacing w:before="360" w:after="160"/>
      </w:pPr>
      <w:r>
        <w:rPr>
          <w:rFonts w:ascii="Arial" w:cs="Arial" w:eastAsia="Arial" w:hAnsi="Arial"/>
          <w:b/>
          <w:bCs/>
          <w:color w:val="1F4E79"/>
          <w:sz w:val="32"/>
          <w:szCs w:val="32"/>
        </w:rPr>
        <w:t xml:space="preserve">4. How to Submit Your Answers</w:t>
      </w:r>
    </w:p>
    <w:p>
      <w:pPr>
        <w:spacing w:before="120" w:after="0"/>
      </w:pPr>
      <w:r>
        <w:t xml:space="preserve"/>
      </w:r>
    </w:p>
    <w:p>
      <w:pPr>
        <w:spacing w:before="80" w:after="80"/>
      </w:pPr>
      <w:r>
        <w:rPr>
          <w:rFonts w:ascii="Arial" w:cs="Arial" w:eastAsia="Arial" w:hAnsi="Arial"/>
          <w:sz w:val="22"/>
          <w:szCs w:val="22"/>
        </w:rPr>
        <w:t xml:space="preserve">You will receive a spreadsheet (Excel or Google Sheets) with all 150 items. The columns are:</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contains</w:t>
            </w:r>
          </w:p>
        </w:tc>
        <w:tc>
          <w:tcPr>
            <w:tcW w:type="dxa" w:w="2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Your action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Unique ID for each item (e.g., REG_001)</w:t>
            </w:r>
          </w:p>
        </w:tc>
        <w:tc>
          <w:tcPr>
            <w:tcW w:type="dxa" w:w="2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Do not edit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task_type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question type (regulatory_interpretation, etc.)</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 edit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context / context_a / context_b</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passage(s) to read</w:t>
            </w:r>
          </w:p>
        </w:tc>
        <w:tc>
          <w:tcPr>
            <w:tcW w:type="dxa" w:w="2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Do not edit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question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question to answer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 edit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your_answer</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BLANK — this is where you type your answer</w:t>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TYPE YOUR ANSWER HERE</w:t>
            </w:r>
          </w:p>
        </w:tc>
      </w:tr>
    </w:tbl>
    <w:p>
      <w:pPr>
        <w:spacing w:before="120" w:after="0"/>
      </w:pPr>
      <w:r>
        <w:t xml:space="preserve"/>
      </w:r>
    </w:p>
    <w:p>
      <w:pPr>
        <w:spacing w:before="80" w:after="80"/>
      </w:pPr>
      <w:r>
        <w:rPr>
          <w:rFonts w:ascii="Arial" w:cs="Arial" w:eastAsia="Arial" w:hAnsi="Arial"/>
          <w:sz w:val="22"/>
          <w:szCs w:val="22"/>
        </w:rPr>
        <w:t xml:space="preserve">When you are done, save the file and return it. There is no time limit but aim to complete it within 3 days.</w:t>
      </w:r>
    </w:p>
    <w:p>
      <w:pPr>
        <w:spacing w:before="120" w:after="0"/>
      </w:pPr>
      <w:r>
        <w:t xml:space="preserve"/>
      </w:r>
    </w:p>
    <w:p>
      <w:pPr>
        <w:pStyle w:val="Heading1"/>
        <w:pBdr>
          <w:bottom w:val="single" w:color="1F4E79" w:sz="4" w:space="4"/>
        </w:pBdr>
        <w:spacing w:before="360" w:after="160"/>
      </w:pPr>
      <w:r>
        <w:rPr>
          <w:rFonts w:ascii="Arial" w:cs="Arial" w:eastAsia="Arial" w:hAnsi="Arial"/>
          <w:b/>
          <w:bCs/>
          <w:color w:val="1F4E79"/>
          <w:sz w:val="32"/>
          <w:szCs w:val="32"/>
        </w:rPr>
        <w:t xml:space="preserve">5. Tips for Working Efficiently</w:t>
      </w:r>
    </w:p>
    <w:p>
      <w:pPr>
        <w:spacing w:before="120" w:after="0"/>
      </w:pPr>
      <w:r>
        <w:t xml:space="preserve"/>
      </w:r>
    </w:p>
    <w:p>
      <w:pPr>
        <w:spacing w:before="80" w:after="80"/>
      </w:pPr>
      <w:r>
        <w:rPr>
          <w:rFonts w:ascii="Arial" w:cs="Arial" w:eastAsia="Arial" w:hAnsi="Arial"/>
          <w:sz w:val="22"/>
          <w:szCs w:val="22"/>
        </w:rPr>
        <w:t xml:space="preserve">These tips will help you work faster and more accurately:</w:t>
      </w:r>
    </w:p>
    <w:p>
      <w:pPr>
        <w:spacing w:before="120" w:after="0"/>
      </w:pPr>
      <w:r>
        <w:t xml:space="preserve"/>
      </w:r>
    </w:p>
    <w:p>
      <w:pPr>
        <w:pStyle w:val="ListParagraph"/>
        <w:numPr>
          <w:ilvl w:val="0"/>
          <w:numId w:val="3"/>
        </w:numPr>
        <w:spacing w:before="60" w:after="60"/>
      </w:pPr>
      <w:r>
        <w:rPr>
          <w:rFonts w:ascii="Arial" w:cs="Arial" w:eastAsia="Arial" w:hAnsi="Arial"/>
          <w:sz w:val="22"/>
          <w:szCs w:val="22"/>
        </w:rPr>
        <w:t xml:space="preserve">Read the question before reading the passage — know what you are looking for.</w:t>
      </w:r>
    </w:p>
    <w:p>
      <w:pPr>
        <w:pStyle w:val="ListParagraph"/>
        <w:numPr>
          <w:ilvl w:val="0"/>
          <w:numId w:val="3"/>
        </w:numPr>
        <w:spacing w:before="60" w:after="60"/>
      </w:pPr>
      <w:r>
        <w:rPr>
          <w:rFonts w:ascii="Arial" w:cs="Arial" w:eastAsia="Arial" w:hAnsi="Arial"/>
          <w:sz w:val="22"/>
          <w:szCs w:val="22"/>
        </w:rPr>
        <w:t xml:space="preserve">Scan for numbers, percentages, and specific terms — they appear in most answers.</w:t>
      </w:r>
    </w:p>
    <w:p>
      <w:pPr>
        <w:pStyle w:val="ListParagraph"/>
        <w:numPr>
          <w:ilvl w:val="0"/>
          <w:numId w:val="3"/>
        </w:numPr>
        <w:spacing w:before="60" w:after="60"/>
      </w:pPr>
      <w:r>
        <w:rPr>
          <w:rFonts w:ascii="Arial" w:cs="Arial" w:eastAsia="Arial" w:hAnsi="Arial"/>
          <w:sz w:val="22"/>
          <w:szCs w:val="22"/>
        </w:rPr>
        <w:t xml:space="preserve">For Type 3 (Contradiction), identify the specific claim the question asks about, then compare only that claim across the two passages.</w:t>
      </w:r>
    </w:p>
    <w:p>
      <w:pPr>
        <w:pStyle w:val="ListParagraph"/>
        <w:numPr>
          <w:ilvl w:val="0"/>
          <w:numId w:val="3"/>
        </w:numPr>
        <w:spacing w:before="60" w:after="60"/>
      </w:pPr>
      <w:r>
        <w:rPr>
          <w:rFonts w:ascii="Arial" w:cs="Arial" w:eastAsia="Arial" w:hAnsi="Arial"/>
          <w:sz w:val="22"/>
          <w:szCs w:val="22"/>
        </w:rPr>
        <w:t xml:space="preserve">For Type 4 (Temporal), look for amendment notes, phrases like 'prior to', 'w.e.f.', or 'substituted by'.</w:t>
      </w:r>
    </w:p>
    <w:p>
      <w:pPr>
        <w:pStyle w:val="ListParagraph"/>
        <w:numPr>
          <w:ilvl w:val="0"/>
          <w:numId w:val="3"/>
        </w:numPr>
        <w:spacing w:before="60" w:after="60"/>
      </w:pPr>
      <w:r>
        <w:rPr>
          <w:rFonts w:ascii="Arial" w:cs="Arial" w:eastAsia="Arial" w:hAnsi="Arial"/>
          <w:sz w:val="22"/>
          <w:szCs w:val="22"/>
        </w:rPr>
        <w:t xml:space="preserve">If you find yourself confused, write 'Cannot be determined from context' — do not guess.</w:t>
      </w:r>
    </w:p>
    <w:p>
      <w:pPr>
        <w:pStyle w:val="ListParagraph"/>
        <w:numPr>
          <w:ilvl w:val="0"/>
          <w:numId w:val="3"/>
        </w:numPr>
        <w:spacing w:before="60" w:after="60"/>
      </w:pPr>
      <w:r>
        <w:rPr>
          <w:rFonts w:ascii="Arial" w:cs="Arial" w:eastAsia="Arial" w:hAnsi="Arial"/>
          <w:sz w:val="22"/>
          <w:szCs w:val="22"/>
        </w:rPr>
        <w:t xml:space="preserve">Budget about 2-3 minutes per item. At 150 items that is approximately 5-7 hours total.</w:t>
      </w:r>
    </w:p>
    <w:p>
      <w:pPr>
        <w:spacing w:before="120" w:after="0"/>
      </w:pPr>
      <w:r>
        <w:t xml:space="preserve"/>
      </w:r>
    </w:p>
    <w:p>
      <w:pPr>
        <w:pStyle w:val="Heading1"/>
        <w:pBdr>
          <w:bottom w:val="single" w:color="1F4E79" w:sz="4" w:space="4"/>
        </w:pBdr>
        <w:spacing w:before="360" w:after="160"/>
      </w:pPr>
      <w:r>
        <w:rPr>
          <w:rFonts w:ascii="Arial" w:cs="Arial" w:eastAsia="Arial" w:hAnsi="Arial"/>
          <w:b/>
          <w:bCs/>
          <w:color w:val="1F4E79"/>
          <w:sz w:val="32"/>
          <w:szCs w:val="32"/>
        </w:rPr>
        <w:t xml:space="preserve">6. Your Role in This Research</w:t>
      </w:r>
    </w:p>
    <w:p>
      <w:pPr>
        <w:spacing w:before="120" w:after="0"/>
      </w:pPr>
      <w:r>
        <w:t xml:space="preserve"/>
      </w:r>
    </w:p>
    <w:p>
      <w:pPr>
        <w:spacing w:before="80" w:after="80"/>
      </w:pPr>
      <w:r>
        <w:rPr>
          <w:rFonts w:ascii="Arial" w:cs="Arial" w:eastAsia="Arial" w:hAnsi="Arial"/>
          <w:sz w:val="22"/>
          <w:szCs w:val="22"/>
        </w:rPr>
        <w:t xml:space="preserve">This project is building IndiaFinBench — a publicly released evaluation benchmark for large language models on Indian financial regulatory text. Your annotations will be used to compute inter-annotator agreement (Cohen's Kappa), which validates the quality of the dataset.</w:t>
      </w:r>
    </w:p>
    <w:p>
      <w:pPr>
        <w:spacing w:before="120" w:after="0"/>
      </w:pPr>
      <w:r>
        <w:t xml:space="preserve"/>
      </w:r>
    </w:p>
    <w:p>
      <w:pPr>
        <w:spacing w:before="80" w:after="80"/>
      </w:pPr>
      <w:r>
        <w:rPr>
          <w:rFonts w:ascii="Arial" w:cs="Arial" w:eastAsia="Arial" w:hAnsi="Arial"/>
          <w:sz w:val="22"/>
          <w:szCs w:val="22"/>
        </w:rPr>
        <w:t xml:space="preserve">You will be acknowledged in the dataset release and any academic papers published from this work. Your answers will never be shared publicly — only the agreement statistics will be reported.</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1F4E79" w:sz="16"/>
              <w:bottom w:val="single" w:color="2E75B6" w:sz="4"/>
              <w:right w:val="none" w:color="FFFFFF" w:sz="0"/>
            </w:tcBorders>
            <w:shd w:fill="EBF3FB" w:val="clear"/>
            <w:tcMar>
              <w:top w:type="dxa" w:w="120"/>
              <w:left w:type="dxa" w:w="200"/>
              <w:bottom w:type="dxa" w:w="120"/>
              <w:right w:type="dxa" w:w="120"/>
            </w:tcMar>
          </w:tcPr>
          <w:p>
            <w:pPr>
              <w:spacing w:before="60" w:after="60"/>
            </w:pPr>
            <w:r>
              <w:rPr>
                <w:rFonts w:ascii="Arial" w:cs="Arial" w:eastAsia="Arial" w:hAnsi="Arial"/>
                <w:sz w:val="22"/>
                <w:szCs w:val="22"/>
              </w:rPr>
              <w:t xml:space="preserve">You are annotating independently — do not discuss answers with the primary annotator or anyone else.</w:t>
            </w:r>
          </w:p>
          <w:p>
            <w:pPr>
              <w:spacing w:before="60" w:after="60"/>
            </w:pPr>
            <w:r>
              <w:rPr>
                <w:rFonts w:ascii="Arial" w:cs="Arial" w:eastAsia="Arial" w:hAnsi="Arial"/>
                <w:sz w:val="22"/>
                <w:szCs w:val="22"/>
              </w:rPr>
              <w:t xml:space="preserve">Your honest judgment is what matters. There are no trick questions.</w:t>
            </w:r>
          </w:p>
          <w:p>
            <w:pPr>
              <w:spacing w:before="60" w:after="60"/>
            </w:pPr>
            <w:r>
              <w:rPr>
                <w:rFonts w:ascii="Arial" w:cs="Arial" w:eastAsia="Arial" w:hAnsi="Arial"/>
                <w:sz w:val="22"/>
                <w:szCs w:val="22"/>
              </w:rPr>
              <w:t xml:space="preserve">If something seems genuinely ambiguous, note it in the 'your_answer' field alongside your answer.</w:t>
            </w:r>
          </w:p>
        </w:tc>
      </w:tr>
    </w:tbl>
    <w:p>
      <w:pPr>
        <w:spacing w:before="120" w:after="0"/>
      </w:pPr>
      <w:r>
        <w:t xml:space="preserve"/>
      </w:r>
    </w:p>
    <w:p>
      <w:pPr>
        <w:spacing w:before="80" w:after="80"/>
      </w:pPr>
      <w:r>
        <w:rPr>
          <w:rFonts w:ascii="Arial" w:cs="Arial" w:eastAsia="Arial" w:hAnsi="Arial"/>
          <w:sz w:val="22"/>
          <w:szCs w:val="22"/>
        </w:rPr>
        <w:t xml:space="preserve">Thank you. Your contribution directly supports open-source NLP research on Indian regulatory language.</w:t>
      </w:r>
    </w:p>
    <w:p>
      <w:pPr>
        <w:spacing w:before="120" w:after="0"/>
      </w:pPr>
      <w:r>
        <w:t xml:space="preserve"/>
      </w:r>
    </w:p>
    <w:p>
      <w:pPr>
        <w:spacing w:before="240" w:after="0"/>
      </w:pPr>
      <w:r>
        <w:rPr>
          <w:rFonts w:ascii="Arial" w:cs="Arial" w:eastAsia="Arial" w:hAnsi="Arial"/>
          <w:i/>
          <w:iCs/>
          <w:color w:val="555555"/>
          <w:sz w:val="20"/>
          <w:szCs w:val="20"/>
        </w:rPr>
        <w:t xml:space="preserve">— Rajveer Singh Pall, IndiaFinBench Project, 2025–26</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IndiaFinBench — Annotator Briefing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2026-03-29T16:35:28.405Z</dcterms:created>
  <dcterms:modified xsi:type="dcterms:W3CDTF">2026-03-29T16:35:28.406Z</dcterms:modified>
</cp:coreProperties>
</file>

<file path=docProps/custom.xml><?xml version="1.0" encoding="utf-8"?>
<Properties xmlns="http://schemas.openxmlformats.org/officeDocument/2006/custom-properties" xmlns:vt="http://schemas.openxmlformats.org/officeDocument/2006/docPropsVTypes"/>
</file>