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Learning-Based Diabetes Prediction: A Multi-Dimensional Evaluation Framework with External Validation and Fairness Analysis</w:t>
      </w:r>
    </w:p>
    <w:p>
      <w:r>
        <w:t>Rajveer Singh Pall</w:t>
        <w:br/>
        <w:t>Computer Science &amp; Business Systems</w:t>
        <w:br/>
        <w:t>Gyan Ganga Institute of Technology and Sciences</w:t>
        <w:br/>
        <w:t>Jabalpur, Madhya Pradesh, India</w:t>
        <w:br/>
        <w:t>rajveerpall05@gmail.com</w:t>
      </w:r>
    </w:p>
    <w:p>
      <w:pPr>
        <w:pStyle w:val="Heading1"/>
      </w:pPr>
      <w:r>
        <w:t>Abstract</w:t>
      </w:r>
    </w:p>
    <w:p>
      <w:r>
        <w:t>[Insert Abstract Here]</w:t>
      </w:r>
    </w:p>
    <w:p>
      <w:pPr>
        <w:pStyle w:val="Heading2"/>
      </w:pPr>
      <w:r>
        <w:t>TABLE I — Baseline Characteristics of NHANES and BRFSS Cohorts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Characteristic</w:t>
            </w:r>
          </w:p>
        </w:tc>
        <w:tc>
          <w:tcPr>
            <w:tcW w:type="dxa" w:w="2160"/>
          </w:tcPr>
          <w:p>
            <w:r>
              <w:t>NHANES</w:t>
            </w:r>
          </w:p>
        </w:tc>
        <w:tc>
          <w:tcPr>
            <w:tcW w:type="dxa" w:w="2160"/>
          </w:tcPr>
          <w:p>
            <w:r>
              <w:t>BRFSS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49.0 ± 18.6</w:t>
            </w:r>
          </w:p>
        </w:tc>
        <w:tc>
          <w:tcPr>
            <w:tcW w:type="dxa" w:w="2160"/>
          </w:tcPr>
          <w:p>
            <w:r>
              <w:t>55.1 ± 17.7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</w:tr>
      <w:tr>
        <w:tc>
          <w:tcPr>
            <w:tcW w:type="dxa" w:w="2160"/>
          </w:tcPr>
          <w:p>
            <w:r>
              <w:t>BMI kg/m²</w:t>
            </w:r>
          </w:p>
        </w:tc>
        <w:tc>
          <w:tcPr>
            <w:tcW w:type="dxa" w:w="2160"/>
          </w:tcPr>
          <w:p>
            <w:r>
              <w:t>29.7 ± 7.4</w:t>
            </w:r>
          </w:p>
        </w:tc>
        <w:tc>
          <w:tcPr>
            <w:tcW w:type="dxa" w:w="2160"/>
          </w:tcPr>
          <w:p>
            <w:r>
              <w:t>28.5 ± 6.5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</w:tr>
      <w:tr>
        <w:tc>
          <w:tcPr>
            <w:tcW w:type="dxa" w:w="2160"/>
          </w:tcPr>
          <w:p>
            <w:r>
              <w:t>Male (%)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</w:tr>
      <w:tr>
        <w:tc>
          <w:tcPr>
            <w:tcW w:type="dxa" w:w="2160"/>
          </w:tcPr>
          <w:p>
            <w:r>
              <w:t>Female (%)</w:t>
            </w:r>
          </w:p>
        </w:tc>
        <w:tc>
          <w:tcPr>
            <w:tcW w:type="dxa" w:w="2160"/>
          </w:tcPr>
          <w:p>
            <w:r>
              <w:t>51.5</w:t>
            </w:r>
          </w:p>
        </w:tc>
        <w:tc>
          <w:tcPr>
            <w:tcW w:type="dxa" w:w="2160"/>
          </w:tcPr>
          <w:p>
            <w:r>
              <w:t>53.6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NH White (%)</w:t>
            </w:r>
          </w:p>
        </w:tc>
        <w:tc>
          <w:tcPr>
            <w:tcW w:type="dxa" w:w="2160"/>
          </w:tcPr>
          <w:p>
            <w:r>
              <w:t>33.7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</w:tr>
      <w:tr>
        <w:tc>
          <w:tcPr>
            <w:tcW w:type="dxa" w:w="2160"/>
          </w:tcPr>
          <w:p>
            <w:r>
              <w:t>NH Black (%)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4.9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</w:tr>
      <w:tr>
        <w:tc>
          <w:tcPr>
            <w:tcW w:type="dxa" w:w="2160"/>
          </w:tcPr>
          <w:p>
            <w:r>
              <w:t>Hispanic (%)</w:t>
            </w:r>
          </w:p>
        </w:tc>
        <w:tc>
          <w:tcPr>
            <w:tcW w:type="dxa" w:w="2160"/>
          </w:tcPr>
          <w:p>
            <w:r>
              <w:t>25.4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</w:tr>
      <w:tr>
        <w:tc>
          <w:tcPr>
            <w:tcW w:type="dxa" w:w="2160"/>
          </w:tcPr>
          <w:p>
            <w:r>
              <w:t>Other/Multi (%)</w:t>
            </w:r>
          </w:p>
        </w:tc>
        <w:tc>
          <w:tcPr>
            <w:tcW w:type="dxa" w:w="2160"/>
          </w:tcPr>
          <w:p>
            <w:r>
              <w:t>12.1</w:t>
            </w:r>
          </w:p>
        </w:tc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</w:tr>
      <w:tr>
        <w:tc>
          <w:tcPr>
            <w:tcW w:type="dxa" w:w="2160"/>
          </w:tcPr>
          <w:p>
            <w:r>
              <w:t>Ever Smoker (%)</w:t>
            </w:r>
          </w:p>
        </w:tc>
        <w:tc>
          <w:tcPr>
            <w:tcW w:type="dxa" w:w="2160"/>
          </w:tcPr>
          <w:p>
            <w:r>
              <w:t>40.2</w:t>
            </w:r>
          </w:p>
        </w:tc>
        <w:tc>
          <w:tcPr>
            <w:tcW w:type="dxa" w:w="2160"/>
          </w:tcPr>
          <w:p>
            <w:r>
              <w:t>37.9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</w:tr>
      <w:tr>
        <w:tc>
          <w:tcPr>
            <w:tcW w:type="dxa" w:w="2160"/>
          </w:tcPr>
          <w:p>
            <w:r>
              <w:t>Physically Active (%)</w:t>
            </w:r>
          </w:p>
        </w:tc>
        <w:tc>
          <w:tcPr>
            <w:tcW w:type="dxa" w:w="2160"/>
          </w:tcPr>
          <w:p>
            <w:r>
              <w:t>25.4</w:t>
            </w:r>
          </w:p>
        </w:tc>
        <w:tc>
          <w:tcPr>
            <w:tcW w:type="dxa" w:w="2160"/>
          </w:tcPr>
          <w:p>
            <w:r>
              <w:t>75.8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</w:tr>
      <w:tr>
        <w:tc>
          <w:tcPr>
            <w:tcW w:type="dxa" w:w="2160"/>
          </w:tcPr>
          <w:p>
            <w:r>
              <w:t>Heart Attack (%)</w:t>
            </w:r>
          </w:p>
        </w:tc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</w:tr>
      <w:tr>
        <w:tc>
          <w:tcPr>
            <w:tcW w:type="dxa" w:w="2160"/>
          </w:tcPr>
          <w:p>
            <w:r>
              <w:t>Diabetes (%)</w:t>
            </w:r>
          </w:p>
        </w:tc>
        <w:tc>
          <w:tcPr>
            <w:tcW w:type="dxa" w:w="2160"/>
          </w:tcPr>
          <w:p>
            <w:r>
              <w:t>18.5</w:t>
            </w:r>
          </w:p>
        </w:tc>
        <w:tc>
          <w:tcPr>
            <w:tcW w:type="dxa" w:w="2160"/>
          </w:tcPr>
          <w:p>
            <w:r>
              <w:t>13.3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</w:tr>
    </w:tbl>
    <w:p>
      <w:pPr>
        <w:pStyle w:val="Heading2"/>
      </w:pPr>
      <w:r>
        <w:t>TABLE II — Internal Validation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AUC</w:t>
            </w:r>
          </w:p>
        </w:tc>
        <w:tc>
          <w:tcPr>
            <w:tcW w:type="dxa" w:w="1440"/>
          </w:tcPr>
          <w:p>
            <w:r>
              <w:t>Sensitivity</w:t>
            </w:r>
          </w:p>
        </w:tc>
        <w:tc>
          <w:tcPr>
            <w:tcW w:type="dxa" w:w="1440"/>
          </w:tcPr>
          <w:p>
            <w:r>
              <w:t>Specificity</w:t>
            </w:r>
          </w:p>
        </w:tc>
        <w:tc>
          <w:tcPr>
            <w:tcW w:type="dxa" w:w="1440"/>
          </w:tcPr>
          <w:p>
            <w:r>
              <w:t>PPV</w:t>
            </w:r>
          </w:p>
        </w:tc>
        <w:tc>
          <w:tcPr>
            <w:tcW w:type="dxa" w:w="1440"/>
          </w:tcPr>
          <w:p>
            <w:r>
              <w:t>NPV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XGBoost</w:t>
            </w:r>
          </w:p>
        </w:tc>
        <w:tc>
          <w:tcPr>
            <w:tcW w:type="dxa" w:w="1440"/>
          </w:tcPr>
          <w:p>
            <w:r>
              <w:t>0.876</w:t>
            </w:r>
          </w:p>
        </w:tc>
        <w:tc>
          <w:tcPr>
            <w:tcW w:type="dxa" w:w="1440"/>
          </w:tcPr>
          <w:p>
            <w:r>
              <w:t>0.789</w:t>
            </w:r>
          </w:p>
        </w:tc>
        <w:tc>
          <w:tcPr>
            <w:tcW w:type="dxa" w:w="1440"/>
          </w:tcPr>
          <w:p>
            <w:r>
              <w:t>0.813</w:t>
            </w:r>
          </w:p>
        </w:tc>
        <w:tc>
          <w:tcPr>
            <w:tcW w:type="dxa" w:w="1440"/>
          </w:tcPr>
          <w:p>
            <w:r>
              <w:t>0.512</w:t>
            </w:r>
          </w:p>
        </w:tc>
        <w:tc>
          <w:tcPr>
            <w:tcW w:type="dxa" w:w="1440"/>
          </w:tcPr>
          <w:p>
            <w:r>
              <w:t>0.937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0.873</w:t>
            </w:r>
          </w:p>
        </w:tc>
        <w:tc>
          <w:tcPr>
            <w:tcW w:type="dxa" w:w="1440"/>
          </w:tcPr>
          <w:p>
            <w:r>
              <w:t>0.782</w:t>
            </w:r>
          </w:p>
        </w:tc>
        <w:tc>
          <w:tcPr>
            <w:tcW w:type="dxa" w:w="1440"/>
          </w:tcPr>
          <w:p>
            <w:r>
              <w:t>0.808</w:t>
            </w:r>
          </w:p>
        </w:tc>
        <w:tc>
          <w:tcPr>
            <w:tcW w:type="dxa" w:w="1440"/>
          </w:tcPr>
          <w:p>
            <w:r>
              <w:t>0.503</w:t>
            </w:r>
          </w:p>
        </w:tc>
        <w:tc>
          <w:tcPr>
            <w:tcW w:type="dxa" w:w="1440"/>
          </w:tcPr>
          <w:p>
            <w:r>
              <w:t>0.935</w:t>
            </w:r>
          </w:p>
        </w:tc>
      </w:tr>
      <w:tr>
        <w:tc>
          <w:tcPr>
            <w:tcW w:type="dxa" w:w="1440"/>
          </w:tcPr>
          <w:p>
            <w:r>
              <w:t>Logistic Regression</w:t>
            </w:r>
          </w:p>
        </w:tc>
        <w:tc>
          <w:tcPr>
            <w:tcW w:type="dxa" w:w="1440"/>
          </w:tcPr>
          <w:p>
            <w:r>
              <w:t>0.866</w:t>
            </w:r>
          </w:p>
        </w:tc>
        <w:tc>
          <w:tcPr>
            <w:tcW w:type="dxa" w:w="1440"/>
          </w:tcPr>
          <w:p>
            <w:r>
              <w:t>0.771</w:t>
            </w:r>
          </w:p>
        </w:tc>
        <w:tc>
          <w:tcPr>
            <w:tcW w:type="dxa" w:w="1440"/>
          </w:tcPr>
          <w:p>
            <w:r>
              <w:t>0.801</w:t>
            </w:r>
          </w:p>
        </w:tc>
        <w:tc>
          <w:tcPr>
            <w:tcW w:type="dxa" w:w="1440"/>
          </w:tcPr>
          <w:p>
            <w:r>
              <w:t>0.487</w:t>
            </w:r>
          </w:p>
        </w:tc>
        <w:tc>
          <w:tcPr>
            <w:tcW w:type="dxa" w:w="1440"/>
          </w:tcPr>
          <w:p>
            <w:r>
              <w:t>0.932</w:t>
            </w:r>
          </w:p>
        </w:tc>
      </w:tr>
      <w:tr>
        <w:tc>
          <w:tcPr>
            <w:tcW w:type="dxa" w:w="1440"/>
          </w:tcPr>
          <w:p>
            <w:r>
              <w:t>SVM (RBF)</w:t>
            </w:r>
          </w:p>
        </w:tc>
        <w:tc>
          <w:tcPr>
            <w:tcW w:type="dxa" w:w="1440"/>
          </w:tcPr>
          <w:p>
            <w:r>
              <w:t>0.865</w:t>
            </w:r>
          </w:p>
        </w:tc>
        <w:tc>
          <w:tcPr>
            <w:tcW w:type="dxa" w:w="1440"/>
          </w:tcPr>
          <w:p>
            <w:r>
              <w:t>0.768</w:t>
            </w:r>
          </w:p>
        </w:tc>
        <w:tc>
          <w:tcPr>
            <w:tcW w:type="dxa" w:w="1440"/>
          </w:tcPr>
          <w:p>
            <w:r>
              <w:t>0.799</w:t>
            </w:r>
          </w:p>
        </w:tc>
        <w:tc>
          <w:tcPr>
            <w:tcW w:type="dxa" w:w="1440"/>
          </w:tcPr>
          <w:p>
            <w:r>
              <w:t>0.483</w:t>
            </w:r>
          </w:p>
        </w:tc>
        <w:tc>
          <w:tcPr>
            <w:tcW w:type="dxa" w:w="1440"/>
          </w:tcPr>
          <w:p>
            <w:r>
              <w:t>0.931</w:t>
            </w:r>
          </w:p>
        </w:tc>
      </w:tr>
    </w:tbl>
    <w:p>
      <w:pPr>
        <w:pStyle w:val="Heading2"/>
      </w:pPr>
      <w:r>
        <w:t>TABLE III — Fairness Summary (Condensed)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 Comparison</w:t>
            </w:r>
          </w:p>
        </w:tc>
        <w:tc>
          <w:tcPr>
            <w:tcW w:type="dxa" w:w="2880"/>
          </w:tcPr>
          <w:p>
            <w:r>
              <w:t>Equalized Odds Δ</w:t>
            </w:r>
          </w:p>
        </w:tc>
        <w:tc>
          <w:tcPr>
            <w:tcW w:type="dxa" w:w="2880"/>
          </w:tcPr>
          <w:p>
            <w:r>
              <w:t>Equal Opportunity Δ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Male vs Female</w:t>
            </w:r>
          </w:p>
        </w:tc>
        <w:tc>
          <w:tcPr>
            <w:tcW w:type="dxa" w:w="2880"/>
          </w:tcPr>
          <w:p>
            <w:r>
              <w:t>0.053</w:t>
            </w:r>
          </w:p>
        </w:tc>
        <w:tc>
          <w:tcPr>
            <w:tcW w:type="dxa" w:w="2880"/>
          </w:tcPr>
          <w:p>
            <w:r>
              <w:t>0.041</w:t>
            </w:r>
          </w:p>
        </w:tc>
      </w:tr>
      <w:tr>
        <w:tc>
          <w:tcPr>
            <w:tcW w:type="dxa" w:w="2880"/>
          </w:tcPr>
          <w:p>
            <w:r>
              <w:t>White vs Black</w:t>
            </w:r>
          </w:p>
        </w:tc>
        <w:tc>
          <w:tcPr>
            <w:tcW w:type="dxa" w:w="2880"/>
          </w:tcPr>
          <w:p>
            <w:r>
              <w:t>0.089</w:t>
            </w:r>
          </w:p>
        </w:tc>
        <w:tc>
          <w:tcPr>
            <w:tcW w:type="dxa" w:w="2880"/>
          </w:tcPr>
          <w:p>
            <w:r>
              <w:t>0.067</w:t>
            </w:r>
          </w:p>
        </w:tc>
      </w:tr>
      <w:tr>
        <w:tc>
          <w:tcPr>
            <w:tcW w:type="dxa" w:w="2880"/>
          </w:tcPr>
          <w:p>
            <w:r>
              <w:t>18–39 vs ≥60 yrs</w:t>
            </w:r>
          </w:p>
        </w:tc>
        <w:tc>
          <w:tcPr>
            <w:tcW w:type="dxa" w:w="2880"/>
          </w:tcPr>
          <w:p>
            <w:r>
              <w:t>0.110</w:t>
            </w:r>
          </w:p>
        </w:tc>
        <w:tc>
          <w:tcPr>
            <w:tcW w:type="dxa" w:w="2880"/>
          </w:tcPr>
          <w:p>
            <w:r>
              <w:t>0.095</w:t>
            </w:r>
          </w:p>
        </w:tc>
      </w:tr>
    </w:tbl>
    <w:p>
      <w:pPr>
        <w:pStyle w:val="Heading2"/>
      </w:pPr>
      <w:r>
        <w:t>FIGURE 1 — Internal Validation ROC Curves</w:t>
      </w:r>
    </w:p>
    <w:p>
      <w:r>
        <w:drawing>
          <wp:inline xmlns:a="http://schemas.openxmlformats.org/drawingml/2006/main" xmlns:pic="http://schemas.openxmlformats.org/drawingml/2006/picture">
            <wp:extent cx="5486400" cy="4819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9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2 — Calibration Plot (External BRFSS)</w:t>
      </w:r>
    </w:p>
    <w:p>
      <w:r>
        <w:drawing>
          <wp:inline xmlns:a="http://schemas.openxmlformats.org/drawingml/2006/main" xmlns:pic="http://schemas.openxmlformats.org/drawingml/2006/picture">
            <wp:extent cx="5486400" cy="689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3 — SHAP Summary Plot</w:t>
      </w:r>
    </w:p>
    <w:p>
      <w:r>
        <w:drawing>
          <wp:inline xmlns:a="http://schemas.openxmlformats.org/drawingml/2006/main" xmlns:pic="http://schemas.openxmlformats.org/drawingml/2006/picture">
            <wp:extent cx="4572000" cy="28270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27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4 — Fairness Forest Plot</w:t>
      </w:r>
    </w:p>
    <w:p>
      <w:r>
        <w:drawing>
          <wp:inline xmlns:a="http://schemas.openxmlformats.org/drawingml/2006/main" xmlns:pic="http://schemas.openxmlformats.org/drawingml/2006/picture">
            <wp:extent cx="4572000" cy="3635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3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