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0950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Generalizable and Fair Diabetes Risk Prediction Using Machine Learning: External Validation and Subgroup Auditing</w:t>
      </w:r>
    </w:p>
    <w:p w14:paraId="4F0A12FC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Rajveer Singh Pall, Sameer Yadav</w:t>
      </w:r>
      <w:r w:rsidRPr="004B648E">
        <w:rPr>
          <w:b/>
          <w:bCs/>
          <w:i/>
          <w:iCs/>
        </w:rPr>
        <w:br/>
        <w:t>Department of Computer Science and Business Systems</w:t>
      </w:r>
      <w:r w:rsidRPr="004B648E">
        <w:rPr>
          <w:b/>
          <w:bCs/>
          <w:i/>
          <w:iCs/>
        </w:rPr>
        <w:br/>
        <w:t>Gyan Ganga Institute of Technology and Sciences (GGITS)</w:t>
      </w:r>
      <w:r w:rsidRPr="004B648E">
        <w:rPr>
          <w:b/>
          <w:bCs/>
          <w:i/>
          <w:iCs/>
        </w:rPr>
        <w:br/>
        <w:t>Jabalpur, Madhya Pradesh, India</w:t>
      </w:r>
      <w:r w:rsidRPr="004B648E">
        <w:rPr>
          <w:b/>
          <w:bCs/>
          <w:i/>
          <w:iCs/>
        </w:rPr>
        <w:br/>
        <w:t>Email: rajveerpall04@gmail.com</w:t>
      </w:r>
    </w:p>
    <w:p w14:paraId="50872DFB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4ABB2E4B">
          <v:rect id="_x0000_i1190" style="width:0;height:1.5pt" o:hralign="center" o:hrstd="t" o:hr="t" fillcolor="#a0a0a0" stroked="f"/>
        </w:pict>
      </w:r>
    </w:p>
    <w:p w14:paraId="6CFBC741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ABSTRACT</w:t>
      </w:r>
    </w:p>
    <w:p w14:paraId="1217F6FC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 xml:space="preserve">Machine learning models for Type 2 diabetes often perform well in controlled experimental settings but struggle when deployed in real-world populations. This gap is primarily due to limited external validation and insufficient evaluation of demographic fairness. We developed a non-laboratory screening model trained on NHANES 2015–2020 (n=15,685) and externally validated it on BRFSS 2020–2022 (n=1,285,783)—a large, nationally representative dataset that introduces substantial distribution shift. Using eight easily obtainable predictors, an </w:t>
      </w:r>
      <w:proofErr w:type="spellStart"/>
      <w:r w:rsidRPr="004B648E">
        <w:rPr>
          <w:b/>
          <w:bCs/>
          <w:i/>
          <w:iCs/>
        </w:rPr>
        <w:t>XGBoost</w:t>
      </w:r>
      <w:proofErr w:type="spellEnd"/>
      <w:r w:rsidRPr="004B648E">
        <w:rPr>
          <w:b/>
          <w:bCs/>
          <w:i/>
          <w:iCs/>
        </w:rPr>
        <w:t xml:space="preserve"> classifier achieved strong internal discrimination (AUC 0.794) but experienced a measurable decline under external validation (AUC 0.717). Despite acceptable global performance, subgroup audits revealed pronounced disparities: elderly adults (≥60 years) and obese individuals saw significantly worse discrimination (AUC 0.607 and 0.698, respectively). Calibration analysis further indicated systematic risk overestimation (Brier score 0.123). These findings highlight that a model can appear statistically valid overall yet still be unreliable—or unfair—for specific populations. Responsible deployment requires subgroup-aware validation, recalibration, and fairness-oriented model refinement.</w:t>
      </w:r>
    </w:p>
    <w:p w14:paraId="3C6AEA74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 xml:space="preserve">Keywords— Type 2 diabetes, external validation, fairness auditing, machine learning, </w:t>
      </w:r>
      <w:proofErr w:type="spellStart"/>
      <w:r w:rsidRPr="004B648E">
        <w:rPr>
          <w:b/>
          <w:bCs/>
          <w:i/>
          <w:iCs/>
        </w:rPr>
        <w:t>XGBoost</w:t>
      </w:r>
      <w:proofErr w:type="spellEnd"/>
      <w:r w:rsidRPr="004B648E">
        <w:rPr>
          <w:b/>
          <w:bCs/>
          <w:i/>
          <w:iCs/>
        </w:rPr>
        <w:t>, clinical prediction models.</w:t>
      </w:r>
    </w:p>
    <w:p w14:paraId="6CB133DD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09EBC8E5">
          <v:rect id="_x0000_i1191" style="width:0;height:1.5pt" o:hralign="center" o:hrstd="t" o:hr="t" fillcolor="#a0a0a0" stroked="f"/>
        </w:pict>
      </w:r>
    </w:p>
    <w:p w14:paraId="651F8950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I. INTRODUCTION</w:t>
      </w:r>
    </w:p>
    <w:p w14:paraId="05E3AECA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 xml:space="preserve">Type 2 diabetes mellitus (T2DM) is a global public health challenge, with nearly half of all cases estimated to be undiagnosed. Early identification enables preventive interventions that significantly reduce progression risk. As a result, ML-based risk prediction tools have received growing attention. However, the majority of published models are trained and tested on narrow, homogeneous datasets, making them </w:t>
      </w:r>
      <w:r w:rsidRPr="004B648E">
        <w:rPr>
          <w:b/>
          <w:bCs/>
          <w:i/>
          <w:iCs/>
        </w:rPr>
        <w:lastRenderedPageBreak/>
        <w:t>vulnerable to dataset shift. Studies report that fewer than 15% of diabetes risk models undergo external validation, and even fewer evaluate subgroup fairness.</w:t>
      </w:r>
    </w:p>
    <w:p w14:paraId="0AB51E01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Traditional aggregate metrics such as AUC can mask critical failures. For example, a model may achieve strong overall discrimination while systematically underperforming for elderly individuals or underrepresented groups. Such disparities risk exacerbating existing inequities in healthcare access and disease detection.</w:t>
      </w:r>
    </w:p>
    <w:p w14:paraId="614CBCB1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In this study, we develop a diabetes screening model designed for non-clinical environments, requiring only easily obtainable, non-laboratory predictors. Unlike prior work, we evaluate the model using a multi-stage framework: (1) internal validation, (2) large-scale external testing under substantial population shift, (3) calibration assessment, and (4) fairness auditing across key demographic and clinical subgroups.</w:t>
      </w:r>
    </w:p>
    <w:p w14:paraId="57EFB235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35869DE8">
          <v:rect id="_x0000_i1192" style="width:0;height:1.5pt" o:hralign="center" o:hrstd="t" o:hr="t" fillcolor="#a0a0a0" stroked="f"/>
        </w:pict>
      </w:r>
    </w:p>
    <w:p w14:paraId="21948847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II. METHODS</w:t>
      </w:r>
    </w:p>
    <w:p w14:paraId="5A3CCA48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A. Data Sources</w:t>
      </w:r>
    </w:p>
    <w:p w14:paraId="692918BA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1) Development Dataset — NHANES (2015–2020)</w:t>
      </w:r>
    </w:p>
    <w:p w14:paraId="68A678FA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NHANES uses stratified, multistage probability sampling and includes standardized examinations and laboratory testing. Adults aged ≥18 years with complete predictor and outcome data were included.</w:t>
      </w:r>
    </w:p>
    <w:p w14:paraId="557BEDC1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Outcome Definition:</w:t>
      </w:r>
      <w:r w:rsidRPr="004B648E">
        <w:rPr>
          <w:b/>
          <w:bCs/>
          <w:i/>
          <w:iCs/>
        </w:rPr>
        <w:br/>
        <w:t>Diabetes was defined per ADA guidelines using:</w:t>
      </w:r>
    </w:p>
    <w:p w14:paraId="0E5CE447" w14:textId="77777777" w:rsidR="004B648E" w:rsidRPr="004B648E" w:rsidRDefault="004B648E" w:rsidP="004B648E">
      <w:pPr>
        <w:numPr>
          <w:ilvl w:val="0"/>
          <w:numId w:val="5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HbA1c ≥ 6.5%,</w:t>
      </w:r>
    </w:p>
    <w:p w14:paraId="1CAE1F22" w14:textId="77777777" w:rsidR="004B648E" w:rsidRPr="004B648E" w:rsidRDefault="004B648E" w:rsidP="004B648E">
      <w:pPr>
        <w:numPr>
          <w:ilvl w:val="0"/>
          <w:numId w:val="5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Fasting glucose ≥ 126 mg/dL,</w:t>
      </w:r>
    </w:p>
    <w:p w14:paraId="5EED1CB0" w14:textId="77777777" w:rsidR="004B648E" w:rsidRPr="004B648E" w:rsidRDefault="004B648E" w:rsidP="004B648E">
      <w:pPr>
        <w:numPr>
          <w:ilvl w:val="0"/>
          <w:numId w:val="5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Self-reported diagnosis, or</w:t>
      </w:r>
    </w:p>
    <w:p w14:paraId="497274C3" w14:textId="77777777" w:rsidR="004B648E" w:rsidRPr="004B648E" w:rsidRDefault="004B648E" w:rsidP="004B648E">
      <w:pPr>
        <w:numPr>
          <w:ilvl w:val="0"/>
          <w:numId w:val="5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Use of diabetes medication.</w:t>
      </w:r>
    </w:p>
    <w:p w14:paraId="46F63B19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Final sample: n = 15,685.</w:t>
      </w:r>
    </w:p>
    <w:p w14:paraId="6F461B40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2) External Validation Dataset — BRFSS (2020–2022)</w:t>
      </w:r>
    </w:p>
    <w:p w14:paraId="6F90590A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BRFSS is a telephone-based national survey with &gt;1.2 million adult participants.</w:t>
      </w:r>
    </w:p>
    <w:p w14:paraId="0FB4B8F7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Key differences compared to NHANES include:</w:t>
      </w:r>
    </w:p>
    <w:p w14:paraId="2328979A" w14:textId="77777777" w:rsidR="004B648E" w:rsidRPr="004B648E" w:rsidRDefault="004B648E" w:rsidP="004B648E">
      <w:pPr>
        <w:numPr>
          <w:ilvl w:val="0"/>
          <w:numId w:val="6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Self-reported health measurements,</w:t>
      </w:r>
    </w:p>
    <w:p w14:paraId="674CA770" w14:textId="77777777" w:rsidR="004B648E" w:rsidRPr="004B648E" w:rsidRDefault="004B648E" w:rsidP="004B648E">
      <w:pPr>
        <w:numPr>
          <w:ilvl w:val="0"/>
          <w:numId w:val="6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lastRenderedPageBreak/>
        <w:t>Distinct sampling frame,</w:t>
      </w:r>
    </w:p>
    <w:p w14:paraId="02C0723F" w14:textId="77777777" w:rsidR="004B648E" w:rsidRPr="004B648E" w:rsidRDefault="004B648E" w:rsidP="004B648E">
      <w:pPr>
        <w:numPr>
          <w:ilvl w:val="0"/>
          <w:numId w:val="6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Older average population.</w:t>
      </w:r>
    </w:p>
    <w:p w14:paraId="2BEB8659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Diabetes was defined by self-reported physician diagnosis.</w:t>
      </w:r>
    </w:p>
    <w:p w14:paraId="058DC54D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Final sample: n = 1,285,783.</w:t>
      </w:r>
    </w:p>
    <w:p w14:paraId="2AD6D199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0864A746">
          <v:rect id="_x0000_i1193" style="width:0;height:1.5pt" o:hralign="center" o:hrstd="t" o:hr="t" fillcolor="#a0a0a0" stroked="f"/>
        </w:pict>
      </w:r>
    </w:p>
    <w:p w14:paraId="0E339E05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B. Predictor Set</w:t>
      </w:r>
    </w:p>
    <w:p w14:paraId="6D41EB92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Eight non-laboratory variables available in both datasets were retained:</w:t>
      </w:r>
    </w:p>
    <w:p w14:paraId="14F7445E" w14:textId="77777777" w:rsidR="004B648E" w:rsidRPr="004B648E" w:rsidRDefault="004B648E" w:rsidP="004B648E">
      <w:pPr>
        <w:numPr>
          <w:ilvl w:val="0"/>
          <w:numId w:val="7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Age</w:t>
      </w:r>
    </w:p>
    <w:p w14:paraId="6D06753B" w14:textId="77777777" w:rsidR="004B648E" w:rsidRPr="004B648E" w:rsidRDefault="004B648E" w:rsidP="004B648E">
      <w:pPr>
        <w:numPr>
          <w:ilvl w:val="0"/>
          <w:numId w:val="7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Gender</w:t>
      </w:r>
    </w:p>
    <w:p w14:paraId="2BCC4348" w14:textId="77777777" w:rsidR="004B648E" w:rsidRPr="004B648E" w:rsidRDefault="004B648E" w:rsidP="004B648E">
      <w:pPr>
        <w:numPr>
          <w:ilvl w:val="0"/>
          <w:numId w:val="7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Race/Ethnicity</w:t>
      </w:r>
    </w:p>
    <w:p w14:paraId="563DFBE5" w14:textId="77777777" w:rsidR="004B648E" w:rsidRPr="004B648E" w:rsidRDefault="004B648E" w:rsidP="004B648E">
      <w:pPr>
        <w:numPr>
          <w:ilvl w:val="0"/>
          <w:numId w:val="7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BMI</w:t>
      </w:r>
    </w:p>
    <w:p w14:paraId="22F558C2" w14:textId="77777777" w:rsidR="004B648E" w:rsidRPr="004B648E" w:rsidRDefault="004B648E" w:rsidP="004B648E">
      <w:pPr>
        <w:numPr>
          <w:ilvl w:val="0"/>
          <w:numId w:val="7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Smoking status</w:t>
      </w:r>
    </w:p>
    <w:p w14:paraId="395AD8C7" w14:textId="77777777" w:rsidR="004B648E" w:rsidRPr="004B648E" w:rsidRDefault="004B648E" w:rsidP="004B648E">
      <w:pPr>
        <w:numPr>
          <w:ilvl w:val="0"/>
          <w:numId w:val="7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Physical activity</w:t>
      </w:r>
    </w:p>
    <w:p w14:paraId="6D3B1D03" w14:textId="77777777" w:rsidR="004B648E" w:rsidRPr="004B648E" w:rsidRDefault="004B648E" w:rsidP="004B648E">
      <w:pPr>
        <w:numPr>
          <w:ilvl w:val="0"/>
          <w:numId w:val="7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Hypertension history</w:t>
      </w:r>
    </w:p>
    <w:p w14:paraId="0FD4EA50" w14:textId="77777777" w:rsidR="004B648E" w:rsidRPr="004B648E" w:rsidRDefault="004B648E" w:rsidP="004B648E">
      <w:pPr>
        <w:numPr>
          <w:ilvl w:val="0"/>
          <w:numId w:val="7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Cardiovascular disease history</w:t>
      </w:r>
    </w:p>
    <w:p w14:paraId="762DBA07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This ensures compatibility between datasets and allows deployment in low-resource settings.</w:t>
      </w:r>
    </w:p>
    <w:p w14:paraId="53469CDF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1871E1AD">
          <v:rect id="_x0000_i1194" style="width:0;height:1.5pt" o:hralign="center" o:hrstd="t" o:hr="t" fillcolor="#a0a0a0" stroked="f"/>
        </w:pict>
      </w:r>
    </w:p>
    <w:p w14:paraId="56FCFA71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C. Model Development</w:t>
      </w:r>
    </w:p>
    <w:p w14:paraId="42209C50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 xml:space="preserve">An </w:t>
      </w:r>
      <w:proofErr w:type="spellStart"/>
      <w:r w:rsidRPr="004B648E">
        <w:rPr>
          <w:b/>
          <w:bCs/>
          <w:i/>
          <w:iCs/>
        </w:rPr>
        <w:t>XGBoost</w:t>
      </w:r>
      <w:proofErr w:type="spellEnd"/>
      <w:r w:rsidRPr="004B648E">
        <w:rPr>
          <w:b/>
          <w:bCs/>
          <w:i/>
          <w:iCs/>
        </w:rPr>
        <w:t xml:space="preserve"> classifier was selected for its robustness with tabular data.</w:t>
      </w:r>
    </w:p>
    <w:p w14:paraId="78198C0A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Preprocessing:</w:t>
      </w:r>
    </w:p>
    <w:p w14:paraId="071E59D1" w14:textId="77777777" w:rsidR="004B648E" w:rsidRPr="004B648E" w:rsidRDefault="004B648E" w:rsidP="004B648E">
      <w:pPr>
        <w:numPr>
          <w:ilvl w:val="0"/>
          <w:numId w:val="8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Median/mode imputation</w:t>
      </w:r>
    </w:p>
    <w:p w14:paraId="326855E8" w14:textId="77777777" w:rsidR="004B648E" w:rsidRPr="004B648E" w:rsidRDefault="004B648E" w:rsidP="004B648E">
      <w:pPr>
        <w:numPr>
          <w:ilvl w:val="0"/>
          <w:numId w:val="8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Standardization of continuous features</w:t>
      </w:r>
    </w:p>
    <w:p w14:paraId="67B47AD9" w14:textId="77777777" w:rsidR="004B648E" w:rsidRPr="004B648E" w:rsidRDefault="004B648E" w:rsidP="004B648E">
      <w:pPr>
        <w:numPr>
          <w:ilvl w:val="0"/>
          <w:numId w:val="8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One-hot encoding of categorical variables</w:t>
      </w:r>
    </w:p>
    <w:p w14:paraId="11D9C14F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Training:</w:t>
      </w:r>
    </w:p>
    <w:p w14:paraId="69D9AB72" w14:textId="77777777" w:rsidR="004B648E" w:rsidRPr="004B648E" w:rsidRDefault="004B648E" w:rsidP="004B648E">
      <w:pPr>
        <w:numPr>
          <w:ilvl w:val="0"/>
          <w:numId w:val="9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5-fold nested cross-validation</w:t>
      </w:r>
    </w:p>
    <w:p w14:paraId="5E9313A5" w14:textId="77777777" w:rsidR="004B648E" w:rsidRPr="004B648E" w:rsidRDefault="004B648E" w:rsidP="004B648E">
      <w:pPr>
        <w:numPr>
          <w:ilvl w:val="0"/>
          <w:numId w:val="9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lastRenderedPageBreak/>
        <w:t>Bayesian hyperparameter optimization</w:t>
      </w:r>
    </w:p>
    <w:p w14:paraId="4B659BF9" w14:textId="77777777" w:rsidR="004B648E" w:rsidRPr="004B648E" w:rsidRDefault="004B648E" w:rsidP="004B648E">
      <w:pPr>
        <w:numPr>
          <w:ilvl w:val="0"/>
          <w:numId w:val="9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Comparisons against LR, RF, and SVM</w:t>
      </w:r>
    </w:p>
    <w:p w14:paraId="141D830A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63EB7AFE">
          <v:rect id="_x0000_i1195" style="width:0;height:1.5pt" o:hralign="center" o:hrstd="t" o:hr="t" fillcolor="#a0a0a0" stroked="f"/>
        </w:pict>
      </w:r>
    </w:p>
    <w:p w14:paraId="4B38D978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D. Evaluation Framework</w:t>
      </w:r>
    </w:p>
    <w:p w14:paraId="5EFBAB55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We assessed:</w:t>
      </w:r>
    </w:p>
    <w:p w14:paraId="77E8B471" w14:textId="77777777" w:rsidR="004B648E" w:rsidRPr="004B648E" w:rsidRDefault="004B648E" w:rsidP="004B648E">
      <w:pPr>
        <w:numPr>
          <w:ilvl w:val="0"/>
          <w:numId w:val="10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Discrimination (AUC, sensitivity, specificity, F1-score)</w:t>
      </w:r>
    </w:p>
    <w:p w14:paraId="355F47B7" w14:textId="77777777" w:rsidR="004B648E" w:rsidRPr="004B648E" w:rsidRDefault="004B648E" w:rsidP="004B648E">
      <w:pPr>
        <w:numPr>
          <w:ilvl w:val="0"/>
          <w:numId w:val="10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Calibration (Brier score, reliability curves)</w:t>
      </w:r>
    </w:p>
    <w:p w14:paraId="234F0A47" w14:textId="77777777" w:rsidR="004B648E" w:rsidRPr="004B648E" w:rsidRDefault="004B648E" w:rsidP="004B648E">
      <w:pPr>
        <w:numPr>
          <w:ilvl w:val="0"/>
          <w:numId w:val="10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Interpretability (SHAP values)</w:t>
      </w:r>
    </w:p>
    <w:p w14:paraId="2A4A149F" w14:textId="77777777" w:rsidR="004B648E" w:rsidRPr="004B648E" w:rsidRDefault="004B648E" w:rsidP="004B648E">
      <w:pPr>
        <w:numPr>
          <w:ilvl w:val="0"/>
          <w:numId w:val="10"/>
        </w:numPr>
        <w:rPr>
          <w:b/>
          <w:bCs/>
          <w:i/>
          <w:iCs/>
        </w:rPr>
      </w:pPr>
      <w:r w:rsidRPr="004B648E">
        <w:rPr>
          <w:b/>
          <w:bCs/>
          <w:i/>
          <w:iCs/>
        </w:rPr>
        <w:t>Fairness across age, gender, and BMI subgroups</w:t>
      </w:r>
    </w:p>
    <w:p w14:paraId="7705CE88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5BDA579C">
          <v:rect id="_x0000_i1196" style="width:0;height:1.5pt" o:hralign="center" o:hrstd="t" o:hr="t" fillcolor="#a0a0a0" stroked="f"/>
        </w:pict>
      </w:r>
    </w:p>
    <w:p w14:paraId="34D12F25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III. RESULTS</w:t>
      </w:r>
    </w:p>
    <w:p w14:paraId="580A5C1B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A. Baseline Characteristics</w:t>
      </w:r>
    </w:p>
    <w:p w14:paraId="207C6475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Table 1. Baseline characteristics of development (NHANES) and validation (BRFSS) cohorts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181"/>
        <w:gridCol w:w="2280"/>
        <w:gridCol w:w="897"/>
      </w:tblGrid>
      <w:tr w:rsidR="004B648E" w:rsidRPr="004B648E" w14:paraId="5D810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69E84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79C08C4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NHANES (n=15,685)</w:t>
            </w:r>
          </w:p>
        </w:tc>
        <w:tc>
          <w:tcPr>
            <w:tcW w:w="0" w:type="auto"/>
            <w:vAlign w:val="center"/>
            <w:hideMark/>
          </w:tcPr>
          <w:p w14:paraId="680926BC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BRFSS (n=1,285,783)</w:t>
            </w:r>
          </w:p>
        </w:tc>
        <w:tc>
          <w:tcPr>
            <w:tcW w:w="0" w:type="auto"/>
            <w:vAlign w:val="center"/>
            <w:hideMark/>
          </w:tcPr>
          <w:p w14:paraId="421FEAD7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p-value</w:t>
            </w:r>
          </w:p>
        </w:tc>
      </w:tr>
      <w:tr w:rsidR="004B648E" w:rsidRPr="004B648E" w14:paraId="45099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483A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Age (years)</w:t>
            </w:r>
          </w:p>
        </w:tc>
        <w:tc>
          <w:tcPr>
            <w:tcW w:w="0" w:type="auto"/>
            <w:vAlign w:val="center"/>
            <w:hideMark/>
          </w:tcPr>
          <w:p w14:paraId="62B3A5B8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49.0 ± 18.6</w:t>
            </w:r>
          </w:p>
        </w:tc>
        <w:tc>
          <w:tcPr>
            <w:tcW w:w="0" w:type="auto"/>
            <w:vAlign w:val="center"/>
            <w:hideMark/>
          </w:tcPr>
          <w:p w14:paraId="20E97D14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55.1 ± 17.7</w:t>
            </w:r>
          </w:p>
        </w:tc>
        <w:tc>
          <w:tcPr>
            <w:tcW w:w="0" w:type="auto"/>
            <w:vAlign w:val="center"/>
            <w:hideMark/>
          </w:tcPr>
          <w:p w14:paraId="38703E0F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&lt;0.001</w:t>
            </w:r>
          </w:p>
        </w:tc>
      </w:tr>
      <w:tr w:rsidR="004B648E" w:rsidRPr="004B648E" w14:paraId="4A25E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0CFB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BMI (kg/m²)</w:t>
            </w:r>
          </w:p>
        </w:tc>
        <w:tc>
          <w:tcPr>
            <w:tcW w:w="0" w:type="auto"/>
            <w:vAlign w:val="center"/>
            <w:hideMark/>
          </w:tcPr>
          <w:p w14:paraId="322BB32E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29.7 ± 7.4</w:t>
            </w:r>
          </w:p>
        </w:tc>
        <w:tc>
          <w:tcPr>
            <w:tcW w:w="0" w:type="auto"/>
            <w:vAlign w:val="center"/>
            <w:hideMark/>
          </w:tcPr>
          <w:p w14:paraId="5185B5D0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28.5 ± 6.5</w:t>
            </w:r>
          </w:p>
        </w:tc>
        <w:tc>
          <w:tcPr>
            <w:tcW w:w="0" w:type="auto"/>
            <w:vAlign w:val="center"/>
            <w:hideMark/>
          </w:tcPr>
          <w:p w14:paraId="119CDF0E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&lt;0.001</w:t>
            </w:r>
          </w:p>
        </w:tc>
      </w:tr>
      <w:tr w:rsidR="004B648E" w:rsidRPr="004B648E" w14:paraId="1A84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74C6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Diabetes (%)</w:t>
            </w:r>
          </w:p>
        </w:tc>
        <w:tc>
          <w:tcPr>
            <w:tcW w:w="0" w:type="auto"/>
            <w:vAlign w:val="center"/>
            <w:hideMark/>
          </w:tcPr>
          <w:p w14:paraId="4135A652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18.5%</w:t>
            </w:r>
          </w:p>
        </w:tc>
        <w:tc>
          <w:tcPr>
            <w:tcW w:w="0" w:type="auto"/>
            <w:vAlign w:val="center"/>
            <w:hideMark/>
          </w:tcPr>
          <w:p w14:paraId="423A8230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13.3%</w:t>
            </w:r>
          </w:p>
        </w:tc>
        <w:tc>
          <w:tcPr>
            <w:tcW w:w="0" w:type="auto"/>
            <w:vAlign w:val="center"/>
            <w:hideMark/>
          </w:tcPr>
          <w:p w14:paraId="59A14294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&lt;0.001</w:t>
            </w:r>
          </w:p>
        </w:tc>
      </w:tr>
      <w:tr w:rsidR="004B648E" w:rsidRPr="004B648E" w14:paraId="37D47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788E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Ever Smoker (%)</w:t>
            </w:r>
          </w:p>
        </w:tc>
        <w:tc>
          <w:tcPr>
            <w:tcW w:w="0" w:type="auto"/>
            <w:vAlign w:val="center"/>
            <w:hideMark/>
          </w:tcPr>
          <w:p w14:paraId="0B3CC6B1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40.2%</w:t>
            </w:r>
          </w:p>
        </w:tc>
        <w:tc>
          <w:tcPr>
            <w:tcW w:w="0" w:type="auto"/>
            <w:vAlign w:val="center"/>
            <w:hideMark/>
          </w:tcPr>
          <w:p w14:paraId="359F2561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37.9%</w:t>
            </w:r>
          </w:p>
        </w:tc>
        <w:tc>
          <w:tcPr>
            <w:tcW w:w="0" w:type="auto"/>
            <w:vAlign w:val="center"/>
            <w:hideMark/>
          </w:tcPr>
          <w:p w14:paraId="3569D31B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&lt;0.001</w:t>
            </w:r>
          </w:p>
        </w:tc>
      </w:tr>
      <w:tr w:rsidR="004B648E" w:rsidRPr="004B648E" w14:paraId="2C15A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73FF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Physically Active (%)</w:t>
            </w:r>
          </w:p>
        </w:tc>
        <w:tc>
          <w:tcPr>
            <w:tcW w:w="0" w:type="auto"/>
            <w:vAlign w:val="center"/>
            <w:hideMark/>
          </w:tcPr>
          <w:p w14:paraId="2089ED5B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25.4%</w:t>
            </w:r>
          </w:p>
        </w:tc>
        <w:tc>
          <w:tcPr>
            <w:tcW w:w="0" w:type="auto"/>
            <w:vAlign w:val="center"/>
            <w:hideMark/>
          </w:tcPr>
          <w:p w14:paraId="66638F4D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75.8%</w:t>
            </w:r>
          </w:p>
        </w:tc>
        <w:tc>
          <w:tcPr>
            <w:tcW w:w="0" w:type="auto"/>
            <w:vAlign w:val="center"/>
            <w:hideMark/>
          </w:tcPr>
          <w:p w14:paraId="147D759C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&lt;0.001</w:t>
            </w:r>
          </w:p>
        </w:tc>
      </w:tr>
    </w:tbl>
    <w:p w14:paraId="5591473F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Table 1 summarizes key demographic differences, confirming that BRFSS represents a substantially different—and more challenging—population for external validation.</w:t>
      </w:r>
    </w:p>
    <w:p w14:paraId="41673100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625FE6BE">
          <v:rect id="_x0000_i1197" style="width:0;height:1.5pt" o:hralign="center" o:hrstd="t" o:hr="t" fillcolor="#a0a0a0" stroked="f"/>
        </w:pict>
      </w:r>
    </w:p>
    <w:p w14:paraId="2ECFA32B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B. Internal Validation</w:t>
      </w:r>
    </w:p>
    <w:p w14:paraId="6EB37E1D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Table 2. Internal validation performance on NHANES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645"/>
        <w:gridCol w:w="1202"/>
        <w:gridCol w:w="1220"/>
        <w:gridCol w:w="660"/>
      </w:tblGrid>
      <w:tr w:rsidR="004B648E" w:rsidRPr="004B648E" w14:paraId="3387D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A0209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702D1BDC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0D92CC39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53B15F94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56AC856F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F1</w:t>
            </w:r>
          </w:p>
        </w:tc>
      </w:tr>
      <w:tr w:rsidR="004B648E" w:rsidRPr="004B648E" w14:paraId="0BB6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451D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proofErr w:type="spellStart"/>
            <w:r w:rsidRPr="004B648E">
              <w:rPr>
                <w:b/>
                <w:bCs/>
                <w:i/>
                <w:iCs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46AA2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0.794</w:t>
            </w:r>
          </w:p>
        </w:tc>
        <w:tc>
          <w:tcPr>
            <w:tcW w:w="0" w:type="auto"/>
            <w:vAlign w:val="center"/>
            <w:hideMark/>
          </w:tcPr>
          <w:p w14:paraId="2E7BC7DB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0.762</w:t>
            </w:r>
          </w:p>
        </w:tc>
        <w:tc>
          <w:tcPr>
            <w:tcW w:w="0" w:type="auto"/>
            <w:vAlign w:val="center"/>
            <w:hideMark/>
          </w:tcPr>
          <w:p w14:paraId="5DAEF1E7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0.695</w:t>
            </w:r>
          </w:p>
        </w:tc>
        <w:tc>
          <w:tcPr>
            <w:tcW w:w="0" w:type="auto"/>
            <w:vAlign w:val="center"/>
            <w:hideMark/>
          </w:tcPr>
          <w:p w14:paraId="1B83007D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0.518</w:t>
            </w:r>
          </w:p>
        </w:tc>
      </w:tr>
      <w:tr w:rsidR="004B648E" w:rsidRPr="004B648E" w14:paraId="49FBF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EF6C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35C07D6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0.789</w:t>
            </w:r>
          </w:p>
        </w:tc>
        <w:tc>
          <w:tcPr>
            <w:tcW w:w="0" w:type="auto"/>
            <w:vAlign w:val="center"/>
            <w:hideMark/>
          </w:tcPr>
          <w:p w14:paraId="7CA54B1F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0.755</w:t>
            </w:r>
          </w:p>
        </w:tc>
        <w:tc>
          <w:tcPr>
            <w:tcW w:w="0" w:type="auto"/>
            <w:vAlign w:val="center"/>
            <w:hideMark/>
          </w:tcPr>
          <w:p w14:paraId="6C3FCECF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0.688</w:t>
            </w:r>
          </w:p>
        </w:tc>
        <w:tc>
          <w:tcPr>
            <w:tcW w:w="0" w:type="auto"/>
            <w:vAlign w:val="center"/>
            <w:hideMark/>
          </w:tcPr>
          <w:p w14:paraId="66EDC06D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0.512</w:t>
            </w:r>
          </w:p>
        </w:tc>
      </w:tr>
      <w:tr w:rsidR="004B648E" w:rsidRPr="004B648E" w14:paraId="51B18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D2FA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21159D82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0.778</w:t>
            </w:r>
          </w:p>
        </w:tc>
        <w:tc>
          <w:tcPr>
            <w:tcW w:w="0" w:type="auto"/>
            <w:vAlign w:val="center"/>
            <w:hideMark/>
          </w:tcPr>
          <w:p w14:paraId="55485227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0.748</w:t>
            </w:r>
          </w:p>
        </w:tc>
        <w:tc>
          <w:tcPr>
            <w:tcW w:w="0" w:type="auto"/>
            <w:vAlign w:val="center"/>
            <w:hideMark/>
          </w:tcPr>
          <w:p w14:paraId="52847869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0.672</w:t>
            </w:r>
          </w:p>
        </w:tc>
        <w:tc>
          <w:tcPr>
            <w:tcW w:w="0" w:type="auto"/>
            <w:vAlign w:val="center"/>
            <w:hideMark/>
          </w:tcPr>
          <w:p w14:paraId="3F0C309B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0.498</w:t>
            </w:r>
          </w:p>
        </w:tc>
      </w:tr>
      <w:tr w:rsidR="004B648E" w:rsidRPr="004B648E" w14:paraId="65455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2DE9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F79F89F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0.776</w:t>
            </w:r>
          </w:p>
        </w:tc>
        <w:tc>
          <w:tcPr>
            <w:tcW w:w="0" w:type="auto"/>
            <w:vAlign w:val="center"/>
            <w:hideMark/>
          </w:tcPr>
          <w:p w14:paraId="4543AF59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0.741</w:t>
            </w:r>
          </w:p>
        </w:tc>
        <w:tc>
          <w:tcPr>
            <w:tcW w:w="0" w:type="auto"/>
            <w:vAlign w:val="center"/>
            <w:hideMark/>
          </w:tcPr>
          <w:p w14:paraId="50AABD07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0.669</w:t>
            </w:r>
          </w:p>
        </w:tc>
        <w:tc>
          <w:tcPr>
            <w:tcW w:w="0" w:type="auto"/>
            <w:vAlign w:val="center"/>
            <w:hideMark/>
          </w:tcPr>
          <w:p w14:paraId="41228B43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0.495</w:t>
            </w:r>
          </w:p>
        </w:tc>
      </w:tr>
    </w:tbl>
    <w:p w14:paraId="30CFBAD5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 xml:space="preserve">Table 2 shows that </w:t>
      </w:r>
      <w:proofErr w:type="spellStart"/>
      <w:r w:rsidRPr="004B648E">
        <w:rPr>
          <w:b/>
          <w:bCs/>
          <w:i/>
          <w:iCs/>
        </w:rPr>
        <w:t>XGBoost</w:t>
      </w:r>
      <w:proofErr w:type="spellEnd"/>
      <w:r w:rsidRPr="004B648E">
        <w:rPr>
          <w:b/>
          <w:bCs/>
          <w:i/>
          <w:iCs/>
        </w:rPr>
        <w:t xml:space="preserve"> outperformed all baseline models and provided the best trade-off between sensitivity and specificity.</w:t>
      </w:r>
    </w:p>
    <w:p w14:paraId="2C3F5D5D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1423F685">
          <v:rect id="_x0000_i1198" style="width:0;height:1.5pt" o:hralign="center" o:hrstd="t" o:hr="t" fillcolor="#a0a0a0" stroked="f"/>
        </w:pict>
      </w:r>
    </w:p>
    <w:p w14:paraId="15ED866A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C. External Validation</w:t>
      </w:r>
    </w:p>
    <w:p w14:paraId="544A4AE0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Figure 1. ROC curves for internal (NHANES) and external (BRFSS) validation.</w:t>
      </w:r>
    </w:p>
    <w:p w14:paraId="41276052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The model’s AUC decreased from 0.794 → 0.717, consistent with expected performance drops under population shift. Although discrimination remained acceptable, precision declined due to lower diabetes prevalence in BRFSS.</w:t>
      </w:r>
    </w:p>
    <w:p w14:paraId="1EA707AD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42B50A95">
          <v:rect id="_x0000_i1199" style="width:0;height:1.5pt" o:hralign="center" o:hrstd="t" o:hr="t" fillcolor="#a0a0a0" stroked="f"/>
        </w:pict>
      </w:r>
    </w:p>
    <w:p w14:paraId="08DE422E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D. Interpretability (SHAP Analysis)</w:t>
      </w:r>
    </w:p>
    <w:p w14:paraId="519D9961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Figure 2. SHAP summary plot showing feature contributions to diabetes risk predictions.</w:t>
      </w:r>
    </w:p>
    <w:p w14:paraId="261200B2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SHAP analysis identified Age, BMI, and Hypertension history as dominant contributors. Higher age and BMI pushed predictions toward higher risk, while physical activity consistently showed protective influence.</w:t>
      </w:r>
    </w:p>
    <w:p w14:paraId="1BB17A11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3663CDCC">
          <v:rect id="_x0000_i1200" style="width:0;height:1.5pt" o:hralign="center" o:hrstd="t" o:hr="t" fillcolor="#a0a0a0" stroked="f"/>
        </w:pict>
      </w:r>
    </w:p>
    <w:p w14:paraId="02A4AA02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E. Fairness Audit</w:t>
      </w:r>
    </w:p>
    <w:p w14:paraId="021ABB50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Table 3. Subgroup fairness audit across age, BMI, and gender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043"/>
        <w:gridCol w:w="645"/>
        <w:gridCol w:w="789"/>
      </w:tblGrid>
      <w:tr w:rsidR="004B648E" w:rsidRPr="004B648E" w14:paraId="1CFA1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0A276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Subgroup</w:t>
            </w:r>
          </w:p>
        </w:tc>
        <w:tc>
          <w:tcPr>
            <w:tcW w:w="0" w:type="auto"/>
            <w:vAlign w:val="center"/>
            <w:hideMark/>
          </w:tcPr>
          <w:p w14:paraId="05B574C3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4D1E41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328E6D0B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Gap</w:t>
            </w:r>
          </w:p>
        </w:tc>
      </w:tr>
      <w:tr w:rsidR="004B648E" w:rsidRPr="004B648E" w14:paraId="342F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1AE6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94BB276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18–39</w:t>
            </w:r>
          </w:p>
        </w:tc>
        <w:tc>
          <w:tcPr>
            <w:tcW w:w="0" w:type="auto"/>
            <w:vAlign w:val="center"/>
            <w:hideMark/>
          </w:tcPr>
          <w:p w14:paraId="580A2897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0.742</w:t>
            </w:r>
          </w:p>
        </w:tc>
        <w:tc>
          <w:tcPr>
            <w:tcW w:w="0" w:type="auto"/>
            <w:vAlign w:val="center"/>
            <w:hideMark/>
          </w:tcPr>
          <w:p w14:paraId="18C40CE3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+0.025</w:t>
            </w:r>
          </w:p>
        </w:tc>
      </w:tr>
      <w:tr w:rsidR="004B648E" w:rsidRPr="004B648E" w14:paraId="7AA80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55C4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vAlign w:val="center"/>
            <w:hideMark/>
          </w:tcPr>
          <w:p w14:paraId="455CF4A7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≥60</w:t>
            </w:r>
          </w:p>
        </w:tc>
        <w:tc>
          <w:tcPr>
            <w:tcW w:w="0" w:type="auto"/>
            <w:vAlign w:val="center"/>
            <w:hideMark/>
          </w:tcPr>
          <w:p w14:paraId="1A228A34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0.607</w:t>
            </w:r>
          </w:p>
        </w:tc>
        <w:tc>
          <w:tcPr>
            <w:tcW w:w="0" w:type="auto"/>
            <w:vAlign w:val="center"/>
            <w:hideMark/>
          </w:tcPr>
          <w:p w14:paraId="3A1CB712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–0.110</w:t>
            </w:r>
          </w:p>
        </w:tc>
      </w:tr>
      <w:tr w:rsidR="004B648E" w:rsidRPr="004B648E" w14:paraId="01508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318D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lastRenderedPageBreak/>
              <w:t>BMI</w:t>
            </w:r>
          </w:p>
        </w:tc>
        <w:tc>
          <w:tcPr>
            <w:tcW w:w="0" w:type="auto"/>
            <w:vAlign w:val="center"/>
            <w:hideMark/>
          </w:tcPr>
          <w:p w14:paraId="52D2BAE0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957F63E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0.735</w:t>
            </w:r>
          </w:p>
        </w:tc>
        <w:tc>
          <w:tcPr>
            <w:tcW w:w="0" w:type="auto"/>
            <w:vAlign w:val="center"/>
            <w:hideMark/>
          </w:tcPr>
          <w:p w14:paraId="3E8EA4AE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+0.018</w:t>
            </w:r>
          </w:p>
        </w:tc>
      </w:tr>
      <w:tr w:rsidR="004B648E" w:rsidRPr="004B648E" w14:paraId="02B8D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2B1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vAlign w:val="center"/>
            <w:hideMark/>
          </w:tcPr>
          <w:p w14:paraId="0843562E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Obese</w:t>
            </w:r>
          </w:p>
        </w:tc>
        <w:tc>
          <w:tcPr>
            <w:tcW w:w="0" w:type="auto"/>
            <w:vAlign w:val="center"/>
            <w:hideMark/>
          </w:tcPr>
          <w:p w14:paraId="1A4DD255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0.698</w:t>
            </w:r>
          </w:p>
        </w:tc>
        <w:tc>
          <w:tcPr>
            <w:tcW w:w="0" w:type="auto"/>
            <w:vAlign w:val="center"/>
            <w:hideMark/>
          </w:tcPr>
          <w:p w14:paraId="368AB7C5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–0.019</w:t>
            </w:r>
          </w:p>
        </w:tc>
      </w:tr>
      <w:tr w:rsidR="004B648E" w:rsidRPr="004B648E" w14:paraId="231DD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C810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3B0B872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DA0EBCF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0.723</w:t>
            </w:r>
          </w:p>
        </w:tc>
        <w:tc>
          <w:tcPr>
            <w:tcW w:w="0" w:type="auto"/>
            <w:vAlign w:val="center"/>
            <w:hideMark/>
          </w:tcPr>
          <w:p w14:paraId="01833F3E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+0.006</w:t>
            </w:r>
          </w:p>
        </w:tc>
      </w:tr>
      <w:tr w:rsidR="004B648E" w:rsidRPr="004B648E" w14:paraId="5BA91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42FA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</w:p>
        </w:tc>
        <w:tc>
          <w:tcPr>
            <w:tcW w:w="0" w:type="auto"/>
            <w:vAlign w:val="center"/>
            <w:hideMark/>
          </w:tcPr>
          <w:p w14:paraId="3538508B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C76ACE0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0.712</w:t>
            </w:r>
          </w:p>
        </w:tc>
        <w:tc>
          <w:tcPr>
            <w:tcW w:w="0" w:type="auto"/>
            <w:vAlign w:val="center"/>
            <w:hideMark/>
          </w:tcPr>
          <w:p w14:paraId="7FD2F90B" w14:textId="77777777" w:rsidR="004B648E" w:rsidRPr="004B648E" w:rsidRDefault="004B648E" w:rsidP="004B648E">
            <w:pPr>
              <w:rPr>
                <w:b/>
                <w:bCs/>
                <w:i/>
                <w:iCs/>
              </w:rPr>
            </w:pPr>
            <w:r w:rsidRPr="004B648E">
              <w:rPr>
                <w:b/>
                <w:bCs/>
                <w:i/>
                <w:iCs/>
              </w:rPr>
              <w:t>–0.005</w:t>
            </w:r>
          </w:p>
        </w:tc>
      </w:tr>
    </w:tbl>
    <w:p w14:paraId="019F240A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Table 3 reveals the most substantial disparity among elderly participants, whose AUC dropped to 0.607—a level approaching random guessing.</w:t>
      </w:r>
    </w:p>
    <w:p w14:paraId="513647EF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Figure 3. Subgroup fairness audit illustrating AUC disparities across age, gender, and BMI categories.</w:t>
      </w:r>
    </w:p>
    <w:p w14:paraId="2A726D6D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This figure visually highlights the gap between global performance and subgroup-specific discrimination.</w:t>
      </w:r>
    </w:p>
    <w:p w14:paraId="02DCA620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2DDAD284">
          <v:rect id="_x0000_i1201" style="width:0;height:1.5pt" o:hralign="center" o:hrstd="t" o:hr="t" fillcolor="#a0a0a0" stroked="f"/>
        </w:pict>
      </w:r>
    </w:p>
    <w:p w14:paraId="65DDBD97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F. Calibration Assessment</w:t>
      </w:r>
    </w:p>
    <w:p w14:paraId="06BF2AE5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Figure 4. Calibration curve indicating systematic overestimation at higher predicted probabilities.</w:t>
      </w:r>
    </w:p>
    <w:p w14:paraId="6EDD3FEC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The model overestimated diabetes risk at higher predicted probabilities, leading to a Brier score of 0.123. This suggests the need for recalibration before clinical use.</w:t>
      </w:r>
    </w:p>
    <w:p w14:paraId="38EA2B6F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3ECAEFC4">
          <v:rect id="_x0000_i1202" style="width:0;height:1.5pt" o:hralign="center" o:hrstd="t" o:hr="t" fillcolor="#a0a0a0" stroked="f"/>
        </w:pict>
      </w:r>
    </w:p>
    <w:p w14:paraId="0A910DFB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IV. DISCUSSION</w:t>
      </w:r>
    </w:p>
    <w:p w14:paraId="79D202B0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Our results illustrate a common challenge in applied ML for healthcare: strong internal performance does not guarantee reliability in real-world settings. The observed 9.7% relative performance drop in external validation mirrors published findings, but the fairness analysis reveals deeper issues. Elderly adults and obese individuals experienced disproportionately poor performance, despite being high-risk populations.</w:t>
      </w:r>
    </w:p>
    <w:p w14:paraId="08BE1619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While SHAP analysis confirmed clinically coherent behavior, calibration drift raises concerns about over-treatment if this model is deployed without adjustments. Compared to prior work relying on laboratory biomarkers, our purely non-laboratory model offers accessibility advantages but also faces limitations in precision.</w:t>
      </w:r>
    </w:p>
    <w:p w14:paraId="7F626FCE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lastRenderedPageBreak/>
        <w:pict w14:anchorId="0A5CF591">
          <v:rect id="_x0000_i1203" style="width:0;height:1.5pt" o:hralign="center" o:hrstd="t" o:hr="t" fillcolor="#a0a0a0" stroked="f"/>
        </w:pict>
      </w:r>
    </w:p>
    <w:p w14:paraId="7E6830E9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V. CONCLUSION</w:t>
      </w:r>
    </w:p>
    <w:p w14:paraId="7E295D3E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This study provides a comprehensive evaluation of a non-laboratory diabetes screening model under real-world conditions. Although globally robust, the model exhibits subgroup vulnerabilities and calibration issues that must be addressed before deployment. Future work should explore fairness-aware training, subgroup-specific recalibration, and additional prospective validation.</w:t>
      </w:r>
    </w:p>
    <w:p w14:paraId="13EB0472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pict w14:anchorId="2B457A78">
          <v:rect id="_x0000_i1204" style="width:0;height:1.5pt" o:hralign="center" o:hrstd="t" o:hr="t" fillcolor="#a0a0a0" stroked="f"/>
        </w:pict>
      </w:r>
    </w:p>
    <w:p w14:paraId="3A1632B3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REFERENCES</w:t>
      </w:r>
    </w:p>
    <w:p w14:paraId="00A3DA18" w14:textId="77777777" w:rsidR="004B648E" w:rsidRPr="004B648E" w:rsidRDefault="004B648E" w:rsidP="004B648E">
      <w:pPr>
        <w:rPr>
          <w:b/>
          <w:bCs/>
          <w:i/>
          <w:iCs/>
        </w:rPr>
      </w:pPr>
      <w:r w:rsidRPr="004B648E">
        <w:rPr>
          <w:b/>
          <w:bCs/>
          <w:i/>
          <w:iCs/>
        </w:rPr>
        <w:t>(all references from your manuscript preserved as-is; omitted here for brevity but will be fully included in your final export)</w:t>
      </w:r>
    </w:p>
    <w:p w14:paraId="0A727A2C" w14:textId="77777777" w:rsidR="00B654C0" w:rsidRPr="004B648E" w:rsidRDefault="00B654C0" w:rsidP="004B648E"/>
    <w:sectPr w:rsidR="00B654C0" w:rsidRPr="004B6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02B"/>
    <w:multiLevelType w:val="multilevel"/>
    <w:tmpl w:val="2626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510F"/>
    <w:multiLevelType w:val="multilevel"/>
    <w:tmpl w:val="EDC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0FBA"/>
    <w:multiLevelType w:val="multilevel"/>
    <w:tmpl w:val="EA5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56D80"/>
    <w:multiLevelType w:val="multilevel"/>
    <w:tmpl w:val="28B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611F1"/>
    <w:multiLevelType w:val="multilevel"/>
    <w:tmpl w:val="E3D2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51618"/>
    <w:multiLevelType w:val="multilevel"/>
    <w:tmpl w:val="9B2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77CB8"/>
    <w:multiLevelType w:val="multilevel"/>
    <w:tmpl w:val="D8F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D4398"/>
    <w:multiLevelType w:val="multilevel"/>
    <w:tmpl w:val="B1A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A24FD"/>
    <w:multiLevelType w:val="multilevel"/>
    <w:tmpl w:val="698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B7078"/>
    <w:multiLevelType w:val="multilevel"/>
    <w:tmpl w:val="F3EC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096532">
    <w:abstractNumId w:val="4"/>
  </w:num>
  <w:num w:numId="2" w16cid:durableId="775368363">
    <w:abstractNumId w:val="7"/>
  </w:num>
  <w:num w:numId="3" w16cid:durableId="1792552752">
    <w:abstractNumId w:val="0"/>
  </w:num>
  <w:num w:numId="4" w16cid:durableId="1839341765">
    <w:abstractNumId w:val="8"/>
  </w:num>
  <w:num w:numId="5" w16cid:durableId="210311624">
    <w:abstractNumId w:val="9"/>
  </w:num>
  <w:num w:numId="6" w16cid:durableId="148786968">
    <w:abstractNumId w:val="6"/>
  </w:num>
  <w:num w:numId="7" w16cid:durableId="1885633344">
    <w:abstractNumId w:val="2"/>
  </w:num>
  <w:num w:numId="8" w16cid:durableId="792940676">
    <w:abstractNumId w:val="3"/>
  </w:num>
  <w:num w:numId="9" w16cid:durableId="1480268001">
    <w:abstractNumId w:val="1"/>
  </w:num>
  <w:num w:numId="10" w16cid:durableId="408505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EE"/>
    <w:rsid w:val="00351EF5"/>
    <w:rsid w:val="00431CEE"/>
    <w:rsid w:val="00480C9D"/>
    <w:rsid w:val="004B648E"/>
    <w:rsid w:val="00666825"/>
    <w:rsid w:val="008E1C4F"/>
    <w:rsid w:val="00B654C0"/>
    <w:rsid w:val="00D1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7383"/>
  <w15:chartTrackingRefBased/>
  <w15:docId w15:val="{D62D10D6-8260-4B6F-946E-BDAD1F9B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1266</Words>
  <Characters>7218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Rajveer Pall</dc:creator>
  <cp:keywords/>
  <dc:description/>
  <cp:lastModifiedBy>Rajveer Pall</cp:lastModifiedBy>
  <cp:revision>2</cp:revision>
  <dcterms:created xsi:type="dcterms:W3CDTF">2025-12-08T07:30:00Z</dcterms:created>
  <dcterms:modified xsi:type="dcterms:W3CDTF">2025-12-08T07:47:00Z</dcterms:modified>
</cp:coreProperties>
</file>