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rPr>
          <w:rFonts w:ascii="Arial" w:cs="Arial" w:eastAsia="Arial" w:hAnsi="Arial"/>
          <w:b w:val="false"/>
          <w:bCs w:val="false"/>
          <w:i w:val="false"/>
          <w:iCs w:val="false"/>
          <w:color w:val="1A1A2E"/>
          <w:sz w:val="22"/>
          <w:szCs w:val="22"/>
        </w:rPr>
        <w:t xml:space="preserve"/>
      </w:r>
    </w:p>
    <w:p>
      <w:pPr>
        <w:spacing w:before="0" w:after="200"/>
        <w:jc w:val="center"/>
      </w:pPr>
      <w:r>
        <w:rPr>
          <w:rFonts w:ascii="Arial" w:cs="Arial" w:eastAsia="Arial" w:hAnsi="Arial"/>
          <w:b/>
          <w:bCs/>
          <w:color w:val="1B3A6B"/>
          <w:sz w:val="56"/>
          <w:szCs w:val="56"/>
        </w:rPr>
        <w:t xml:space="preserve">MASTER REVISION PLAN</w:t>
      </w:r>
    </w:p>
    <w:p>
      <w:pPr>
        <w:spacing w:before="0" w:after="120"/>
        <w:jc w:val="center"/>
      </w:pPr>
      <w:r>
        <w:rPr>
          <w:rFonts w:ascii="Arial" w:cs="Arial" w:eastAsia="Arial" w:hAnsi="Arial"/>
          <w:b w:val="false"/>
          <w:bCs w:val="false"/>
          <w:color w:val="2E5FA3"/>
          <w:sz w:val="36"/>
          <w:szCs w:val="36"/>
        </w:rPr>
        <w:t xml:space="preserve">HMDA Racial Disparities Paper</w:t>
      </w:r>
    </w:p>
    <w:p>
      <w:pPr>
        <w:pBdr>
          <w:bottom w:val="single" w:color="1B3A6B" w:sz="6"/>
        </w:pBdr>
        <w:spacing w:before="0" w:after="120"/>
      </w:pPr>
      <w:r>
        <w:rPr>
          <w:rFonts w:ascii="Arial" w:cs="Arial" w:eastAsia="Arial" w:hAnsi="Arial"/>
          <w:b w:val="false"/>
          <w:bCs w:val="false"/>
          <w:i w:val="false"/>
          <w:iCs w:val="false"/>
          <w:color w:val="1A1A2E"/>
          <w:sz w:val="22"/>
          <w:szCs w:val="22"/>
        </w:rPr>
        <w:t xml:space="preserve"/>
      </w:r>
    </w:p>
    <w:p>
      <w:pPr>
        <w:spacing w:before="80" w:after="40"/>
        <w:jc w:val="center"/>
      </w:pPr>
      <w:r>
        <w:rPr>
          <w:rFonts w:ascii="Arial" w:cs="Arial" w:eastAsia="Arial" w:hAnsi="Arial"/>
          <w:color w:val="4A5568"/>
          <w:sz w:val="26"/>
          <w:szCs w:val="26"/>
        </w:rPr>
        <w:t xml:space="preserve">"Persistent Racial Disparities in U.S. Mortgage Approval:</w:t>
      </w:r>
    </w:p>
    <w:p>
      <w:pPr>
        <w:spacing w:before="0" w:after="400"/>
        <w:jc w:val="center"/>
      </w:pPr>
      <w:r>
        <w:rPr>
          <w:rFonts w:ascii="Arial" w:cs="Arial" w:eastAsia="Arial" w:hAnsi="Arial"/>
          <w:color w:val="4A5568"/>
          <w:sz w:val="26"/>
          <w:szCs w:val="26"/>
        </w:rPr>
        <w:t xml:space="preserve">Evidence from 42 Million Applications, 2020–2024"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40" w:after="40" w:line="276"/>
            </w:pPr>
            <w:r>
              <w:rPr>
                <w:rFonts w:ascii="Arial" w:cs="Arial" w:eastAsia="Arial" w:hAnsi="Arial"/>
                <w:color w:val="FFFFFF"/>
                <w:sz w:val="22"/>
                <w:szCs w:val="22"/>
              </w:rPr>
              <w:t xml:space="preserve">Synthesized from 8 Independent Expert Reviews</w:t>
            </w:r>
          </w:p>
        </w:tc>
      </w:tr>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40" w:after="40" w:line="276"/>
            </w:pPr>
            <w:r>
              <w:rPr>
                <w:rFonts w:ascii="Arial" w:cs="Arial" w:eastAsia="Arial" w:hAnsi="Arial"/>
                <w:color w:val="FFFFFF"/>
                <w:sz w:val="22"/>
                <w:szCs w:val="22"/>
              </w:rPr>
              <w:t xml:space="preserve">Including analysis by Claude (Anthropic), GPT-4o, Gemini, and 5 additional AI systems</w:t>
            </w:r>
          </w:p>
        </w:tc>
      </w:tr>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40" w:after="40" w:line="276"/>
            </w:pPr>
            <w:r>
              <w:rPr>
                <w:rFonts w:ascii="Arial" w:cs="Arial" w:eastAsia="Arial" w:hAnsi="Arial"/>
                <w:color w:val="FFFFFF"/>
                <w:sz w:val="22"/>
                <w:szCs w:val="22"/>
              </w:rPr>
              <w:t xml:space="preserve">Prepared: March 2026  •  Target Journal: Journal of Housing Economics</w:t>
            </w:r>
          </w:p>
        </w:tc>
      </w:tr>
    </w:tbl>
    <w:p>
      <w:pPr>
        <w:spacing w:before="0" w:after="300"/>
      </w:pPr>
      <w:r>
        <w:rPr>
          <w:rFonts w:ascii="Arial" w:cs="Arial" w:eastAsia="Arial" w:hAnsi="Arial"/>
          <w:b w:val="false"/>
          <w:bCs w:val="false"/>
          <w:i w:val="false"/>
          <w:iCs w:val="false"/>
          <w:color w:val="1A1A2E"/>
          <w:sz w:val="22"/>
          <w:szCs w:val="22"/>
        </w:rPr>
        <w:t xml:space="preserve"/>
      </w:r>
    </w:p>
    <w:p>
      <w:pPr>
        <w:spacing w:before="0" w:after="0"/>
        <w:jc w:val="center"/>
      </w:pPr>
      <w:r>
        <w:rPr>
          <w:rFonts w:ascii="Arial" w:cs="Arial" w:eastAsia="Arial" w:hAnsi="Arial"/>
          <w:b/>
          <w:bCs/>
          <w:color w:val="C0392B"/>
          <w:sz w:val="20"/>
          <w:szCs w:val="20"/>
        </w:rPr>
        <w:t xml:space="preserve">CONFIDENTIAL — FOR AUTHOR USE ONLY</w:t>
      </w:r>
    </w:p>
    <w:p>
      <w:pPr>
        <w:spacing w:before="0" w:after="0"/>
      </w:pPr>
      <w:r>
        <w:br w:type="page"/>
      </w:r>
    </w:p>
    <w:p>
      <w:pPr>
        <w:pStyle w:val="Heading1"/>
        <w:pBdr>
          <w:bottom w:val="single" w:color="1B3A6B" w:sz="8" w:space="4"/>
        </w:pBdr>
        <w:spacing w:before="480" w:after="200"/>
        <w:outlineLvl w:val="0"/>
      </w:pPr>
      <w:r>
        <w:rPr>
          <w:rFonts w:ascii="Arial" w:cs="Arial" w:eastAsia="Arial" w:hAnsi="Arial"/>
          <w:b/>
          <w:bCs/>
          <w:color w:val="1B3A6B"/>
          <w:sz w:val="36"/>
          <w:szCs w:val="36"/>
        </w:rPr>
        <w:t xml:space="preserve">TABLE OF CONTENTS</w:t>
      </w:r>
    </w:p>
    <w:p>
      <w:pPr>
        <w:spacing w:before="0" w:after="80"/>
      </w:pPr>
      <w:r>
        <w:rPr>
          <w:rFonts w:ascii="Arial" w:cs="Arial" w:eastAsia="Arial" w:hAnsi="Arial"/>
          <w:b w:val="false"/>
          <w:bCs w:val="false"/>
          <w:i w:val="false"/>
          <w:iCs w:val="false"/>
          <w:color w:val="1A1A2E"/>
          <w:sz w:val="22"/>
          <w:szCs w:val="22"/>
        </w:rPr>
        <w:t xml:space="preserve"/>
      </w:r>
    </w:p>
    <w:p>
      <w:pPr>
        <w:spacing w:before="80" w:after="80"/>
      </w:pPr>
      <w:r>
        <w:rPr>
          <w:rFonts w:ascii="Arial" w:cs="Arial" w:eastAsia="Arial" w:hAnsi="Arial"/>
          <w:b/>
          <w:bCs/>
          <w:color w:val="1B3A6B"/>
          <w:sz w:val="22"/>
          <w:szCs w:val="22"/>
        </w:rPr>
        <w:t xml:space="preserve">PART 0  </w:t>
      </w:r>
      <w:r>
        <w:rPr>
          <w:rFonts w:ascii="Arial" w:cs="Arial" w:eastAsia="Arial" w:hAnsi="Arial"/>
          <w:color w:val="1A1A2E"/>
          <w:sz w:val="22"/>
          <w:szCs w:val="22"/>
        </w:rPr>
        <w:t xml:space="preserve">Verdict Summary Across All 8 Reviews</w:t>
      </w:r>
      <w:r>
        <w:rPr>
          <w:rFonts w:ascii="Arial" w:cs="Arial" w:eastAsia="Arial" w:hAnsi="Arial"/>
          <w:color w:val="4A5568"/>
          <w:sz w:val="22"/>
          <w:szCs w:val="22"/>
        </w:rPr>
        <w:t xml:space="preserve">  ……  3</w:t>
      </w:r>
    </w:p>
    <w:p>
      <w:pPr>
        <w:spacing w:before="80" w:after="80"/>
      </w:pPr>
      <w:r>
        <w:rPr>
          <w:rFonts w:ascii="Arial" w:cs="Arial" w:eastAsia="Arial" w:hAnsi="Arial"/>
          <w:b/>
          <w:bCs/>
          <w:color w:val="1B3A6B"/>
          <w:sz w:val="22"/>
          <w:szCs w:val="22"/>
        </w:rPr>
        <w:t xml:space="preserve">PART 1  </w:t>
      </w:r>
      <w:r>
        <w:rPr>
          <w:rFonts w:ascii="Arial" w:cs="Arial" w:eastAsia="Arial" w:hAnsi="Arial"/>
          <w:color w:val="1A1A2E"/>
          <w:sz w:val="22"/>
          <w:szCs w:val="22"/>
        </w:rPr>
        <w:t xml:space="preserve">Consensus Criticisms (Raised by 5+ Sources)</w:t>
      </w:r>
      <w:r>
        <w:rPr>
          <w:rFonts w:ascii="Arial" w:cs="Arial" w:eastAsia="Arial" w:hAnsi="Arial"/>
          <w:color w:val="4A5568"/>
          <w:sz w:val="22"/>
          <w:szCs w:val="22"/>
        </w:rPr>
        <w:t xml:space="preserve">  ……  5</w:t>
      </w:r>
    </w:p>
    <w:p>
      <w:pPr>
        <w:spacing w:before="80" w:after="80"/>
      </w:pPr>
      <w:r>
        <w:rPr>
          <w:rFonts w:ascii="Arial" w:cs="Arial" w:eastAsia="Arial" w:hAnsi="Arial"/>
          <w:b/>
          <w:bCs/>
          <w:color w:val="1B3A6B"/>
          <w:sz w:val="22"/>
          <w:szCs w:val="22"/>
        </w:rPr>
        <w:t xml:space="preserve">PART 2  </w:t>
      </w:r>
      <w:r>
        <w:rPr>
          <w:rFonts w:ascii="Arial" w:cs="Arial" w:eastAsia="Arial" w:hAnsi="Arial"/>
          <w:color w:val="1A1A2E"/>
          <w:sz w:val="22"/>
          <w:szCs w:val="22"/>
        </w:rPr>
        <w:t xml:space="preserve">Unique High-Value Insights (1–2 Sources Only)</w:t>
      </w:r>
      <w:r>
        <w:rPr>
          <w:rFonts w:ascii="Arial" w:cs="Arial" w:eastAsia="Arial" w:hAnsi="Arial"/>
          <w:color w:val="4A5568"/>
          <w:sz w:val="22"/>
          <w:szCs w:val="22"/>
        </w:rPr>
        <w:t xml:space="preserve">  ……  9</w:t>
      </w:r>
    </w:p>
    <w:p>
      <w:pPr>
        <w:spacing w:before="80" w:after="80"/>
      </w:pPr>
      <w:r>
        <w:rPr>
          <w:rFonts w:ascii="Arial" w:cs="Arial" w:eastAsia="Arial" w:hAnsi="Arial"/>
          <w:b/>
          <w:bCs/>
          <w:color w:val="1B3A6B"/>
          <w:sz w:val="22"/>
          <w:szCs w:val="22"/>
        </w:rPr>
        <w:t xml:space="preserve">PART 3  </w:t>
      </w:r>
      <w:r>
        <w:rPr>
          <w:rFonts w:ascii="Arial" w:cs="Arial" w:eastAsia="Arial" w:hAnsi="Arial"/>
          <w:color w:val="1A1A2E"/>
          <w:sz w:val="22"/>
          <w:szCs w:val="22"/>
        </w:rPr>
        <w:t xml:space="preserve">Advice to Discard (What Will Hurt the Paper)</w:t>
      </w:r>
      <w:r>
        <w:rPr>
          <w:rFonts w:ascii="Arial" w:cs="Arial" w:eastAsia="Arial" w:hAnsi="Arial"/>
          <w:color w:val="4A5568"/>
          <w:sz w:val="22"/>
          <w:szCs w:val="22"/>
        </w:rPr>
        <w:t xml:space="preserve">  ……  12</w:t>
      </w:r>
    </w:p>
    <w:p>
      <w:pPr>
        <w:spacing w:before="80" w:after="80"/>
      </w:pPr>
      <w:r>
        <w:rPr>
          <w:rFonts w:ascii="Arial" w:cs="Arial" w:eastAsia="Arial" w:hAnsi="Arial"/>
          <w:b/>
          <w:bCs/>
          <w:color w:val="1B3A6B"/>
          <w:sz w:val="22"/>
          <w:szCs w:val="22"/>
        </w:rPr>
        <w:t xml:space="preserve">PART 4  </w:t>
      </w:r>
      <w:r>
        <w:rPr>
          <w:rFonts w:ascii="Arial" w:cs="Arial" w:eastAsia="Arial" w:hAnsi="Arial"/>
          <w:color w:val="1A1A2E"/>
          <w:sz w:val="22"/>
          <w:szCs w:val="22"/>
        </w:rPr>
        <w:t xml:space="preserve">The Master Revision Plan — Tier 1: Critical</w:t>
      </w:r>
      <w:r>
        <w:rPr>
          <w:rFonts w:ascii="Arial" w:cs="Arial" w:eastAsia="Arial" w:hAnsi="Arial"/>
          <w:color w:val="4A5568"/>
          <w:sz w:val="22"/>
          <w:szCs w:val="22"/>
        </w:rPr>
        <w:t xml:space="preserve">  ……  14</w:t>
      </w:r>
    </w:p>
    <w:p>
      <w:pPr>
        <w:spacing w:before="80" w:after="80"/>
      </w:pPr>
      <w:r>
        <w:rPr>
          <w:rFonts w:ascii="Arial" w:cs="Arial" w:eastAsia="Arial" w:hAnsi="Arial"/>
          <w:b/>
          <w:bCs/>
          <w:color w:val="1B3A6B"/>
          <w:sz w:val="22"/>
          <w:szCs w:val="22"/>
        </w:rPr>
        <w:t xml:space="preserve">PART 4  </w:t>
      </w:r>
      <w:r>
        <w:rPr>
          <w:rFonts w:ascii="Arial" w:cs="Arial" w:eastAsia="Arial" w:hAnsi="Arial"/>
          <w:color w:val="1A1A2E"/>
          <w:sz w:val="22"/>
          <w:szCs w:val="22"/>
        </w:rPr>
        <w:t xml:space="preserve">The Master Revision Plan — Tier 2: High Impact</w:t>
      </w:r>
      <w:r>
        <w:rPr>
          <w:rFonts w:ascii="Arial" w:cs="Arial" w:eastAsia="Arial" w:hAnsi="Arial"/>
          <w:color w:val="4A5568"/>
          <w:sz w:val="22"/>
          <w:szCs w:val="22"/>
        </w:rPr>
        <w:t xml:space="preserve">  ……  20</w:t>
      </w:r>
    </w:p>
    <w:p>
      <w:pPr>
        <w:spacing w:before="80" w:after="80"/>
      </w:pPr>
      <w:r>
        <w:rPr>
          <w:rFonts w:ascii="Arial" w:cs="Arial" w:eastAsia="Arial" w:hAnsi="Arial"/>
          <w:b/>
          <w:bCs/>
          <w:color w:val="1B3A6B"/>
          <w:sz w:val="22"/>
          <w:szCs w:val="22"/>
        </w:rPr>
        <w:t xml:space="preserve">PART 4  </w:t>
      </w:r>
      <w:r>
        <w:rPr>
          <w:rFonts w:ascii="Arial" w:cs="Arial" w:eastAsia="Arial" w:hAnsi="Arial"/>
          <w:color w:val="1A1A2E"/>
          <w:sz w:val="22"/>
          <w:szCs w:val="22"/>
        </w:rPr>
        <w:t xml:space="preserve">The Master Revision Plan — Tier 3: Optional</w:t>
      </w:r>
      <w:r>
        <w:rPr>
          <w:rFonts w:ascii="Arial" w:cs="Arial" w:eastAsia="Arial" w:hAnsi="Arial"/>
          <w:color w:val="4A5568"/>
          <w:sz w:val="22"/>
          <w:szCs w:val="22"/>
        </w:rPr>
        <w:t xml:space="preserve">  ……  24</w:t>
      </w:r>
    </w:p>
    <w:p>
      <w:pPr>
        <w:spacing w:before="80" w:after="80"/>
      </w:pPr>
      <w:r>
        <w:rPr>
          <w:rFonts w:ascii="Arial" w:cs="Arial" w:eastAsia="Arial" w:hAnsi="Arial"/>
          <w:b/>
          <w:bCs/>
          <w:color w:val="1B3A6B"/>
          <w:sz w:val="22"/>
          <w:szCs w:val="22"/>
        </w:rPr>
        <w:t xml:space="preserve">PART 5  </w:t>
      </w:r>
      <w:r>
        <w:rPr>
          <w:rFonts w:ascii="Arial" w:cs="Arial" w:eastAsia="Arial" w:hAnsi="Arial"/>
          <w:color w:val="1A1A2E"/>
          <w:sz w:val="22"/>
          <w:szCs w:val="22"/>
        </w:rPr>
        <w:t xml:space="preserve">Language Surgery — Exact Phrase Replacements</w:t>
      </w:r>
      <w:r>
        <w:rPr>
          <w:rFonts w:ascii="Arial" w:cs="Arial" w:eastAsia="Arial" w:hAnsi="Arial"/>
          <w:color w:val="4A5568"/>
          <w:sz w:val="22"/>
          <w:szCs w:val="22"/>
        </w:rPr>
        <w:t xml:space="preserve">  ……  26</w:t>
      </w:r>
    </w:p>
    <w:p>
      <w:pPr>
        <w:spacing w:before="80" w:after="80"/>
      </w:pPr>
      <w:r>
        <w:rPr>
          <w:rFonts w:ascii="Arial" w:cs="Arial" w:eastAsia="Arial" w:hAnsi="Arial"/>
          <w:b/>
          <w:bCs/>
          <w:color w:val="1B3A6B"/>
          <w:sz w:val="22"/>
          <w:szCs w:val="22"/>
        </w:rPr>
        <w:t xml:space="preserve">PART 6  </w:t>
      </w:r>
      <w:r>
        <w:rPr>
          <w:rFonts w:ascii="Arial" w:cs="Arial" w:eastAsia="Arial" w:hAnsi="Arial"/>
          <w:color w:val="1A1A2E"/>
          <w:sz w:val="22"/>
          <w:szCs w:val="22"/>
        </w:rPr>
        <w:t xml:space="preserve">Paper Restructuring Strategy</w:t>
      </w:r>
      <w:r>
        <w:rPr>
          <w:rFonts w:ascii="Arial" w:cs="Arial" w:eastAsia="Arial" w:hAnsi="Arial"/>
          <w:color w:val="4A5568"/>
          <w:sz w:val="22"/>
          <w:szCs w:val="22"/>
        </w:rPr>
        <w:t xml:space="preserve">  ……  28</w:t>
      </w:r>
    </w:p>
    <w:p>
      <w:pPr>
        <w:spacing w:before="80" w:after="80"/>
      </w:pPr>
      <w:r>
        <w:rPr>
          <w:rFonts w:ascii="Arial" w:cs="Arial" w:eastAsia="Arial" w:hAnsi="Arial"/>
          <w:b/>
          <w:bCs/>
          <w:color w:val="1B3A6B"/>
          <w:sz w:val="22"/>
          <w:szCs w:val="22"/>
        </w:rPr>
        <w:t xml:space="preserve">PART 7  </w:t>
      </w:r>
      <w:r>
        <w:rPr>
          <w:rFonts w:ascii="Arial" w:cs="Arial" w:eastAsia="Arial" w:hAnsi="Arial"/>
          <w:color w:val="1A1A2E"/>
          <w:sz w:val="22"/>
          <w:szCs w:val="22"/>
        </w:rPr>
        <w:t xml:space="preserve">Target Journal Strategy</w:t>
      </w:r>
      <w:r>
        <w:rPr>
          <w:rFonts w:ascii="Arial" w:cs="Arial" w:eastAsia="Arial" w:hAnsi="Arial"/>
          <w:color w:val="4A5568"/>
          <w:sz w:val="22"/>
          <w:szCs w:val="22"/>
        </w:rPr>
        <w:t xml:space="preserve">  ……  30</w:t>
      </w:r>
    </w:p>
    <w:p>
      <w:pPr>
        <w:spacing w:before="80" w:after="80"/>
      </w:pPr>
      <w:r>
        <w:rPr>
          <w:rFonts w:ascii="Arial" w:cs="Arial" w:eastAsia="Arial" w:hAnsi="Arial"/>
          <w:b/>
          <w:bCs/>
          <w:color w:val="1B3A6B"/>
          <w:sz w:val="22"/>
          <w:szCs w:val="22"/>
        </w:rPr>
        <w:t xml:space="preserve">PART 8  </w:t>
      </w:r>
      <w:r>
        <w:rPr>
          <w:rFonts w:ascii="Arial" w:cs="Arial" w:eastAsia="Arial" w:hAnsi="Arial"/>
          <w:color w:val="1A1A2E"/>
          <w:sz w:val="22"/>
          <w:szCs w:val="22"/>
        </w:rPr>
        <w:t xml:space="preserve">Week-by-Week Execution Timeline</w:t>
      </w:r>
      <w:r>
        <w:rPr>
          <w:rFonts w:ascii="Arial" w:cs="Arial" w:eastAsia="Arial" w:hAnsi="Arial"/>
          <w:color w:val="4A5568"/>
          <w:sz w:val="22"/>
          <w:szCs w:val="22"/>
        </w:rPr>
        <w:t xml:space="preserve">  ……  31</w:t>
      </w:r>
    </w:p>
    <w:p>
      <w:pPr>
        <w:spacing w:before="80" w:after="80"/>
      </w:pPr>
      <w:r>
        <w:rPr>
          <w:rFonts w:ascii="Arial" w:cs="Arial" w:eastAsia="Arial" w:hAnsi="Arial"/>
          <w:b/>
          <w:bCs/>
          <w:color w:val="1B3A6B"/>
          <w:sz w:val="22"/>
          <w:szCs w:val="22"/>
        </w:rPr>
        <w:t xml:space="preserve">PART 9  </w:t>
      </w:r>
      <w:r>
        <w:rPr>
          <w:rFonts w:ascii="Arial" w:cs="Arial" w:eastAsia="Arial" w:hAnsi="Arial"/>
          <w:color w:val="1A1A2E"/>
          <w:sz w:val="22"/>
          <w:szCs w:val="22"/>
        </w:rPr>
        <w:t xml:space="preserve">The Single Most Important Thing</w:t>
      </w:r>
      <w:r>
        <w:rPr>
          <w:rFonts w:ascii="Arial" w:cs="Arial" w:eastAsia="Arial" w:hAnsi="Arial"/>
          <w:color w:val="4A5568"/>
          <w:sz w:val="22"/>
          <w:szCs w:val="22"/>
        </w:rPr>
        <w:t xml:space="preserve">  ……  33</w:t>
      </w:r>
    </w:p>
    <w:p>
      <w:pPr>
        <w:spacing w:before="0" w:after="0"/>
      </w:pPr>
      <w:r>
        <w:br w:type="page"/>
      </w:r>
    </w:p>
    <w:p>
      <w:pPr>
        <w:pStyle w:val="Heading1"/>
        <w:pBdr>
          <w:bottom w:val="single" w:color="1B3A6B" w:sz="8" w:space="4"/>
        </w:pBdr>
        <w:spacing w:before="480" w:after="200"/>
        <w:outlineLvl w:val="0"/>
      </w:pPr>
      <w:r>
        <w:rPr>
          <w:rFonts w:ascii="Arial" w:cs="Arial" w:eastAsia="Arial" w:hAnsi="Arial"/>
          <w:b/>
          <w:bCs/>
          <w:color w:val="1B3A6B"/>
          <w:sz w:val="36"/>
          <w:szCs w:val="36"/>
        </w:rPr>
        <w:t xml:space="preserve">PART 0 — VERDICT SUMMARY ACROSS ALL 8 REVIEWS</w:t>
      </w:r>
    </w:p>
    <w:p>
      <w:pPr>
        <w:spacing w:before="0" w:after="100" w:line="276"/>
        <w:jc w:val="left"/>
      </w:pPr>
      <w:r>
        <w:rPr>
          <w:rFonts w:ascii="Arial" w:cs="Arial" w:eastAsia="Arial" w:hAnsi="Arial"/>
          <w:b w:val="false"/>
          <w:bCs w:val="false"/>
          <w:i w:val="false"/>
          <w:iCs w:val="false"/>
          <w:color w:val="4A5568"/>
          <w:sz w:val="22"/>
          <w:szCs w:val="22"/>
        </w:rPr>
        <w:t xml:space="preserve">The table below consolidates the final verdicts from all 8 independent AI referee evaluations of your manuscript. Read left to right.</w:t>
      </w:r>
    </w:p>
    <w:p>
      <w:pPr>
        <w:spacing w:before="0" w:after="10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000"/>
        <w:gridCol w:w="1000"/>
        <w:gridCol w:w="4160"/>
      </w:tblGrid>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0" w:after="100" w:line="276"/>
              <w:jc w:val="left"/>
            </w:pPr>
            <w:r>
              <w:rPr>
                <w:rFonts w:ascii="Arial" w:cs="Arial" w:eastAsia="Arial" w:hAnsi="Arial"/>
                <w:b/>
                <w:bCs/>
                <w:i w:val="false"/>
                <w:iCs w:val="false"/>
                <w:color w:val="FFFFFF"/>
                <w:sz w:val="21"/>
                <w:szCs w:val="21"/>
              </w:rPr>
              <w:t xml:space="preserve">Source</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0" w:after="100" w:line="276"/>
              <w:jc w:val="left"/>
            </w:pPr>
            <w:r>
              <w:rPr>
                <w:rFonts w:ascii="Arial" w:cs="Arial" w:eastAsia="Arial" w:hAnsi="Arial"/>
                <w:b/>
                <w:bCs/>
                <w:i w:val="false"/>
                <w:iCs w:val="false"/>
                <w:color w:val="FFFFFF"/>
                <w:sz w:val="21"/>
                <w:szCs w:val="21"/>
              </w:rPr>
              <w:t xml:space="preserve">Desk Reject %</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0" w:after="100" w:line="276"/>
              <w:jc w:val="left"/>
            </w:pPr>
            <w:r>
              <w:rPr>
                <w:rFonts w:ascii="Arial" w:cs="Arial" w:eastAsia="Arial" w:hAnsi="Arial"/>
                <w:b/>
                <w:bCs/>
                <w:i w:val="false"/>
                <w:iCs w:val="false"/>
                <w:color w:val="FFFFFF"/>
                <w:sz w:val="21"/>
                <w:szCs w:val="21"/>
              </w:rPr>
              <w:t xml:space="preserve">R&amp;R %</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0" w:after="100" w:line="276"/>
              <w:jc w:val="left"/>
            </w:pPr>
            <w:r>
              <w:rPr>
                <w:rFonts w:ascii="Arial" w:cs="Arial" w:eastAsia="Arial" w:hAnsi="Arial"/>
                <w:b/>
                <w:bCs/>
                <w:i w:val="false"/>
                <w:iCs w:val="false"/>
                <w:color w:val="FFFFFF"/>
                <w:sz w:val="21"/>
                <w:szCs w:val="21"/>
              </w:rPr>
              <w:t xml:space="preserve">Accept %</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0" w:after="100" w:line="276"/>
              <w:jc w:val="left"/>
            </w:pPr>
            <w:r>
              <w:rPr>
                <w:rFonts w:ascii="Arial" w:cs="Arial" w:eastAsia="Arial" w:hAnsi="Arial"/>
                <w:b/>
                <w:bCs/>
                <w:i w:val="false"/>
                <w:iCs w:val="false"/>
                <w:color w:val="FFFFFF"/>
                <w:sz w:val="21"/>
                <w:szCs w:val="21"/>
              </w:rPr>
              <w:t xml:space="preserve">Core One-Line Diagnosis</w:t>
            </w:r>
          </w:p>
        </w:tc>
      </w:tr>
      <w:tr>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Claude (Anthropic)</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20% JHE / 85% top</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45%</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&lt;5%</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Bhutta et al. makes level gap indefensible; pivot to mechanisms</w:t>
            </w:r>
          </w:p>
        </w:tc>
      </w:tr>
      <w:tr>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GPT-4o</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10%</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65%</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15%</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Access confidential HMDA with FICO/DTI</w:t>
            </w:r>
          </w:p>
        </w:tc>
      </w:tr>
      <w:tr>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Gemini</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10%</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45%</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20%</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Smoking gun via algo vs. human underwriter split</w:t>
            </w:r>
          </w:p>
        </w:tc>
      </w:tr>
      <w:tr>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AI-3</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10%</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60%</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30%</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Drop causal language, reframe as rigorous descriptive</w:t>
            </w:r>
          </w:p>
        </w:tc>
      </w:tr>
      <w:tr>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AI-4</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10%</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60%</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30%</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Same as AI-3 (duplicate framing)</w:t>
            </w:r>
          </w:p>
        </w:tc>
      </w:tr>
      <w:tr>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AI-5</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10%</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20% as-is / 65% revised</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&lt;1% as-is</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Kitchen sink is weakness — build around Triple-DDD</w:t>
            </w:r>
          </w:p>
        </w:tc>
      </w:tr>
      <w:tr>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AI-6</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10%</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55%</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20%</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AUS simulation + default prediction falsification</w:t>
            </w:r>
          </w:p>
        </w:tc>
      </w:tr>
      <w:tr>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AI-7 (generic)</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30%</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60%</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10%</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Generic — least field-specific, discount partially</w:t>
            </w:r>
          </w:p>
        </w:tc>
      </w:tr>
      <w:tr>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AI-8</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65%</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10–15%</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&lt;5%</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40" w:after="40"/>
            </w:pPr>
            <w:r>
              <w:rPr>
                <w:rFonts w:ascii="Arial" w:cs="Arial" w:eastAsia="Arial" w:hAnsi="Arial"/>
                <w:color w:val="1A1A2E"/>
                <w:sz w:val="20"/>
                <w:szCs w:val="20"/>
              </w:rPr>
              <w:t xml:space="preserve">Descriptive economics dressed as causal inference</w:t>
            </w:r>
          </w:p>
        </w:tc>
      </w:tr>
    </w:tbl>
    <w:p>
      <w:pPr>
        <w:spacing w:before="0" w:after="200"/>
      </w:pPr>
      <w:r>
        <w:rPr>
          <w:rFonts w:ascii="Arial" w:cs="Arial" w:eastAsia="Arial" w:hAnsi="Arial"/>
          <w:b w:val="false"/>
          <w:bCs w:val="false"/>
          <w:i w:val="false"/>
          <w:iCs w:val="false"/>
          <w:color w:val="1A1A2E"/>
          <w:sz w:val="22"/>
          <w:szCs w:val="22"/>
        </w:rPr>
        <w:t xml:space="preserve"/>
      </w:r>
    </w:p>
    <w:p>
      <w:pPr>
        <w:pStyle w:val="Heading2"/>
        <w:spacing w:before="360" w:after="160"/>
        <w:outlineLvl w:val="1"/>
      </w:pPr>
      <w:r>
        <w:rPr>
          <w:rFonts w:ascii="Arial" w:cs="Arial" w:eastAsia="Arial" w:hAnsi="Arial"/>
          <w:b/>
          <w:bCs/>
          <w:color w:val="2E5FA3"/>
          <w:sz w:val="28"/>
          <w:szCs w:val="28"/>
        </w:rPr>
        <w:t xml:space="preserve">What the Split of Opinion Means</w:t>
      </w:r>
    </w:p>
    <w:p>
      <w:pPr>
        <w:spacing w:before="0" w:after="100" w:line="276"/>
        <w:jc w:val="left"/>
      </w:pPr>
      <w:r>
        <w:rPr>
          <w:rFonts w:ascii="Arial" w:cs="Arial" w:eastAsia="Arial" w:hAnsi="Arial"/>
          <w:b w:val="false"/>
          <w:bCs w:val="false"/>
          <w:i w:val="false"/>
          <w:iCs w:val="false"/>
          <w:color w:val="1A1A2E"/>
          <w:sz w:val="22"/>
          <w:szCs w:val="22"/>
        </w:rPr>
        <w:t xml:space="preserve">The AI evaluations split into two clear camps, and both camps are correct — about different target journals.</w:t>
      </w:r>
    </w:p>
    <w:p>
      <w:pPr>
        <w:spacing w:before="0" w:after="8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BDC6D4" w:sz="1"/>
              <w:left w:val="single" w:color="BDC6D4" w:sz="1"/>
              <w:bottom w:val="single" w:color="BDC6D4" w:sz="1"/>
              <w:right w:val="single" w:color="BDC6D4" w:sz="1"/>
            </w:tcBorders>
            <w:shd w:fill="1A6B5A" w:val="clear"/>
            <w:tcMar>
              <w:top w:type="dxa" w:w="100"/>
              <w:left w:type="dxa" w:w="140"/>
              <w:bottom w:type="dxa" w:w="100"/>
              <w:right w:type="dxa" w:w="140"/>
            </w:tcMar>
            <w:vAlign w:val="center"/>
          </w:tcPr>
          <w:p>
            <w:pPr>
              <w:spacing w:before="40" w:after="40"/>
            </w:pPr>
            <w:r>
              <w:rPr>
                <w:rFonts w:ascii="Arial" w:cs="Arial" w:eastAsia="Arial" w:hAnsi="Arial"/>
                <w:b/>
                <w:bCs/>
                <w:color w:val="FFFFFF"/>
                <w:sz w:val="22"/>
                <w:szCs w:val="22"/>
              </w:rPr>
              <w:t xml:space="preserve">Camp</w:t>
            </w:r>
          </w:p>
        </w:tc>
        <w:tc>
          <w:tcPr>
            <w:tcBorders>
              <w:top w:val="single" w:color="BDC6D4" w:sz="1"/>
              <w:left w:val="single" w:color="BDC6D4" w:sz="1"/>
              <w:bottom w:val="single" w:color="BDC6D4" w:sz="1"/>
              <w:right w:val="single" w:color="BDC6D4" w:sz="1"/>
            </w:tcBorders>
            <w:shd w:fill="1A6B5A" w:val="clear"/>
            <w:tcMar>
              <w:top w:type="dxa" w:w="100"/>
              <w:left w:type="dxa" w:w="140"/>
              <w:bottom w:type="dxa" w:w="100"/>
              <w:right w:type="dxa" w:w="140"/>
            </w:tcMar>
            <w:vAlign w:val="center"/>
          </w:tcPr>
          <w:p>
            <w:pPr>
              <w:spacing w:before="40" w:after="40"/>
            </w:pPr>
            <w:r>
              <w:rPr>
                <w:rFonts w:ascii="Arial" w:cs="Arial" w:eastAsia="Arial" w:hAnsi="Arial"/>
                <w:b/>
                <w:bCs/>
                <w:color w:val="FFFFFF"/>
                <w:sz w:val="22"/>
                <w:szCs w:val="22"/>
              </w:rPr>
              <w:t xml:space="preserve">Position &amp; Which Journals It Applies To</w:t>
            </w:r>
          </w:p>
        </w:tc>
      </w:tr>
      <w:tr>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vAlign w:val="center"/>
          </w:tcPr>
          <w:p>
            <w:pPr>
              <w:spacing w:before="40" w:after="40"/>
            </w:pPr>
            <w:r>
              <w:rPr>
                <w:rFonts w:ascii="Arial" w:cs="Arial" w:eastAsia="Arial" w:hAnsi="Arial"/>
                <w:b w:val="false"/>
                <w:bCs w:val="false"/>
                <w:color w:val="1A1A2E"/>
                <w:sz w:val="21"/>
                <w:szCs w:val="21"/>
              </w:rPr>
              <w:t xml:space="preserve">OPTIMISTIC
(GPT-4o, Gemini, AI-3)</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vAlign w:val="center"/>
          </w:tcPr>
          <w:p>
            <w:pPr>
              <w:spacing w:before="40" w:after="40"/>
            </w:pPr>
            <w:r>
              <w:rPr>
                <w:rFonts w:ascii="Arial" w:cs="Arial" w:eastAsia="Arial" w:hAnsi="Arial"/>
                <w:b w:val="false"/>
                <w:bCs w:val="false"/>
                <w:color w:val="1A1A2E"/>
                <w:sz w:val="21"/>
                <w:szCs w:val="21"/>
              </w:rPr>
              <w:t xml:space="preserve">R&amp;R achievable with targeted fixes.
Correct for: JHE, Real Estate Economics</w:t>
            </w:r>
          </w:p>
        </w:tc>
      </w:tr>
      <w:tr>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vAlign w:val="center"/>
          </w:tcPr>
          <w:p>
            <w:pPr>
              <w:spacing w:before="40" w:after="40"/>
            </w:pPr>
            <w:r>
              <w:rPr>
                <w:rFonts w:ascii="Arial" w:cs="Arial" w:eastAsia="Arial" w:hAnsi="Arial"/>
                <w:b w:val="false"/>
                <w:bCs w:val="false"/>
                <w:color w:val="1A1A2E"/>
                <w:sz w:val="21"/>
                <w:szCs w:val="21"/>
              </w:rPr>
              <w:t xml:space="preserve">PESSIMISTIC
(AI-8, Claude)</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vAlign w:val="center"/>
          </w:tcPr>
          <w:p>
            <w:pPr>
              <w:spacing w:before="40" w:after="40"/>
            </w:pPr>
            <w:r>
              <w:rPr>
                <w:rFonts w:ascii="Arial" w:cs="Arial" w:eastAsia="Arial" w:hAnsi="Arial"/>
                <w:b w:val="false"/>
                <w:bCs w:val="false"/>
                <w:color w:val="1A1A2E"/>
                <w:sz w:val="21"/>
                <w:szCs w:val="21"/>
              </w:rPr>
              <w:t xml:space="preserve">Core identification cannot survive top-journal scrutiny without confidential data or fundamental reframing.
Correct for: JUE, JFE, RFS, REStud</w:t>
            </w:r>
          </w:p>
        </w:tc>
      </w:tr>
    </w:tbl>
    <w:p>
      <w:pPr>
        <w:spacing w:before="0" w:after="18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C0392B" w:sz="1"/>
              <w:left w:val="single" w:color="C0392B" w:sz="1"/>
              <w:bottom w:val="single" w:color="C0392B" w:sz="1"/>
              <w:right w:val="single" w:color="C0392B" w:sz="1"/>
            </w:tcBorders>
            <w:shd w:fill="FDECEA" w:val="clear"/>
            <w:tcMar>
              <w:top w:type="dxa" w:w="100"/>
              <w:left w:type="dxa" w:w="140"/>
              <w:bottom w:type="dxa" w:w="100"/>
              <w:right w:type="dxa" w:w="140"/>
            </w:tcMar>
          </w:tcPr>
          <w:p>
            <w:pPr>
              <w:spacing w:before="40" w:after="40" w:line="276"/>
            </w:pPr>
            <w:r>
              <w:rPr>
                <w:rFonts w:ascii="Arial" w:cs="Arial" w:eastAsia="Arial" w:hAnsi="Arial"/>
                <w:color w:val="1A1A2E"/>
                <w:sz w:val="22"/>
                <w:szCs w:val="22"/>
              </w:rPr>
              <w:t xml:space="preserve">CRITICAL STRATEGIC DECISION: Your target journal must be JHE or Regional Science and Urban Economics.</w:t>
            </w:r>
          </w:p>
        </w:tc>
      </w:tr>
      <w:tr>
        <w:tc>
          <w:tcPr>
            <w:tcBorders>
              <w:top w:val="single" w:color="C0392B" w:sz="1"/>
              <w:left w:val="single" w:color="C0392B" w:sz="1"/>
              <w:bottom w:val="single" w:color="C0392B" w:sz="1"/>
              <w:right w:val="single" w:color="C0392B" w:sz="1"/>
            </w:tcBorders>
            <w:shd w:fill="FDECEA" w:val="clear"/>
            <w:tcMar>
              <w:top w:type="dxa" w:w="100"/>
              <w:left w:type="dxa" w:w="140"/>
              <w:bottom w:type="dxa" w:w="100"/>
              <w:right w:type="dxa" w:w="140"/>
            </w:tcMar>
          </w:tcPr>
          <w:p>
            <w:pPr>
              <w:spacing w:before="40" w:after="40" w:line="276"/>
            </w:pPr>
            <w:r>
              <w:rPr>
                <w:rFonts w:ascii="Arial" w:cs="Arial" w:eastAsia="Arial" w:hAnsi="Arial"/>
                <w:color w:val="1A1A2E"/>
                <w:sz w:val="22"/>
                <w:szCs w:val="22"/>
              </w:rPr>
              <w:t xml:space="preserve">The paper is NOT ready for JUE, JFE, or RFS without a co-author who has CFPB confidential data access.</w:t>
            </w:r>
          </w:p>
        </w:tc>
      </w:tr>
      <w:tr>
        <w:tc>
          <w:tcPr>
            <w:tcBorders>
              <w:top w:val="single" w:color="C0392B" w:sz="1"/>
              <w:left w:val="single" w:color="C0392B" w:sz="1"/>
              <w:bottom w:val="single" w:color="C0392B" w:sz="1"/>
              <w:right w:val="single" w:color="C0392B" w:sz="1"/>
            </w:tcBorders>
            <w:shd w:fill="FDECEA" w:val="clear"/>
            <w:tcMar>
              <w:top w:type="dxa" w:w="100"/>
              <w:left w:type="dxa" w:w="140"/>
              <w:bottom w:type="dxa" w:w="100"/>
              <w:right w:type="dxa" w:w="140"/>
            </w:tcMar>
          </w:tcPr>
          <w:p>
            <w:pPr>
              <w:spacing w:before="40" w:after="40" w:line="276"/>
            </w:pPr>
            <w:r>
              <w:rPr>
                <w:rFonts w:ascii="Arial" w:cs="Arial" w:eastAsia="Arial" w:hAnsi="Arial"/>
                <w:color w:val="1A1A2E"/>
                <w:sz w:val="22"/>
                <w:szCs w:val="22"/>
              </w:rPr>
              <w:t xml:space="preserve">Accept this reality, execute perfectly within the JHE constraint, and you get published.</w:t>
            </w:r>
          </w:p>
        </w:tc>
      </w:tr>
    </w:tbl>
    <w:p>
      <w:pPr>
        <w:spacing w:before="0" w:after="0"/>
      </w:pPr>
      <w:r>
        <w:br w:type="page"/>
      </w:r>
    </w:p>
    <w:p>
      <w:pPr>
        <w:pStyle w:val="Heading1"/>
        <w:pBdr>
          <w:bottom w:val="single" w:color="1B3A6B" w:sz="8" w:space="4"/>
        </w:pBdr>
        <w:spacing w:before="480" w:after="200"/>
        <w:outlineLvl w:val="0"/>
      </w:pPr>
      <w:r>
        <w:rPr>
          <w:rFonts w:ascii="Arial" w:cs="Arial" w:eastAsia="Arial" w:hAnsi="Arial"/>
          <w:b/>
          <w:bCs/>
          <w:color w:val="1B3A6B"/>
          <w:sz w:val="36"/>
          <w:szCs w:val="36"/>
        </w:rPr>
        <w:t xml:space="preserve">PART 1 — CONSENSUS CRITICISMS</w:t>
      </w:r>
    </w:p>
    <w:p>
      <w:pPr>
        <w:spacing w:before="0" w:after="100" w:line="276"/>
        <w:jc w:val="left"/>
      </w:pPr>
      <w:r>
        <w:rPr>
          <w:rFonts w:ascii="Arial" w:cs="Arial" w:eastAsia="Arial" w:hAnsi="Arial"/>
          <w:b w:val="false"/>
          <w:bCs w:val="false"/>
          <w:i w:val="false"/>
          <w:iCs w:val="false"/>
          <w:color w:val="4A5568"/>
          <w:sz w:val="22"/>
          <w:szCs w:val="22"/>
        </w:rPr>
        <w:t xml:space="preserve">These 7 criticisms were raised independently by 5 or more of the 8 AI reviews. They are GUARANTEED to appear in any referee report you receive. Address ALL of them before resubmitting.</w:t>
      </w:r>
    </w:p>
    <w:p>
      <w:pPr>
        <w:spacing w:before="0" w:after="120"/>
      </w:pPr>
      <w:r>
        <w:rPr>
          <w:rFonts w:ascii="Arial" w:cs="Arial" w:eastAsia="Arial" w:hAnsi="Arial"/>
          <w:b w:val="false"/>
          <w:bCs w:val="false"/>
          <w:i w:val="false"/>
          <w:iCs w:val="false"/>
          <w:color w:val="1A1A2E"/>
          <w:sz w:val="22"/>
          <w:szCs w:val="22"/>
        </w:rPr>
        <w:t xml:space="preserve"/>
      </w:r>
    </w:p>
    <w:p>
      <w:pPr>
        <w:spacing w:before="320" w:after="100"/>
      </w:pPr>
      <w:r>
        <w:rPr>
          <w:rFonts w:ascii="Arial" w:cs="Arial" w:eastAsia="Arial" w:hAnsi="Arial"/>
          <w:b/>
          <w:bCs/>
          <w:color w:val="C0392B"/>
          <w:sz w:val="26"/>
          <w:szCs w:val="26"/>
        </w:rPr>
        <w:t xml:space="preserve">C-1  </w:t>
      </w:r>
      <w:r>
        <w:rPr>
          <w:rFonts w:ascii="Arial" w:cs="Arial" w:eastAsia="Arial" w:hAnsi="Arial"/>
          <w:b/>
          <w:bCs/>
          <w:color w:val="1B3A6B"/>
          <w:sz w:val="26"/>
          <w:szCs w:val="26"/>
        </w:rPr>
        <w:t xml:space="preserve">The FICO/DTI/Wealth Omission Is the Paper’s Existential Threat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60"/>
              <w:left w:type="dxa" w:w="200"/>
              <w:bottom w:type="dxa" w:w="60"/>
              <w:right w:type="dxa" w:w="140"/>
            </w:tcMar>
          </w:tcPr>
          <w:p>
            <w:pPr>
              <w:spacing w:before="40" w:after="40"/>
            </w:pPr>
            <w:r>
              <w:rPr>
                <w:rFonts w:ascii="Arial" w:cs="Arial" w:eastAsia="Arial" w:hAnsi="Arial"/>
                <w:b/>
                <w:bCs/>
                <w:color w:val="C0392B"/>
                <w:sz w:val="20"/>
                <w:szCs w:val="20"/>
              </w:rPr>
              <w:t xml:space="preserve">Raised by: </w:t>
            </w:r>
            <w:r>
              <w:rPr>
                <w:rFonts w:ascii="Arial" w:cs="Arial" w:eastAsia="Arial" w:hAnsi="Arial"/>
                <w:color w:val="1A1A2E"/>
                <w:sz w:val="20"/>
                <w:szCs w:val="20"/>
              </w:rPr>
              <w:t xml:space="preserve">ALL 8 sources</w:t>
            </w:r>
            <w:r>
              <w:rPr>
                <w:rFonts w:ascii="Arial" w:cs="Arial" w:eastAsia="Arial" w:hAnsi="Arial"/>
                <w:b/>
                <w:bCs/>
                <w:color w:val="C0392B"/>
                <w:sz w:val="20"/>
                <w:szCs w:val="20"/>
              </w:rPr>
              <w:t xml:space="preserve">     Severity: </w:t>
            </w:r>
            <w:r>
              <w:rPr>
                <w:rFonts w:ascii="Arial" w:cs="Arial" w:eastAsia="Arial" w:hAnsi="Arial"/>
                <w:b/>
                <w:bCs/>
                <w:color w:val="C0392B"/>
                <w:sz w:val="20"/>
                <w:szCs w:val="20"/>
              </w:rPr>
              <w:t xml:space="preserve">HIGH</w:t>
            </w:r>
          </w:p>
          <w:p>
            <w:pPr>
              <w:spacing w:before="60" w:after="60" w:line="280"/>
              <w:ind w:left="200"/>
            </w:pPr>
            <w:r>
              <w:rPr>
                <w:rFonts w:ascii="Arial" w:cs="Arial" w:eastAsia="Arial" w:hAnsi="Arial"/>
                <w:color w:val="1A1A2E"/>
                <w:sz w:val="21"/>
                <w:szCs w:val="21"/>
              </w:rPr>
              <w:t xml:space="preserve">•  Every single review identified this. No exceptions.</w:t>
            </w:r>
          </w:p>
          <w:p>
            <w:pPr>
              <w:spacing w:before="60" w:after="60" w:line="280"/>
              <w:ind w:left="200"/>
            </w:pPr>
            <w:r>
              <w:rPr>
                <w:rFonts w:ascii="Arial" w:cs="Arial" w:eastAsia="Arial" w:hAnsi="Arial"/>
                <w:color w:val="1A1A2E"/>
                <w:sz w:val="21"/>
                <w:szCs w:val="21"/>
              </w:rPr>
              <w:t xml:space="preserve">•  The Bhutta et al. (2025, Journal of Finance) finding of 1–2 pp residual gap after conditioning on FICO, DTI, and AUS recommendations vs. your 14.95 pp is not a framing issue — it is a direct empirical challenge.</w:t>
            </w:r>
          </w:p>
          <w:p>
            <w:pPr>
              <w:spacing w:before="60" w:after="60" w:line="280"/>
              <w:ind w:left="200"/>
            </w:pPr>
            <w:r>
              <w:rPr>
                <w:rFonts w:ascii="Arial" w:cs="Arial" w:eastAsia="Arial" w:hAnsi="Arial"/>
                <w:color w:val="1A1A2E"/>
                <w:sz w:val="21"/>
                <w:szCs w:val="21"/>
              </w:rPr>
              <w:t xml:space="preserve">•  The paper's Manski bounds address FICO only. Even the most forgiving reviews said the bounds are 'weak for causal identification.'</w:t>
            </w:r>
          </w:p>
          <w:p>
            <w:pPr>
              <w:spacing w:before="60" w:after="60" w:line="280"/>
              <w:ind w:left="200"/>
            </w:pPr>
            <w:r>
              <w:rPr>
                <w:rFonts w:ascii="Arial" w:cs="Arial" w:eastAsia="Arial" w:hAnsi="Arial"/>
                <w:color w:val="1A1A2E"/>
                <w:sz w:val="21"/>
                <w:szCs w:val="21"/>
              </w:rPr>
              <w:t xml:space="preserve">•  CONSENSUS CONCLUSION: Manski bounds on FICO alone are necessary but nowhere near sufficient.</w:t>
            </w:r>
          </w:p>
        </w:tc>
      </w:tr>
    </w:tbl>
    <w:p>
      <w:pPr>
        <w:spacing w:before="0" w:after="80"/>
      </w:pPr>
      <w:r>
        <w:rPr>
          <w:rFonts w:ascii="Arial" w:cs="Arial" w:eastAsia="Arial" w:hAnsi="Arial"/>
          <w:b w:val="false"/>
          <w:bCs w:val="false"/>
          <w:i w:val="false"/>
          <w:iCs w:val="false"/>
          <w:color w:val="1A1A2E"/>
          <w:sz w:val="22"/>
          <w:szCs w:val="22"/>
        </w:rPr>
        <w:t xml:space="preserve"/>
      </w:r>
    </w:p>
    <w:p>
      <w:pPr>
        <w:spacing w:before="320" w:after="100"/>
      </w:pPr>
      <w:r>
        <w:rPr>
          <w:rFonts w:ascii="Arial" w:cs="Arial" w:eastAsia="Arial" w:hAnsi="Arial"/>
          <w:b/>
          <w:bCs/>
          <w:color w:val="C0392B"/>
          <w:sz w:val="26"/>
          <w:szCs w:val="26"/>
        </w:rPr>
        <w:t xml:space="preserve">C-2  </w:t>
      </w:r>
      <w:r>
        <w:rPr>
          <w:rFonts w:ascii="Arial" w:cs="Arial" w:eastAsia="Arial" w:hAnsi="Arial"/>
          <w:b/>
          <w:bCs/>
          <w:color w:val="1B3A6B"/>
          <w:sz w:val="26"/>
          <w:szCs w:val="26"/>
        </w:rPr>
        <w:t xml:space="preserve">Manski Bounds Are Incomplete — Only FICO Is Bounded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60"/>
              <w:left w:type="dxa" w:w="200"/>
              <w:bottom w:type="dxa" w:w="60"/>
              <w:right w:type="dxa" w:w="140"/>
            </w:tcMar>
          </w:tcPr>
          <w:p>
            <w:pPr>
              <w:spacing w:before="40" w:after="40"/>
            </w:pPr>
            <w:r>
              <w:rPr>
                <w:rFonts w:ascii="Arial" w:cs="Arial" w:eastAsia="Arial" w:hAnsi="Arial"/>
                <w:b/>
                <w:bCs/>
                <w:color w:val="C0392B"/>
                <w:sz w:val="20"/>
                <w:szCs w:val="20"/>
              </w:rPr>
              <w:t xml:space="preserve">Raised by: </w:t>
            </w:r>
            <w:r>
              <w:rPr>
                <w:rFonts w:ascii="Arial" w:cs="Arial" w:eastAsia="Arial" w:hAnsi="Arial"/>
                <w:color w:val="1A1A2E"/>
                <w:sz w:val="20"/>
                <w:szCs w:val="20"/>
              </w:rPr>
              <w:t xml:space="preserve">7 of 8 sources</w:t>
            </w:r>
            <w:r>
              <w:rPr>
                <w:rFonts w:ascii="Arial" w:cs="Arial" w:eastAsia="Arial" w:hAnsi="Arial"/>
                <w:b/>
                <w:bCs/>
                <w:color w:val="C0392B"/>
                <w:sz w:val="20"/>
                <w:szCs w:val="20"/>
              </w:rPr>
              <w:t xml:space="preserve">     Severity: </w:t>
            </w:r>
            <w:r>
              <w:rPr>
                <w:rFonts w:ascii="Arial" w:cs="Arial" w:eastAsia="Arial" w:hAnsi="Arial"/>
                <w:b/>
                <w:bCs/>
                <w:color w:val="C0392B"/>
                <w:sz w:val="20"/>
                <w:szCs w:val="20"/>
              </w:rPr>
              <w:t xml:space="preserve">HIGH</w:t>
            </w:r>
          </w:p>
          <w:p>
            <w:pPr>
              <w:spacing w:before="60" w:after="60" w:line="280"/>
              <w:ind w:left="200"/>
            </w:pPr>
            <w:r>
              <w:rPr>
                <w:rFonts w:ascii="Arial" w:cs="Arial" w:eastAsia="Arial" w:hAnsi="Arial"/>
                <w:color w:val="1A1A2E"/>
                <w:sz w:val="21"/>
                <w:szCs w:val="21"/>
              </w:rPr>
              <w:t xml:space="preserve">•  DTI is arguably MORE important than FICO in conventional loan underwriting (GSE 45% hard DTI cutoff).</w:t>
            </w:r>
          </w:p>
          <w:p>
            <w:pPr>
              <w:spacing w:before="60" w:after="60" w:line="280"/>
              <w:ind w:left="200"/>
            </w:pPr>
            <w:r>
              <w:rPr>
                <w:rFonts w:ascii="Arial" w:cs="Arial" w:eastAsia="Arial" w:hAnsi="Arial"/>
                <w:color w:val="1A1A2E"/>
                <w:sz w:val="21"/>
                <w:szCs w:val="21"/>
              </w:rPr>
              <w:t xml:space="preserve">•  Manski bounds that cover only one of four major unobservables (FICO, DTI, assets, employment history) are vulnerable to the charge of cherry-picking the most favorable variable to bound.</w:t>
            </w:r>
          </w:p>
          <w:p>
            <w:pPr>
              <w:spacing w:before="60" w:after="60" w:line="280"/>
              <w:ind w:left="200"/>
            </w:pPr>
            <w:r>
              <w:rPr>
                <w:rFonts w:ascii="Arial" w:cs="Arial" w:eastAsia="Arial" w:hAnsi="Arial"/>
                <w:color w:val="1A1A2E"/>
                <w:sz w:val="21"/>
                <w:szCs w:val="21"/>
              </w:rPr>
              <w:t xml:space="preserve">•  AI-6: 'Tighter partial ID: recent FICO-approval elasticity estimates, joint bounds with DTI, or worst-case over multiple unobservables.'</w:t>
            </w:r>
          </w:p>
          <w:p>
            <w:pPr>
              <w:spacing w:before="60" w:after="60" w:line="280"/>
              <w:ind w:left="200"/>
            </w:pPr>
            <w:r>
              <w:rPr>
                <w:rFonts w:ascii="Arial" w:cs="Arial" w:eastAsia="Arial" w:hAnsi="Arial"/>
                <w:color w:val="1A1A2E"/>
                <w:sz w:val="21"/>
                <w:szCs w:val="21"/>
              </w:rPr>
              <w:t xml:space="preserve">•  REQUIRED ACTION: Add DTI partial identification bounds using SCF data and GSE eligibility tables.</w:t>
            </w:r>
          </w:p>
        </w:tc>
      </w:tr>
    </w:tbl>
    <w:p>
      <w:pPr>
        <w:spacing w:before="0" w:after="80"/>
      </w:pPr>
      <w:r>
        <w:rPr>
          <w:rFonts w:ascii="Arial" w:cs="Arial" w:eastAsia="Arial" w:hAnsi="Arial"/>
          <w:b w:val="false"/>
          <w:bCs w:val="false"/>
          <w:i w:val="false"/>
          <w:iCs w:val="false"/>
          <w:color w:val="1A1A2E"/>
          <w:sz w:val="22"/>
          <w:szCs w:val="22"/>
        </w:rPr>
        <w:t xml:space="preserve"/>
      </w:r>
    </w:p>
    <w:p>
      <w:pPr>
        <w:spacing w:before="320" w:after="100"/>
      </w:pPr>
      <w:r>
        <w:rPr>
          <w:rFonts w:ascii="Arial" w:cs="Arial" w:eastAsia="Arial" w:hAnsi="Arial"/>
          <w:b/>
          <w:bCs/>
          <w:color w:val="C0392B"/>
          <w:sz w:val="26"/>
          <w:szCs w:val="26"/>
        </w:rPr>
        <w:t xml:space="preserve">C-3  </w:t>
      </w:r>
      <w:r>
        <w:rPr>
          <w:rFonts w:ascii="Arial" w:cs="Arial" w:eastAsia="Arial" w:hAnsi="Arial"/>
          <w:b/>
          <w:bCs/>
          <w:color w:val="1B3A6B"/>
          <w:sz w:val="26"/>
          <w:szCs w:val="26"/>
        </w:rPr>
        <w:t xml:space="preserve">RDD Endogeneity: LTV Is Not Truly Exogenous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60"/>
              <w:left w:type="dxa" w:w="200"/>
              <w:bottom w:type="dxa" w:w="60"/>
              <w:right w:type="dxa" w:w="140"/>
            </w:tcMar>
          </w:tcPr>
          <w:p>
            <w:pPr>
              <w:spacing w:before="40" w:after="40"/>
            </w:pPr>
            <w:r>
              <w:rPr>
                <w:rFonts w:ascii="Arial" w:cs="Arial" w:eastAsia="Arial" w:hAnsi="Arial"/>
                <w:b/>
                <w:bCs/>
                <w:color w:val="C0392B"/>
                <w:sz w:val="20"/>
                <w:szCs w:val="20"/>
              </w:rPr>
              <w:t xml:space="preserve">Raised by: </w:t>
            </w:r>
            <w:r>
              <w:rPr>
                <w:rFonts w:ascii="Arial" w:cs="Arial" w:eastAsia="Arial" w:hAnsi="Arial"/>
                <w:color w:val="1A1A2E"/>
                <w:sz w:val="20"/>
                <w:szCs w:val="20"/>
              </w:rPr>
              <w:t xml:space="preserve">7 of 8 sources</w:t>
            </w:r>
            <w:r>
              <w:rPr>
                <w:rFonts w:ascii="Arial" w:cs="Arial" w:eastAsia="Arial" w:hAnsi="Arial"/>
                <w:b/>
                <w:bCs/>
                <w:color w:val="C0392B"/>
                <w:sz w:val="20"/>
                <w:szCs w:val="20"/>
              </w:rPr>
              <w:t xml:space="preserve">     Severity: </w:t>
            </w:r>
            <w:r>
              <w:rPr>
                <w:rFonts w:ascii="Arial" w:cs="Arial" w:eastAsia="Arial" w:hAnsi="Arial"/>
                <w:b/>
                <w:bCs/>
                <w:color w:val="C0392B"/>
                <w:sz w:val="20"/>
                <w:szCs w:val="20"/>
              </w:rPr>
              <w:t xml:space="preserve">HIGH</w:t>
            </w:r>
          </w:p>
          <w:p>
            <w:pPr>
              <w:spacing w:before="60" w:after="60" w:line="280"/>
              <w:ind w:left="200"/>
            </w:pPr>
            <w:r>
              <w:rPr>
                <w:rFonts w:ascii="Arial" w:cs="Arial" w:eastAsia="Arial" w:hAnsi="Arial"/>
                <w:color w:val="1A1A2E"/>
                <w:sz w:val="21"/>
                <w:szCs w:val="21"/>
              </w:rPr>
              <w:t xml:space="preserve">•  The McCrary density test rules out precise manipulation but does NOT rule out smooth sorting on unobservables.</w:t>
            </w:r>
          </w:p>
          <w:p>
            <w:pPr>
              <w:spacing w:before="60" w:after="60" w:line="280"/>
              <w:ind w:left="200"/>
            </w:pPr>
            <w:r>
              <w:rPr>
                <w:rFonts w:ascii="Arial" w:cs="Arial" w:eastAsia="Arial" w:hAnsi="Arial"/>
                <w:color w:val="1A1A2E"/>
                <w:sz w:val="21"/>
                <w:szCs w:val="21"/>
              </w:rPr>
              <w:t xml:space="preserve">•  AI-3: 'Black applicants just above 80% LTV may be systematically different from those just below in ways that White applicants are not.'</w:t>
            </w:r>
          </w:p>
          <w:p>
            <w:pPr>
              <w:spacing w:before="60" w:after="60" w:line="280"/>
              <w:ind w:left="200"/>
            </w:pPr>
            <w:r>
              <w:rPr>
                <w:rFonts w:ascii="Arial" w:cs="Arial" w:eastAsia="Arial" w:hAnsi="Arial"/>
                <w:color w:val="1A1A2E"/>
                <w:sz w:val="21"/>
                <w:szCs w:val="21"/>
              </w:rPr>
              <w:t xml:space="preserve">•  AI-8: 'Crossing 80% LTV is not random — it reflects borrower constraints and wealth.'</w:t>
            </w:r>
          </w:p>
          <w:p>
            <w:pPr>
              <w:spacing w:before="60" w:after="60" w:line="280"/>
              <w:ind w:left="200"/>
            </w:pPr>
            <w:r>
              <w:rPr>
                <w:rFonts w:ascii="Arial" w:cs="Arial" w:eastAsia="Arial" w:hAnsi="Arial"/>
                <w:color w:val="1A1A2E"/>
                <w:sz w:val="21"/>
                <w:szCs w:val="21"/>
              </w:rPr>
              <w:t xml:space="preserve">•  CRITICAL MISSING TEST: Covariate balance at the RDD cutoff by race (income, loan amount, property value tested separately for Black and White applicants). Without this table, a referee will reject the RDD as unvalidated.</w:t>
            </w:r>
          </w:p>
        </w:tc>
      </w:tr>
    </w:tbl>
    <w:p>
      <w:pPr>
        <w:spacing w:before="0" w:after="80"/>
      </w:pPr>
      <w:r>
        <w:rPr>
          <w:rFonts w:ascii="Arial" w:cs="Arial" w:eastAsia="Arial" w:hAnsi="Arial"/>
          <w:b w:val="false"/>
          <w:bCs w:val="false"/>
          <w:i w:val="false"/>
          <w:iCs w:val="false"/>
          <w:color w:val="1A1A2E"/>
          <w:sz w:val="22"/>
          <w:szCs w:val="22"/>
        </w:rPr>
        <w:t xml:space="preserve"/>
      </w:r>
    </w:p>
    <w:p>
      <w:pPr>
        <w:spacing w:before="320" w:after="100"/>
      </w:pPr>
      <w:r>
        <w:rPr>
          <w:rFonts w:ascii="Arial" w:cs="Arial" w:eastAsia="Arial" w:hAnsi="Arial"/>
          <w:b/>
          <w:bCs/>
          <w:color w:val="C0392B"/>
          <w:sz w:val="26"/>
          <w:szCs w:val="26"/>
        </w:rPr>
        <w:t xml:space="preserve">C-4  </w:t>
      </w:r>
      <w:r>
        <w:rPr>
          <w:rFonts w:ascii="Arial" w:cs="Arial" w:eastAsia="Arial" w:hAnsi="Arial"/>
          <w:b/>
          <w:bCs/>
          <w:color w:val="1B3A6B"/>
          <w:sz w:val="26"/>
          <w:szCs w:val="26"/>
        </w:rPr>
        <w:t xml:space="preserve">DiD Parallel Trends Are Violated and Base-Year Choice Is Suspect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60"/>
              <w:left w:type="dxa" w:w="200"/>
              <w:bottom w:type="dxa" w:w="60"/>
              <w:right w:type="dxa" w:w="140"/>
            </w:tcMar>
          </w:tcPr>
          <w:p>
            <w:pPr>
              <w:spacing w:before="40" w:after="40"/>
            </w:pPr>
            <w:r>
              <w:rPr>
                <w:rFonts w:ascii="Arial" w:cs="Arial" w:eastAsia="Arial" w:hAnsi="Arial"/>
                <w:b/>
                <w:bCs/>
                <w:color w:val="C0392B"/>
                <w:sz w:val="20"/>
                <w:szCs w:val="20"/>
              </w:rPr>
              <w:t xml:space="preserve">Raised by: </w:t>
            </w:r>
            <w:r>
              <w:rPr>
                <w:rFonts w:ascii="Arial" w:cs="Arial" w:eastAsia="Arial" w:hAnsi="Arial"/>
                <w:color w:val="1A1A2E"/>
                <w:sz w:val="20"/>
                <w:szCs w:val="20"/>
              </w:rPr>
              <w:t xml:space="preserve">7 of 8 sources</w:t>
            </w:r>
            <w:r>
              <w:rPr>
                <w:rFonts w:ascii="Arial" w:cs="Arial" w:eastAsia="Arial" w:hAnsi="Arial"/>
                <w:b/>
                <w:bCs/>
                <w:color w:val="C0392B"/>
                <w:sz w:val="20"/>
                <w:szCs w:val="20"/>
              </w:rPr>
              <w:t xml:space="preserve">     Severity: </w:t>
            </w:r>
            <w:r>
              <w:rPr>
                <w:rFonts w:ascii="Arial" w:cs="Arial" w:eastAsia="Arial" w:hAnsi="Arial"/>
                <w:b/>
                <w:bCs/>
                <w:color w:val="C0392B"/>
                <w:sz w:val="20"/>
                <w:szCs w:val="20"/>
              </w:rPr>
              <w:t xml:space="preserve">HIGH</w:t>
            </w:r>
          </w:p>
          <w:p>
            <w:pPr>
              <w:spacing w:before="60" w:after="60" w:line="280"/>
              <w:ind w:left="200"/>
            </w:pPr>
            <w:r>
              <w:rPr>
                <w:rFonts w:ascii="Arial" w:cs="Arial" w:eastAsia="Arial" w:hAnsi="Arial"/>
                <w:color w:val="1A1A2E"/>
                <w:sz w:val="21"/>
                <w:szCs w:val="21"/>
              </w:rPr>
              <w:t xml:space="preserve">•  Every competent reviewer will see that delta_2018 = -1.739 pp (p&lt;0.001) and delta_2019 = -1.370 pp (p&lt;0.001). The pre-period is NOT flat.</w:t>
            </w:r>
          </w:p>
          <w:p>
            <w:pPr>
              <w:spacing w:before="60" w:after="60" w:line="280"/>
              <w:ind w:left="200"/>
            </w:pPr>
            <w:r>
              <w:rPr>
                <w:rFonts w:ascii="Arial" w:cs="Arial" w:eastAsia="Arial" w:hAnsi="Arial"/>
                <w:color w:val="1A1A2E"/>
                <w:sz w:val="21"/>
                <w:szCs w:val="21"/>
              </w:rPr>
              <w:t xml:space="preserve">•  AI-5 identified the most damaging problem: Choosing 2021 as the base year — which the paper admits is 'the minimum of the within-lender penalty' — mechanically MAXIMIZES the post-period estimate. Any other base year would produce a smaller DiD coefficient. This is a specification search problem.</w:t>
            </w:r>
          </w:p>
          <w:p>
            <w:pPr>
              <w:spacing w:before="60" w:after="60" w:line="280"/>
              <w:ind w:left="200"/>
            </w:pPr>
            <w:r>
              <w:rPr>
                <w:rFonts w:ascii="Arial" w:cs="Arial" w:eastAsia="Arial" w:hAnsi="Arial"/>
                <w:color w:val="1A1A2E"/>
                <w:sz w:val="21"/>
                <w:szCs w:val="21"/>
              </w:rPr>
              <w:t xml:space="preserve">•  The HonestDiD M* values of ~1.95-2.47 sound strong but only say results survive deviations up to ~2x the observed pre-period deviation. The observed deviation itself is large.</w:t>
            </w:r>
          </w:p>
          <w:p>
            <w:pPr>
              <w:spacing w:before="60" w:after="60" w:line="280"/>
              <w:ind w:left="200"/>
            </w:pPr>
            <w:r>
              <w:rPr>
                <w:rFonts w:ascii="Arial" w:cs="Arial" w:eastAsia="Arial" w:hAnsi="Arial"/>
                <w:color w:val="1A1A2E"/>
                <w:sz w:val="21"/>
                <w:szCs w:val="21"/>
              </w:rPr>
              <w:t xml:space="preserve">•  REQUIRED FIX: Add a composition test (high-predicted-probability DiD) and consider Callaway-Sant’Anna staggered DiD estimator.</w:t>
            </w:r>
          </w:p>
        </w:tc>
      </w:tr>
    </w:tbl>
    <w:p>
      <w:pPr>
        <w:spacing w:before="0" w:after="80"/>
      </w:pPr>
      <w:r>
        <w:rPr>
          <w:rFonts w:ascii="Arial" w:cs="Arial" w:eastAsia="Arial" w:hAnsi="Arial"/>
          <w:b w:val="false"/>
          <w:bCs w:val="false"/>
          <w:i w:val="false"/>
          <w:iCs w:val="false"/>
          <w:color w:val="1A1A2E"/>
          <w:sz w:val="22"/>
          <w:szCs w:val="22"/>
        </w:rPr>
        <w:t xml:space="preserve"/>
      </w:r>
    </w:p>
    <w:p>
      <w:pPr>
        <w:spacing w:before="320" w:after="100"/>
      </w:pPr>
      <w:r>
        <w:rPr>
          <w:rFonts w:ascii="Arial" w:cs="Arial" w:eastAsia="Arial" w:hAnsi="Arial"/>
          <w:b/>
          <w:bCs/>
          <w:color w:val="C0392B"/>
          <w:sz w:val="26"/>
          <w:szCs w:val="26"/>
        </w:rPr>
        <w:t xml:space="preserve">C-5  </w:t>
      </w:r>
      <w:r>
        <w:rPr>
          <w:rFonts w:ascii="Arial" w:cs="Arial" w:eastAsia="Arial" w:hAnsi="Arial"/>
          <w:b/>
          <w:bCs/>
          <w:color w:val="1B3A6B"/>
          <w:sz w:val="26"/>
          <w:szCs w:val="26"/>
        </w:rPr>
        <w:t xml:space="preserve">Overclaiming: Causal Language Exceeds What Is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60"/>
              <w:left w:type="dxa" w:w="200"/>
              <w:bottom w:type="dxa" w:w="60"/>
              <w:right w:type="dxa" w:w="140"/>
            </w:tcMar>
          </w:tcPr>
          <w:p>
            <w:pPr>
              <w:spacing w:before="40" w:after="40"/>
            </w:pPr>
            <w:r>
              <w:rPr>
                <w:rFonts w:ascii="Arial" w:cs="Arial" w:eastAsia="Arial" w:hAnsi="Arial"/>
                <w:b/>
                <w:bCs/>
                <w:color w:val="C0392B"/>
                <w:sz w:val="20"/>
                <w:szCs w:val="20"/>
              </w:rPr>
              <w:t xml:space="preserve">Raised by: </w:t>
            </w:r>
            <w:r>
              <w:rPr>
                <w:rFonts w:ascii="Arial" w:cs="Arial" w:eastAsia="Arial" w:hAnsi="Arial"/>
                <w:color w:val="1A1A2E"/>
                <w:sz w:val="20"/>
                <w:szCs w:val="20"/>
              </w:rPr>
              <w:t xml:space="preserve">6 of 8 sources</w:t>
            </w:r>
            <w:r>
              <w:rPr>
                <w:rFonts w:ascii="Arial" w:cs="Arial" w:eastAsia="Arial" w:hAnsi="Arial"/>
                <w:b/>
                <w:bCs/>
                <w:color w:val="C0392B"/>
                <w:sz w:val="20"/>
                <w:szCs w:val="20"/>
              </w:rPr>
              <w:t xml:space="preserve">     Severity: </w:t>
            </w:r>
            <w:r>
              <w:rPr>
                <w:rFonts w:ascii="Arial" w:cs="Arial" w:eastAsia="Arial" w:hAnsi="Arial"/>
                <w:b/>
                <w:bCs/>
                <w:color w:val="C0392B"/>
                <w:sz w:val="20"/>
                <w:szCs w:val="20"/>
              </w:rPr>
              <w:t xml:space="preserve">HIGH</w:t>
            </w:r>
          </w:p>
          <w:p>
            <w:pPr>
              <w:spacing w:before="60" w:after="60" w:line="280"/>
              <w:ind w:left="200"/>
            </w:pPr>
            <w:r>
              <w:rPr>
                <w:rFonts w:ascii="Arial" w:cs="Arial" w:eastAsia="Arial" w:hAnsi="Arial"/>
                <w:color w:val="1A1A2E"/>
                <w:sz w:val="21"/>
                <w:szCs w:val="21"/>
              </w:rPr>
              <w:t xml:space="preserve">•  The paper uses 'differential treatment,' 'institutional practices,' and 'discrimination channels' where the identification only supports 'persistent unexplained disparity within lender-year cells.'</w:t>
            </w:r>
          </w:p>
          <w:p>
            <w:pPr>
              <w:spacing w:before="60" w:after="60" w:line="280"/>
              <w:ind w:left="200"/>
            </w:pPr>
            <w:r>
              <w:rPr>
                <w:rFonts w:ascii="Arial" w:cs="Arial" w:eastAsia="Arial" w:hAnsi="Arial"/>
                <w:color w:val="1A1A2E"/>
                <w:sz w:val="21"/>
                <w:szCs w:val="21"/>
              </w:rPr>
              <w:t xml:space="preserve">•  AI-3: 'The paper repeatedly calls the RDD and DiD quasi-experimental, but a referee will note that neither design has true random assignment.'</w:t>
            </w:r>
          </w:p>
          <w:p>
            <w:pPr>
              <w:spacing w:before="60" w:after="60" w:line="280"/>
              <w:ind w:left="200"/>
            </w:pPr>
            <w:r>
              <w:rPr>
                <w:rFonts w:ascii="Arial" w:cs="Arial" w:eastAsia="Arial" w:hAnsi="Arial"/>
                <w:color w:val="1A1A2E"/>
                <w:sz w:val="21"/>
                <w:szCs w:val="21"/>
              </w:rPr>
              <w:t xml:space="preserve">•  AI-8: 'You are interpreting residual gaps as discrimination. Top journals require: discrimination ≠ unexplained residual.'</w:t>
            </w:r>
          </w:p>
          <w:p>
            <w:pPr>
              <w:spacing w:before="60" w:after="60" w:line="280"/>
              <w:ind w:left="200"/>
            </w:pPr>
            <w:r>
              <w:rPr>
                <w:rFonts w:ascii="Arial" w:cs="Arial" w:eastAsia="Arial" w:hAnsi="Arial"/>
                <w:color w:val="1A1A2E"/>
                <w:sz w:val="21"/>
                <w:szCs w:val="21"/>
              </w:rPr>
              <w:t xml:space="preserve">•  REQUIRED FIX: Full language surgery (see Part 5 of this document). Systematic replacement of causal language throughout.</w:t>
            </w:r>
          </w:p>
        </w:tc>
      </w:tr>
    </w:tbl>
    <w:p>
      <w:pPr>
        <w:spacing w:before="0" w:after="80"/>
      </w:pPr>
      <w:r>
        <w:rPr>
          <w:rFonts w:ascii="Arial" w:cs="Arial" w:eastAsia="Arial" w:hAnsi="Arial"/>
          <w:b w:val="false"/>
          <w:bCs w:val="false"/>
          <w:i w:val="false"/>
          <w:iCs w:val="false"/>
          <w:color w:val="1A1A2E"/>
          <w:sz w:val="22"/>
          <w:szCs w:val="22"/>
        </w:rPr>
        <w:t xml:space="preserve"/>
      </w:r>
    </w:p>
    <w:p>
      <w:pPr>
        <w:spacing w:before="320" w:after="100"/>
      </w:pPr>
      <w:r>
        <w:rPr>
          <w:rFonts w:ascii="Arial" w:cs="Arial" w:eastAsia="Arial" w:hAnsi="Arial"/>
          <w:b/>
          <w:bCs/>
          <w:color w:val="F5A623"/>
          <w:sz w:val="26"/>
          <w:szCs w:val="26"/>
        </w:rPr>
        <w:t xml:space="preserve">C-6  </w:t>
      </w:r>
      <w:r>
        <w:rPr>
          <w:rFonts w:ascii="Arial" w:cs="Arial" w:eastAsia="Arial" w:hAnsi="Arial"/>
          <w:b/>
          <w:bCs/>
          <w:color w:val="1B3A6B"/>
          <w:sz w:val="26"/>
          <w:szCs w:val="26"/>
        </w:rPr>
        <w:t xml:space="preserve">No FinTech / Algorithmic vs. Traditional Lender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A623" w:sz="1"/>
              <w:left w:val="single" w:color="F5A623" w:sz="1"/>
              <w:bottom w:val="single" w:color="F5A623" w:sz="1"/>
              <w:right w:val="single" w:color="F5A623" w:sz="1"/>
            </w:tcBorders>
            <w:shd w:fill="FFF3CD" w:val="clear"/>
            <w:tcMar>
              <w:top w:type="dxa" w:w="60"/>
              <w:left w:type="dxa" w:w="200"/>
              <w:bottom w:type="dxa" w:w="60"/>
              <w:right w:type="dxa" w:w="140"/>
            </w:tcMar>
          </w:tcPr>
          <w:p>
            <w:pPr>
              <w:spacing w:before="40" w:after="40"/>
            </w:pPr>
            <w:r>
              <w:rPr>
                <w:rFonts w:ascii="Arial" w:cs="Arial" w:eastAsia="Arial" w:hAnsi="Arial"/>
                <w:b/>
                <w:bCs/>
                <w:color w:val="F5A623"/>
                <w:sz w:val="20"/>
                <w:szCs w:val="20"/>
              </w:rPr>
              <w:t xml:space="preserve">Raised by: </w:t>
            </w:r>
            <w:r>
              <w:rPr>
                <w:rFonts w:ascii="Arial" w:cs="Arial" w:eastAsia="Arial" w:hAnsi="Arial"/>
                <w:color w:val="1A1A2E"/>
                <w:sz w:val="20"/>
                <w:szCs w:val="20"/>
              </w:rPr>
              <w:t xml:space="preserve">6 of 8 sources</w:t>
            </w:r>
            <w:r>
              <w:rPr>
                <w:rFonts w:ascii="Arial" w:cs="Arial" w:eastAsia="Arial" w:hAnsi="Arial"/>
                <w:b/>
                <w:bCs/>
                <w:color w:val="F5A623"/>
                <w:sz w:val="20"/>
                <w:szCs w:val="20"/>
              </w:rPr>
              <w:t xml:space="preserve">     Severity: </w:t>
            </w:r>
            <w:r>
              <w:rPr>
                <w:rFonts w:ascii="Arial" w:cs="Arial" w:eastAsia="Arial" w:hAnsi="Arial"/>
                <w:b/>
                <w:bCs/>
                <w:color w:val="F5A623"/>
                <w:sz w:val="20"/>
                <w:szCs w:val="20"/>
              </w:rPr>
              <w:t xml:space="preserve">MEDIUM</w:t>
            </w:r>
          </w:p>
          <w:p>
            <w:pPr>
              <w:spacing w:before="60" w:after="60" w:line="280"/>
              <w:ind w:left="200"/>
            </w:pPr>
            <w:r>
              <w:rPr>
                <w:rFonts w:ascii="Arial" w:cs="Arial" w:eastAsia="Arial" w:hAnsi="Arial"/>
                <w:color w:val="1A1A2E"/>
                <w:sz w:val="21"/>
                <w:szCs w:val="21"/>
              </w:rPr>
              <w:t xml:space="preserve">•  Bartlett et al. (2022, JFE) showed algorithmic lenders have near-zero racial approval gaps. Your paper cites this but never tests it.</w:t>
            </w:r>
          </w:p>
          <w:p>
            <w:pPr>
              <w:spacing w:before="60" w:after="60" w:line="280"/>
              <w:ind w:left="200"/>
            </w:pPr>
            <w:r>
              <w:rPr>
                <w:rFonts w:ascii="Arial" w:cs="Arial" w:eastAsia="Arial" w:hAnsi="Arial"/>
                <w:color w:val="1A1A2E"/>
                <w:sz w:val="21"/>
                <w:szCs w:val="21"/>
              </w:rPr>
              <w:t xml:space="preserve">•  AI-3: 'If the gap is smaller at FinTech lenders, that is strong evidence for the discretion channel. This is exactly the kind of test a top journal expects.'</w:t>
            </w:r>
          </w:p>
          <w:p>
            <w:pPr>
              <w:spacing w:before="60" w:after="60" w:line="280"/>
              <w:ind w:left="200"/>
            </w:pPr>
            <w:r>
              <w:rPr>
                <w:rFonts w:ascii="Arial" w:cs="Arial" w:eastAsia="Arial" w:hAnsi="Arial"/>
                <w:color w:val="1A1A2E"/>
                <w:sz w:val="21"/>
                <w:szCs w:val="21"/>
              </w:rPr>
              <w:t xml:space="preserve">•  The data to do this split IS in your HMDA institutional file right now. Institution type (depository, non-depository, credit union) is reported in the HMDA Transmittal Sheet.</w:t>
            </w:r>
          </w:p>
          <w:p>
            <w:pPr>
              <w:spacing w:before="60" w:after="60" w:line="280"/>
              <w:ind w:left="200"/>
            </w:pPr>
            <w:r>
              <w:rPr>
                <w:rFonts w:ascii="Arial" w:cs="Arial" w:eastAsia="Arial" w:hAnsi="Arial"/>
                <w:color w:val="1A1A2E"/>
                <w:sz w:val="21"/>
                <w:szCs w:val="21"/>
              </w:rPr>
              <w:t xml:space="preserve">•  REQUIRED: Triple interaction Black x FinTech x Post2022 to test whether tightening amplification is smaller at algorithmic lenders.</w:t>
            </w:r>
          </w:p>
        </w:tc>
      </w:tr>
    </w:tbl>
    <w:p>
      <w:pPr>
        <w:spacing w:before="0" w:after="80"/>
      </w:pPr>
      <w:r>
        <w:rPr>
          <w:rFonts w:ascii="Arial" w:cs="Arial" w:eastAsia="Arial" w:hAnsi="Arial"/>
          <w:b w:val="false"/>
          <w:bCs w:val="false"/>
          <w:i w:val="false"/>
          <w:iCs w:val="false"/>
          <w:color w:val="1A1A2E"/>
          <w:sz w:val="22"/>
          <w:szCs w:val="22"/>
        </w:rPr>
        <w:t xml:space="preserve"/>
      </w:r>
    </w:p>
    <w:p>
      <w:pPr>
        <w:spacing w:before="320" w:after="100"/>
      </w:pPr>
      <w:r>
        <w:rPr>
          <w:rFonts w:ascii="Arial" w:cs="Arial" w:eastAsia="Arial" w:hAnsi="Arial"/>
          <w:b/>
          <w:bCs/>
          <w:color w:val="C0392B"/>
          <w:sz w:val="26"/>
          <w:szCs w:val="26"/>
        </w:rPr>
        <w:t xml:space="preserve">C-7  </w:t>
      </w:r>
      <w:r>
        <w:rPr>
          <w:rFonts w:ascii="Arial" w:cs="Arial" w:eastAsia="Arial" w:hAnsi="Arial"/>
          <w:b/>
          <w:bCs/>
          <w:color w:val="1B3A6B"/>
          <w:sz w:val="26"/>
          <w:szCs w:val="26"/>
        </w:rPr>
        <w:t xml:space="preserve">Bhutta et al. (2025) Reconciliation Is Positioned Wrong and Insufficient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CEA" w:val="clear"/>
            <w:tcMar>
              <w:top w:type="dxa" w:w="60"/>
              <w:left w:type="dxa" w:w="200"/>
              <w:bottom w:type="dxa" w:w="60"/>
              <w:right w:type="dxa" w:w="140"/>
            </w:tcMar>
          </w:tcPr>
          <w:p>
            <w:pPr>
              <w:spacing w:before="40" w:after="40"/>
            </w:pPr>
            <w:r>
              <w:rPr>
                <w:rFonts w:ascii="Arial" w:cs="Arial" w:eastAsia="Arial" w:hAnsi="Arial"/>
                <w:b/>
                <w:bCs/>
                <w:color w:val="C0392B"/>
                <w:sz w:val="20"/>
                <w:szCs w:val="20"/>
              </w:rPr>
              <w:t xml:space="preserve">Raised by: </w:t>
            </w:r>
            <w:r>
              <w:rPr>
                <w:rFonts w:ascii="Arial" w:cs="Arial" w:eastAsia="Arial" w:hAnsi="Arial"/>
                <w:color w:val="1A1A2E"/>
                <w:sz w:val="20"/>
                <w:szCs w:val="20"/>
              </w:rPr>
              <w:t xml:space="preserve">6 of 8 sources</w:t>
            </w:r>
            <w:r>
              <w:rPr>
                <w:rFonts w:ascii="Arial" w:cs="Arial" w:eastAsia="Arial" w:hAnsi="Arial"/>
                <w:b/>
                <w:bCs/>
                <w:color w:val="C0392B"/>
                <w:sz w:val="20"/>
                <w:szCs w:val="20"/>
              </w:rPr>
              <w:t xml:space="preserve">     Severity: </w:t>
            </w:r>
            <w:r>
              <w:rPr>
                <w:rFonts w:ascii="Arial" w:cs="Arial" w:eastAsia="Arial" w:hAnsi="Arial"/>
                <w:b/>
                <w:bCs/>
                <w:color w:val="C0392B"/>
                <w:sz w:val="20"/>
                <w:szCs w:val="20"/>
              </w:rPr>
              <w:t xml:space="preserve">HIGH</w:t>
            </w:r>
          </w:p>
          <w:p>
            <w:pPr>
              <w:spacing w:before="60" w:after="60" w:line="280"/>
              <w:ind w:left="200"/>
            </w:pPr>
            <w:r>
              <w:rPr>
                <w:rFonts w:ascii="Arial" w:cs="Arial" w:eastAsia="Arial" w:hAnsi="Arial"/>
                <w:color w:val="1A1A2E"/>
                <w:sz w:val="21"/>
                <w:szCs w:val="21"/>
              </w:rPr>
              <w:t xml:space="preserve">•  Section 6.4a's 'we answer a different question' argument is rejected by most reviewers as insufficient.</w:t>
            </w:r>
          </w:p>
          <w:p>
            <w:pPr>
              <w:spacing w:before="60" w:after="60" w:line="280"/>
              <w:ind w:left="200"/>
            </w:pPr>
            <w:r>
              <w:rPr>
                <w:rFonts w:ascii="Arial" w:cs="Arial" w:eastAsia="Arial" w:hAnsi="Arial"/>
                <w:color w:val="1A1A2E"/>
                <w:sz w:val="21"/>
                <w:szCs w:val="21"/>
              </w:rPr>
              <w:t xml:space="preserve">•  AI-5: 'It will not fly.' GPT-4o: 'The biggest shortfall.' Claude: 'The wrecking ball.'</w:t>
            </w:r>
          </w:p>
          <w:p>
            <w:pPr>
              <w:spacing w:before="60" w:after="60" w:line="280"/>
              <w:ind w:left="200"/>
            </w:pPr>
            <w:r>
              <w:rPr>
                <w:rFonts w:ascii="Arial" w:cs="Arial" w:eastAsia="Arial" w:hAnsi="Arial"/>
                <w:color w:val="1A1A2E"/>
                <w:sz w:val="21"/>
                <w:szCs w:val="21"/>
              </w:rPr>
              <w:t xml:space="preserve">•  The reconciliation must be in the INTRODUCTION (paragraph 2), not buried in the Discussion.</w:t>
            </w:r>
          </w:p>
          <w:p>
            <w:pPr>
              <w:spacing w:before="60" w:after="60" w:line="280"/>
              <w:ind w:left="200"/>
            </w:pPr>
            <w:r>
              <w:rPr>
                <w:rFonts w:ascii="Arial" w:cs="Arial" w:eastAsia="Arial" w:hAnsi="Arial"/>
                <w:color w:val="1A1A2E"/>
                <w:sz w:val="21"/>
                <w:szCs w:val="21"/>
              </w:rPr>
              <w:t xml:space="preserve">•  REQUIRED REFRAMING: Lead with Bhutta et al. as context, then position your paper's contributions as orthogonal — temporal dynamics, institutional mechanisms, geographic structure — not competing estimates of the same quantity.</w:t>
            </w:r>
          </w:p>
        </w:tc>
      </w:tr>
    </w:tbl>
    <w:p>
      <w:pPr>
        <w:spacing w:before="0" w:after="80"/>
      </w:pPr>
      <w:r>
        <w:rPr>
          <w:rFonts w:ascii="Arial" w:cs="Arial" w:eastAsia="Arial" w:hAnsi="Arial"/>
          <w:b w:val="false"/>
          <w:bCs w:val="false"/>
          <w:i w:val="false"/>
          <w:iCs w:val="false"/>
          <w:color w:val="1A1A2E"/>
          <w:sz w:val="22"/>
          <w:szCs w:val="22"/>
        </w:rPr>
        <w:t xml:space="preserve"/>
      </w:r>
    </w:p>
    <w:p>
      <w:pPr>
        <w:spacing w:before="0" w:after="0"/>
      </w:pPr>
      <w:r>
        <w:br w:type="page"/>
      </w:r>
    </w:p>
    <w:p>
      <w:pPr>
        <w:pStyle w:val="Heading1"/>
        <w:pBdr>
          <w:bottom w:val="single" w:color="1A6B5A" w:sz="8" w:space="4"/>
        </w:pBdr>
        <w:spacing w:before="480" w:after="200"/>
        <w:outlineLvl w:val="0"/>
      </w:pPr>
      <w:r>
        <w:rPr>
          <w:rFonts w:ascii="Arial" w:cs="Arial" w:eastAsia="Arial" w:hAnsi="Arial"/>
          <w:b/>
          <w:bCs/>
          <w:color w:val="1A6B5A"/>
          <w:sz w:val="36"/>
          <w:szCs w:val="36"/>
        </w:rPr>
        <w:t xml:space="preserve">PART 2 — UNIQUE HIGH-VALUE INSIGHTS</w:t>
      </w:r>
    </w:p>
    <w:p>
      <w:pPr>
        <w:spacing w:before="0" w:after="100" w:line="276"/>
        <w:jc w:val="left"/>
      </w:pPr>
      <w:r>
        <w:rPr>
          <w:rFonts w:ascii="Arial" w:cs="Arial" w:eastAsia="Arial" w:hAnsi="Arial"/>
          <w:b w:val="false"/>
          <w:bCs w:val="false"/>
          <w:i w:val="false"/>
          <w:iCs w:val="false"/>
          <w:color w:val="4A5568"/>
          <w:sz w:val="22"/>
          <w:szCs w:val="22"/>
        </w:rPr>
        <w:t xml:space="preserve">These insights were caught by only 1–2 sources but are critically important. Do NOT overlook them — some are more valuable than the consensus criticisms.</w:t>
      </w:r>
    </w:p>
    <w:p>
      <w:pPr>
        <w:spacing w:before="0" w:after="120"/>
      </w:pPr>
      <w:r>
        <w:rPr>
          <w:rFonts w:ascii="Arial" w:cs="Arial" w:eastAsia="Arial" w:hAnsi="Arial"/>
          <w:b w:val="false"/>
          <w:bCs w:val="false"/>
          <w:i w:val="false"/>
          <w:iCs w:val="false"/>
          <w:color w:val="1A1A2E"/>
          <w:sz w:val="22"/>
          <w:szCs w:val="22"/>
        </w:rPr>
        <w:t xml:space="preserve"/>
      </w:r>
    </w:p>
    <w:p>
      <w:pPr>
        <w:spacing w:before="320" w:after="100"/>
      </w:pPr>
      <w:r>
        <w:rPr>
          <w:rFonts w:ascii="Arial" w:cs="Arial" w:eastAsia="Arial" w:hAnsi="Arial"/>
          <w:b/>
          <w:bCs/>
          <w:color w:val="1A6B5A"/>
          <w:sz w:val="26"/>
          <w:szCs w:val="26"/>
        </w:rPr>
        <w:t xml:space="preserve">U-1  </w:t>
      </w:r>
      <w:r>
        <w:rPr>
          <w:rFonts w:ascii="Arial" w:cs="Arial" w:eastAsia="Arial" w:hAnsi="Arial"/>
          <w:b/>
          <w:bCs/>
          <w:color w:val="1B3A6B"/>
          <w:sz w:val="26"/>
          <w:szCs w:val="26"/>
        </w:rPr>
        <w:t xml:space="preserve">DTI Data May ALREADY Exist in Your HMDA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5A" w:sz="1"/>
              <w:left w:val="single" w:color="1A6B5A" w:sz="1"/>
              <w:bottom w:val="single" w:color="1A6B5A" w:sz="1"/>
              <w:right w:val="single" w:color="1A6B5A" w:sz="1"/>
            </w:tcBorders>
            <w:shd w:fill="F0FAF7" w:val="clear"/>
            <w:tcMar>
              <w:top w:type="dxa" w:w="60"/>
              <w:left w:type="dxa" w:w="200"/>
              <w:bottom w:type="dxa" w:w="60"/>
              <w:right w:type="dxa" w:w="140"/>
            </w:tcMar>
          </w:tcPr>
          <w:p>
            <w:pPr>
              <w:spacing w:before="40" w:after="60"/>
            </w:pPr>
            <w:r>
              <w:rPr>
                <w:rFonts w:ascii="Arial" w:cs="Arial" w:eastAsia="Arial" w:hAnsi="Arial"/>
                <w:b/>
                <w:bCs/>
                <w:color w:val="4A5568"/>
                <w:sz w:val="20"/>
                <w:szCs w:val="20"/>
              </w:rPr>
              <w:t xml:space="preserve">Source: </w:t>
            </w:r>
            <w:r>
              <w:rPr>
                <w:rFonts w:ascii="Arial" w:cs="Arial" w:eastAsia="Arial" w:hAnsi="Arial"/>
                <w:color w:val="1A1A2E"/>
                <w:sz w:val="20"/>
                <w:szCs w:val="20"/>
              </w:rPr>
              <w:t xml:space="preserve">Gemini only</w:t>
            </w:r>
            <w:r>
              <w:rPr>
                <w:rFonts w:ascii="Arial" w:cs="Arial" w:eastAsia="Arial" w:hAnsi="Arial"/>
                <w:sz w:val="20"/>
                <w:szCs w:val="20"/>
              </w:rPr>
              <w:t xml:space="preserve">     </w:t>
            </w:r>
            <w:r>
              <w:rPr>
                <w:rFonts w:ascii="Arial" w:cs="Arial" w:eastAsia="Arial" w:hAnsi="Arial"/>
                <w:b/>
                <w:bCs/>
                <w:color w:val="C0392B"/>
                <w:sz w:val="20"/>
                <w:szCs w:val="20"/>
              </w:rPr>
              <w:t xml:space="preserve">POTENTIALLY THE MOST IMPORTANT UNIQUE INSIGHT</w:t>
            </w:r>
          </w:p>
          <w:p>
            <w:pPr>
              <w:spacing w:before="60" w:after="60" w:line="280"/>
              <w:ind w:left="200"/>
            </w:pPr>
            <w:r>
              <w:rPr>
                <w:rFonts w:ascii="Arial" w:cs="Arial" w:eastAsia="Arial" w:hAnsi="Arial"/>
                <w:color w:val="1A1A2E"/>
                <w:sz w:val="21"/>
                <w:szCs w:val="21"/>
              </w:rPr>
              <w:t xml:space="preserve">•  Gemini wrote: 'Public HMDA now includes DTI (often in ranges). The paper mentions it is missing but it is actually available in the 2018+ expanded data. Not using it is a major oversight.'</w:t>
            </w:r>
          </w:p>
          <w:p>
            <w:pPr>
              <w:spacing w:before="60" w:after="60" w:line="280"/>
              <w:ind w:left="200"/>
            </w:pPr>
            <w:r>
              <w:rPr>
                <w:rFonts w:ascii="Arial" w:cs="Arial" w:eastAsia="Arial" w:hAnsi="Arial"/>
                <w:color w:val="1A1A2E"/>
                <w:sz w:val="21"/>
                <w:szCs w:val="21"/>
              </w:rPr>
              <w:t xml:space="preserve">•  The 2018 HMDA rule expansion DID add debt_to_income_ratio as a reported field.</w:t>
            </w:r>
          </w:p>
          <w:p>
            <w:pPr>
              <w:spacing w:before="60" w:after="60" w:line="280"/>
              <w:ind w:left="200"/>
            </w:pPr>
            <w:r>
              <w:rPr>
                <w:rFonts w:ascii="Arial" w:cs="Arial" w:eastAsia="Arial" w:hAnsi="Arial"/>
                <w:color w:val="1A1A2E"/>
                <w:sz w:val="21"/>
                <w:szCs w:val="21"/>
              </w:rPr>
              <w:t xml:space="preserve">•  If this field is in your dataset and you are NOT using it, a referee from any mortgage journal will flag this as a fatal oversight.</w:t>
            </w:r>
          </w:p>
          <w:p>
            <w:pPr>
              <w:spacing w:before="60" w:after="60" w:line="280"/>
              <w:ind w:left="200"/>
            </w:pPr>
            <w:r>
              <w:rPr>
                <w:rFonts w:ascii="Arial" w:cs="Arial" w:eastAsia="Arial" w:hAnsi="Arial"/>
                <w:color w:val="1A1A2E"/>
                <w:sz w:val="21"/>
                <w:szCs w:val="21"/>
              </w:rPr>
              <w:t xml:space="preserve">•  ACTION REQUIRED IMMEDIATELY: Open your raw HMDA files and search for the field 'debt_to_income_ratio'. If present, add it to all your DFL and fixed-effects specifications before any resubmission.</w:t>
            </w:r>
          </w:p>
          <w:p>
            <w:pPr>
              <w:spacing w:before="60" w:after="60" w:line="280"/>
              <w:ind w:left="200"/>
            </w:pPr>
            <w:r>
              <w:rPr>
                <w:rFonts w:ascii="Arial" w:cs="Arial" w:eastAsia="Arial" w:hAnsi="Arial"/>
                <w:color w:val="1A1A2E"/>
                <w:sz w:val="21"/>
                <w:szCs w:val="21"/>
              </w:rPr>
              <w:t xml:space="preserve">•  Expected result: unexplained fraction may fall by 3-8 pp. Report whatever you find honestly.</w:t>
            </w:r>
          </w:p>
        </w:tc>
      </w:tr>
    </w:tbl>
    <w:p>
      <w:pPr>
        <w:spacing w:before="0" w:after="80"/>
      </w:pPr>
      <w:r>
        <w:rPr>
          <w:rFonts w:ascii="Arial" w:cs="Arial" w:eastAsia="Arial" w:hAnsi="Arial"/>
          <w:b w:val="false"/>
          <w:bCs w:val="false"/>
          <w:i w:val="false"/>
          <w:iCs w:val="false"/>
          <w:color w:val="1A1A2E"/>
          <w:sz w:val="22"/>
          <w:szCs w:val="22"/>
        </w:rPr>
        <w:t xml:space="preserve"/>
      </w:r>
    </w:p>
    <w:p>
      <w:pPr>
        <w:spacing w:before="320" w:after="100"/>
      </w:pPr>
      <w:r>
        <w:rPr>
          <w:rFonts w:ascii="Arial" w:cs="Arial" w:eastAsia="Arial" w:hAnsi="Arial"/>
          <w:b/>
          <w:bCs/>
          <w:color w:val="1A6B5A"/>
          <w:sz w:val="26"/>
          <w:szCs w:val="26"/>
        </w:rPr>
        <w:t xml:space="preserve">U-2  </w:t>
      </w:r>
      <w:r>
        <w:rPr>
          <w:rFonts w:ascii="Arial" w:cs="Arial" w:eastAsia="Arial" w:hAnsi="Arial"/>
          <w:b/>
          <w:bCs/>
          <w:color w:val="1B3A6B"/>
          <w:sz w:val="26"/>
          <w:szCs w:val="26"/>
        </w:rPr>
        <w:t xml:space="preserve">The 'Kitchen Sink' Design Structure Is Itself a Rejection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5A" w:sz="1"/>
              <w:left w:val="single" w:color="1A6B5A" w:sz="1"/>
              <w:bottom w:val="single" w:color="1A6B5A" w:sz="1"/>
              <w:right w:val="single" w:color="1A6B5A" w:sz="1"/>
            </w:tcBorders>
            <w:shd w:fill="F0FAF7" w:val="clear"/>
            <w:tcMar>
              <w:top w:type="dxa" w:w="60"/>
              <w:left w:type="dxa" w:w="200"/>
              <w:bottom w:type="dxa" w:w="60"/>
              <w:right w:type="dxa" w:w="140"/>
            </w:tcMar>
          </w:tcPr>
          <w:p>
            <w:pPr>
              <w:spacing w:before="40" w:after="60"/>
            </w:pPr>
            <w:r>
              <w:rPr>
                <w:rFonts w:ascii="Arial" w:cs="Arial" w:eastAsia="Arial" w:hAnsi="Arial"/>
                <w:b/>
                <w:bCs/>
                <w:color w:val="4A5568"/>
                <w:sz w:val="20"/>
                <w:szCs w:val="20"/>
              </w:rPr>
              <w:t xml:space="preserve">Source: </w:t>
            </w:r>
            <w:r>
              <w:rPr>
                <w:rFonts w:ascii="Arial" w:cs="Arial" w:eastAsia="Arial" w:hAnsi="Arial"/>
                <w:color w:val="1A1A2E"/>
                <w:sz w:val="20"/>
                <w:szCs w:val="20"/>
              </w:rPr>
              <w:t xml:space="preserve">AI-5 only</w:t>
            </w:r>
            <w:r>
              <w:rPr>
                <w:rFonts w:ascii="Arial" w:cs="Arial" w:eastAsia="Arial" w:hAnsi="Arial"/>
                <w:sz w:val="20"/>
                <w:szCs w:val="20"/>
              </w:rPr>
              <w:t xml:space="preserve">     </w:t>
            </w:r>
            <w:r>
              <w:rPr>
                <w:rFonts w:ascii="Arial" w:cs="Arial" w:eastAsia="Arial" w:hAnsi="Arial"/>
                <w:b/>
                <w:bCs/>
                <w:color w:val="D4880A"/>
                <w:sz w:val="20"/>
                <w:szCs w:val="20"/>
              </w:rPr>
              <w:t xml:space="preserve">IMPORTANT STRUCTURAL INSIGHT</w:t>
            </w:r>
          </w:p>
          <w:p>
            <w:pPr>
              <w:spacing w:before="60" w:after="60" w:line="280"/>
              <w:ind w:left="200"/>
            </w:pPr>
            <w:r>
              <w:rPr>
                <w:rFonts w:ascii="Arial" w:cs="Arial" w:eastAsia="Arial" w:hAnsi="Arial"/>
                <w:color w:val="1A1A2E"/>
                <w:sz w:val="21"/>
                <w:szCs w:val="21"/>
              </w:rPr>
              <w:t xml:space="preserve">•  AI-5: 'If the RDD or DiD were truly dispositive, the paper would be built around one of them. By presenting five, the author signals that no single design is convincing on its own.'</w:t>
            </w:r>
          </w:p>
          <w:p>
            <w:pPr>
              <w:spacing w:before="60" w:after="60" w:line="280"/>
              <w:ind w:left="200"/>
            </w:pPr>
            <w:r>
              <w:rPr>
                <w:rFonts w:ascii="Arial" w:cs="Arial" w:eastAsia="Arial" w:hAnsi="Arial"/>
                <w:color w:val="1A1A2E"/>
                <w:sz w:val="21"/>
                <w:szCs w:val="21"/>
              </w:rPr>
              <w:t xml:space="preserve">•  Top journals publish papers with ONE excellent design, not five adequate ones.</w:t>
            </w:r>
          </w:p>
          <w:p>
            <w:pPr>
              <w:spacing w:before="60" w:after="60" w:line="280"/>
              <w:ind w:left="200"/>
            </w:pPr>
            <w:r>
              <w:rPr>
                <w:rFonts w:ascii="Arial" w:cs="Arial" w:eastAsia="Arial" w:hAnsi="Arial"/>
                <w:color w:val="1A1A2E"/>
                <w:sz w:val="21"/>
                <w:szCs w:val="21"/>
              </w:rPr>
              <w:t xml:space="preserve">•  The Triple-DDD (Black x Above80 x Post2022) is the strongest candidate for the single centerpiece because a confounder must simultaneously be race-correlated, LTV-threshold-specific, AND time-varying with the 2022 monetary regime.</w:t>
            </w:r>
          </w:p>
          <w:p>
            <w:pPr>
              <w:spacing w:before="60" w:after="60" w:line="280"/>
              <w:ind w:left="200"/>
            </w:pPr>
            <w:r>
              <w:rPr>
                <w:rFonts w:ascii="Arial" w:cs="Arial" w:eastAsia="Arial" w:hAnsi="Arial"/>
                <w:color w:val="1A1A2E"/>
                <w:sz w:val="21"/>
                <w:szCs w:val="21"/>
              </w:rPr>
              <w:t xml:space="preserve">•  That is an almost impossibly demanding requirement for any single unobservable.</w:t>
            </w:r>
          </w:p>
          <w:p>
            <w:pPr>
              <w:spacing w:before="60" w:after="60" w:line="280"/>
              <w:ind w:left="200"/>
            </w:pPr>
            <w:r>
              <w:rPr>
                <w:rFonts w:ascii="Arial" w:cs="Arial" w:eastAsia="Arial" w:hAnsi="Arial"/>
                <w:color w:val="1A1A2E"/>
                <w:sz w:val="21"/>
                <w:szCs w:val="21"/>
              </w:rPr>
              <w:t xml:space="preserve">•  RECOMMENDATION: Restructure the paper with Triple-DDD as the centerpiece. Demote all other designs to supporting evidence.</w:t>
            </w:r>
          </w:p>
        </w:tc>
      </w:tr>
    </w:tbl>
    <w:p>
      <w:pPr>
        <w:spacing w:before="0" w:after="80"/>
      </w:pPr>
      <w:r>
        <w:rPr>
          <w:rFonts w:ascii="Arial" w:cs="Arial" w:eastAsia="Arial" w:hAnsi="Arial"/>
          <w:b w:val="false"/>
          <w:bCs w:val="false"/>
          <w:i w:val="false"/>
          <w:iCs w:val="false"/>
          <w:color w:val="1A1A2E"/>
          <w:sz w:val="22"/>
          <w:szCs w:val="22"/>
        </w:rPr>
        <w:t xml:space="preserve"/>
      </w:r>
    </w:p>
    <w:p>
      <w:pPr>
        <w:spacing w:before="320" w:after="100"/>
      </w:pPr>
      <w:r>
        <w:rPr>
          <w:rFonts w:ascii="Arial" w:cs="Arial" w:eastAsia="Arial" w:hAnsi="Arial"/>
          <w:b/>
          <w:bCs/>
          <w:color w:val="1A6B5A"/>
          <w:sz w:val="26"/>
          <w:szCs w:val="26"/>
        </w:rPr>
        <w:t xml:space="preserve">U-3  </w:t>
      </w:r>
      <w:r>
        <w:rPr>
          <w:rFonts w:ascii="Arial" w:cs="Arial" w:eastAsia="Arial" w:hAnsi="Arial"/>
          <w:b/>
          <w:bCs/>
          <w:color w:val="1B3A6B"/>
          <w:sz w:val="26"/>
          <w:szCs w:val="26"/>
        </w:rPr>
        <w:t xml:space="preserve">AUS Simulation Using Public GSE Eligibility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5A" w:sz="1"/>
              <w:left w:val="single" w:color="1A6B5A" w:sz="1"/>
              <w:bottom w:val="single" w:color="1A6B5A" w:sz="1"/>
              <w:right w:val="single" w:color="1A6B5A" w:sz="1"/>
            </w:tcBorders>
            <w:shd w:fill="F0FAF7" w:val="clear"/>
            <w:tcMar>
              <w:top w:type="dxa" w:w="60"/>
              <w:left w:type="dxa" w:w="200"/>
              <w:bottom w:type="dxa" w:w="60"/>
              <w:right w:type="dxa" w:w="140"/>
            </w:tcMar>
          </w:tcPr>
          <w:p>
            <w:pPr>
              <w:spacing w:before="40" w:after="60"/>
            </w:pPr>
            <w:r>
              <w:rPr>
                <w:rFonts w:ascii="Arial" w:cs="Arial" w:eastAsia="Arial" w:hAnsi="Arial"/>
                <w:b/>
                <w:bCs/>
                <w:color w:val="4A5568"/>
                <w:sz w:val="20"/>
                <w:szCs w:val="20"/>
              </w:rPr>
              <w:t xml:space="preserve">Source: </w:t>
            </w:r>
            <w:r>
              <w:rPr>
                <w:rFonts w:ascii="Arial" w:cs="Arial" w:eastAsia="Arial" w:hAnsi="Arial"/>
                <w:color w:val="1A1A2E"/>
                <w:sz w:val="20"/>
                <w:szCs w:val="20"/>
              </w:rPr>
              <w:t xml:space="preserve">AI-6 only</w:t>
            </w:r>
            <w:r>
              <w:rPr>
                <w:rFonts w:ascii="Arial" w:cs="Arial" w:eastAsia="Arial" w:hAnsi="Arial"/>
                <w:sz w:val="20"/>
                <w:szCs w:val="20"/>
              </w:rPr>
              <w:t xml:space="preserve">     </w:t>
            </w:r>
            <w:r>
              <w:rPr>
                <w:rFonts w:ascii="Arial" w:cs="Arial" w:eastAsia="Arial" w:hAnsi="Arial"/>
                <w:b/>
                <w:bCs/>
                <w:color w:val="1A6B5A"/>
                <w:sz w:val="20"/>
                <w:szCs w:val="20"/>
              </w:rPr>
              <w:t xml:space="preserve">IMPLEMENTABLE IN ~1 WEEK</w:t>
            </w:r>
          </w:p>
          <w:p>
            <w:pPr>
              <w:spacing w:before="60" w:after="60" w:line="280"/>
              <w:ind w:left="200"/>
            </w:pPr>
            <w:r>
              <w:rPr>
                <w:rFonts w:ascii="Arial" w:cs="Arial" w:eastAsia="Arial" w:hAnsi="Arial"/>
                <w:color w:val="1A1A2E"/>
                <w:sz w:val="21"/>
                <w:szCs w:val="21"/>
              </w:rPr>
              <w:t xml:space="preserve">•  Using publicly available Fannie Mae and Freddie Mac automated underwriting eligibility tables, construct a synthetic AUS-approve indicator based on income, LTV, and loan amount.</w:t>
            </w:r>
          </w:p>
          <w:p>
            <w:pPr>
              <w:spacing w:before="60" w:after="60" w:line="280"/>
              <w:ind w:left="200"/>
            </w:pPr>
            <w:r>
              <w:rPr>
                <w:rFonts w:ascii="Arial" w:cs="Arial" w:eastAsia="Arial" w:hAnsi="Arial"/>
                <w:color w:val="1A1A2E"/>
                <w:sz w:val="21"/>
                <w:szCs w:val="21"/>
              </w:rPr>
              <w:t xml:space="preserve">•  Add this as a control in your DFL and fixed-effects regressions.</w:t>
            </w:r>
          </w:p>
          <w:p>
            <w:pPr>
              <w:spacing w:before="60" w:after="60" w:line="280"/>
              <w:ind w:left="200"/>
            </w:pPr>
            <w:r>
              <w:rPr>
                <w:rFonts w:ascii="Arial" w:cs="Arial" w:eastAsia="Arial" w:hAnsi="Arial"/>
                <w:color w:val="1A1A2E"/>
                <w:sz w:val="21"/>
                <w:szCs w:val="21"/>
              </w:rPr>
              <w:t xml:space="preserve">•  Expected result: gap drops by 2-4 pp with this control. Report honestly.</w:t>
            </w:r>
          </w:p>
          <w:p>
            <w:pPr>
              <w:spacing w:before="60" w:after="60" w:line="280"/>
              <w:ind w:left="200"/>
            </w:pPr>
            <w:r>
              <w:rPr>
                <w:rFonts w:ascii="Arial" w:cs="Arial" w:eastAsia="Arial" w:hAnsi="Arial"/>
                <w:color w:val="1A1A2E"/>
                <w:sz w:val="21"/>
                <w:szCs w:val="21"/>
              </w:rPr>
              <w:t xml:space="preserve">•  If the gap remains large even after synthetic AUS controls, that directly addresses the 'you lack underwriting variables' critique.</w:t>
            </w:r>
          </w:p>
          <w:p>
            <w:pPr>
              <w:spacing w:before="60" w:after="60" w:line="280"/>
              <w:ind w:left="200"/>
            </w:pPr>
            <w:r>
              <w:rPr>
                <w:rFonts w:ascii="Arial" w:cs="Arial" w:eastAsia="Arial" w:hAnsi="Arial"/>
                <w:color w:val="1A1A2E"/>
                <w:sz w:val="21"/>
                <w:szCs w:val="21"/>
              </w:rPr>
              <w:t xml:space="preserve">•  Implementation: approximately 20 lines of Python using public GSE eligibility tables.</w:t>
            </w:r>
          </w:p>
        </w:tc>
      </w:tr>
    </w:tbl>
    <w:p>
      <w:pPr>
        <w:spacing w:before="0" w:after="80"/>
      </w:pPr>
      <w:r>
        <w:rPr>
          <w:rFonts w:ascii="Arial" w:cs="Arial" w:eastAsia="Arial" w:hAnsi="Arial"/>
          <w:b w:val="false"/>
          <w:bCs w:val="false"/>
          <w:i w:val="false"/>
          <w:iCs w:val="false"/>
          <w:color w:val="1A1A2E"/>
          <w:sz w:val="22"/>
          <w:szCs w:val="22"/>
        </w:rPr>
        <w:t xml:space="preserve"/>
      </w:r>
    </w:p>
    <w:p>
      <w:pPr>
        <w:spacing w:before="320" w:after="100"/>
      </w:pPr>
      <w:r>
        <w:rPr>
          <w:rFonts w:ascii="Arial" w:cs="Arial" w:eastAsia="Arial" w:hAnsi="Arial"/>
          <w:b/>
          <w:bCs/>
          <w:color w:val="1A6B5A"/>
          <w:sz w:val="26"/>
          <w:szCs w:val="26"/>
        </w:rPr>
        <w:t xml:space="preserve">U-4  </w:t>
      </w:r>
      <w:r>
        <w:rPr>
          <w:rFonts w:ascii="Arial" w:cs="Arial" w:eastAsia="Arial" w:hAnsi="Arial"/>
          <w:b/>
          <w:bCs/>
          <w:color w:val="1B3A6B"/>
          <w:sz w:val="26"/>
          <w:szCs w:val="26"/>
        </w:rPr>
        <w:t xml:space="preserve">Default Prediction Falsification via Fannie/Freddie Loan Performance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5A" w:sz="1"/>
              <w:left w:val="single" w:color="1A6B5A" w:sz="1"/>
              <w:bottom w:val="single" w:color="1A6B5A" w:sz="1"/>
              <w:right w:val="single" w:color="1A6B5A" w:sz="1"/>
            </w:tcBorders>
            <w:shd w:fill="F0FAF7" w:val="clear"/>
            <w:tcMar>
              <w:top w:type="dxa" w:w="60"/>
              <w:left w:type="dxa" w:w="200"/>
              <w:bottom w:type="dxa" w:w="60"/>
              <w:right w:type="dxa" w:w="140"/>
            </w:tcMar>
          </w:tcPr>
          <w:p>
            <w:pPr>
              <w:spacing w:before="40" w:after="60"/>
            </w:pPr>
            <w:r>
              <w:rPr>
                <w:rFonts w:ascii="Arial" w:cs="Arial" w:eastAsia="Arial" w:hAnsi="Arial"/>
                <w:b/>
                <w:bCs/>
                <w:color w:val="4A5568"/>
                <w:sz w:val="20"/>
                <w:szCs w:val="20"/>
              </w:rPr>
              <w:t xml:space="preserve">Source: </w:t>
            </w:r>
            <w:r>
              <w:rPr>
                <w:rFonts w:ascii="Arial" w:cs="Arial" w:eastAsia="Arial" w:hAnsi="Arial"/>
                <w:color w:val="1A1A2E"/>
                <w:sz w:val="20"/>
                <w:szCs w:val="20"/>
              </w:rPr>
              <w:t xml:space="preserve">AI-6 only</w:t>
            </w:r>
            <w:r>
              <w:rPr>
                <w:rFonts w:ascii="Arial" w:cs="Arial" w:eastAsia="Arial" w:hAnsi="Arial"/>
                <w:sz w:val="20"/>
                <w:szCs w:val="20"/>
              </w:rPr>
              <w:t xml:space="preserve">     </w:t>
            </w:r>
            <w:r>
              <w:rPr>
                <w:rFonts w:ascii="Arial" w:cs="Arial" w:eastAsia="Arial" w:hAnsi="Arial"/>
                <w:b/>
                <w:bCs/>
                <w:color w:val="C0392B"/>
                <w:sz w:val="20"/>
                <w:szCs w:val="20"/>
              </w:rPr>
              <w:t xml:space="preserve">THE 'SMOKING GUN' TEST</w:t>
            </w:r>
          </w:p>
          <w:p>
            <w:pPr>
              <w:spacing w:before="60" w:after="60" w:line="280"/>
              <w:ind w:left="200"/>
            </w:pPr>
            <w:r>
              <w:rPr>
                <w:rFonts w:ascii="Arial" w:cs="Arial" w:eastAsia="Arial" w:hAnsi="Arial"/>
                <w:color w:val="1A1A2E"/>
                <w:sz w:val="21"/>
                <w:szCs w:val="21"/>
              </w:rPr>
              <w:t xml:space="preserve">•  This is the single most powerful test the paper is missing.</w:t>
            </w:r>
          </w:p>
          <w:p>
            <w:pPr>
              <w:spacing w:before="60" w:after="60" w:line="280"/>
              <w:ind w:left="200"/>
            </w:pPr>
            <w:r>
              <w:rPr>
                <w:rFonts w:ascii="Arial" w:cs="Arial" w:eastAsia="Arial" w:hAnsi="Arial"/>
                <w:color w:val="1A1A2E"/>
                <w:sz w:val="21"/>
                <w:szCs w:val="21"/>
              </w:rPr>
              <w:t xml:space="preserve">•  Method: Merge approved HMDA originations to public Fannie/Freddie single-family loan performance files (available on their websites, cover ~60-70% of conventional originations).</w:t>
            </w:r>
          </w:p>
          <w:p>
            <w:pPr>
              <w:spacing w:before="60" w:after="60" w:line="280"/>
              <w:ind w:left="200"/>
            </w:pPr>
            <w:r>
              <w:rPr>
                <w:rFonts w:ascii="Arial" w:cs="Arial" w:eastAsia="Arial" w:hAnsi="Arial"/>
                <w:color w:val="1A1A2E"/>
                <w:sz w:val="21"/>
                <w:szCs w:val="21"/>
              </w:rPr>
              <w:t xml:space="preserve">•  Test: Among approved loans, does race predict differential 24-month default rates after controlling for observables?</w:t>
            </w:r>
          </w:p>
          <w:p>
            <w:pPr>
              <w:spacing w:before="60" w:after="60" w:line="280"/>
              <w:ind w:left="200"/>
            </w:pPr>
            <w:r>
              <w:rPr>
                <w:rFonts w:ascii="Arial" w:cs="Arial" w:eastAsia="Arial" w:hAnsi="Arial"/>
                <w:color w:val="1A1A2E"/>
                <w:sz w:val="21"/>
                <w:szCs w:val="21"/>
              </w:rPr>
              <w:t xml:space="preserve">•  Logic: If approved Black applicants default at LOWER rates than observably similar White applicants, this means lenders applied stricter standards to Black applicants before approving them. This is direct evidence of differential screening standards.</w:t>
            </w:r>
          </w:p>
          <w:p>
            <w:pPr>
              <w:spacing w:before="60" w:after="60" w:line="280"/>
              <w:ind w:left="200"/>
            </w:pPr>
            <w:r>
              <w:rPr>
                <w:rFonts w:ascii="Arial" w:cs="Arial" w:eastAsia="Arial" w:hAnsi="Arial"/>
                <w:color w:val="1A1A2E"/>
                <w:sz w:val="21"/>
                <w:szCs w:val="21"/>
              </w:rPr>
              <w:t xml:space="preserve">•  This test directly answers the omitted credit risk critique: if Black borrowers were truly riskier (explaining the approval gap), they should default MORE, not less.</w:t>
            </w:r>
          </w:p>
          <w:p>
            <w:pPr>
              <w:spacing w:before="60" w:after="60" w:line="280"/>
              <w:ind w:left="200"/>
            </w:pPr>
            <w:r>
              <w:rPr>
                <w:rFonts w:ascii="Arial" w:cs="Arial" w:eastAsia="Arial" w:hAnsi="Arial"/>
                <w:color w:val="1A1A2E"/>
                <w:sz w:val="21"/>
                <w:szCs w:val="21"/>
              </w:rPr>
              <w:t xml:space="preserve">•  Time required: 2-4 weeks for the probabilistic merge, but this single result could transform the paper.</w:t>
            </w:r>
          </w:p>
        </w:tc>
      </w:tr>
    </w:tbl>
    <w:p>
      <w:pPr>
        <w:spacing w:before="0" w:after="80"/>
      </w:pPr>
      <w:r>
        <w:rPr>
          <w:rFonts w:ascii="Arial" w:cs="Arial" w:eastAsia="Arial" w:hAnsi="Arial"/>
          <w:b w:val="false"/>
          <w:bCs w:val="false"/>
          <w:i w:val="false"/>
          <w:iCs w:val="false"/>
          <w:color w:val="1A1A2E"/>
          <w:sz w:val="22"/>
          <w:szCs w:val="22"/>
        </w:rPr>
        <w:t xml:space="preserve"/>
      </w:r>
    </w:p>
    <w:p>
      <w:pPr>
        <w:spacing w:before="320" w:after="100"/>
      </w:pPr>
      <w:r>
        <w:rPr>
          <w:rFonts w:ascii="Arial" w:cs="Arial" w:eastAsia="Arial" w:hAnsi="Arial"/>
          <w:b/>
          <w:bCs/>
          <w:color w:val="1A6B5A"/>
          <w:sz w:val="26"/>
          <w:szCs w:val="26"/>
        </w:rPr>
        <w:t xml:space="preserve">U-5  </w:t>
      </w:r>
      <w:r>
        <w:rPr>
          <w:rFonts w:ascii="Arial" w:cs="Arial" w:eastAsia="Arial" w:hAnsi="Arial"/>
          <w:b/>
          <w:bCs/>
          <w:color w:val="1B3A6B"/>
          <w:sz w:val="26"/>
          <w:szCs w:val="26"/>
        </w:rPr>
        <w:t xml:space="preserve">The Anonymization Is Broken — Must Fix Before Any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5A" w:sz="1"/>
              <w:left w:val="single" w:color="1A6B5A" w:sz="1"/>
              <w:bottom w:val="single" w:color="1A6B5A" w:sz="1"/>
              <w:right w:val="single" w:color="1A6B5A" w:sz="1"/>
            </w:tcBorders>
            <w:shd w:fill="F0FAF7" w:val="clear"/>
            <w:tcMar>
              <w:top w:type="dxa" w:w="60"/>
              <w:left w:type="dxa" w:w="200"/>
              <w:bottom w:type="dxa" w:w="60"/>
              <w:right w:type="dxa" w:w="140"/>
            </w:tcMar>
          </w:tcPr>
          <w:p>
            <w:pPr>
              <w:spacing w:before="40" w:after="60"/>
            </w:pPr>
            <w:r>
              <w:rPr>
                <w:rFonts w:ascii="Arial" w:cs="Arial" w:eastAsia="Arial" w:hAnsi="Arial"/>
                <w:b/>
                <w:bCs/>
                <w:color w:val="4A5568"/>
                <w:sz w:val="20"/>
                <w:szCs w:val="20"/>
              </w:rPr>
              <w:t xml:space="preserve">Source: </w:t>
            </w:r>
            <w:r>
              <w:rPr>
                <w:rFonts w:ascii="Arial" w:cs="Arial" w:eastAsia="Arial" w:hAnsi="Arial"/>
                <w:color w:val="1A1A2E"/>
                <w:sz w:val="20"/>
                <w:szCs w:val="20"/>
              </w:rPr>
              <w:t xml:space="preserve">Claude review only</w:t>
            </w:r>
            <w:r>
              <w:rPr>
                <w:rFonts w:ascii="Arial" w:cs="Arial" w:eastAsia="Arial" w:hAnsi="Arial"/>
                <w:sz w:val="20"/>
                <w:szCs w:val="20"/>
              </w:rPr>
              <w:t xml:space="preserve">     </w:t>
            </w:r>
            <w:r>
              <w:rPr>
                <w:rFonts w:ascii="Arial" w:cs="Arial" w:eastAsia="Arial" w:hAnsi="Arial"/>
                <w:b/>
                <w:bCs/>
                <w:color w:val="C0392B"/>
                <w:sz w:val="20"/>
                <w:szCs w:val="20"/>
              </w:rPr>
              <w:t xml:space="preserve">URGENT: FIX IMMEDIATELY</w:t>
            </w:r>
          </w:p>
          <w:p>
            <w:pPr>
              <w:spacing w:before="60" w:after="60" w:line="280"/>
              <w:ind w:left="200"/>
            </w:pPr>
            <w:r>
              <w:rPr>
                <w:rFonts w:ascii="Arial" w:cs="Arial" w:eastAsia="Arial" w:hAnsi="Arial"/>
                <w:color w:val="1A1A2E"/>
                <w:sz w:val="21"/>
                <w:szCs w:val="21"/>
              </w:rPr>
              <w:t xml:space="preserve">•  The Data Availability section contains: 'Analysis code is publicly available at https://github.com/Rajveer-code/hmda-racial-disparities'</w:t>
            </w:r>
          </w:p>
          <w:p>
            <w:pPr>
              <w:spacing w:before="60" w:after="60" w:line="280"/>
              <w:ind w:left="200"/>
            </w:pPr>
            <w:r>
              <w:rPr>
                <w:rFonts w:ascii="Arial" w:cs="Arial" w:eastAsia="Arial" w:hAnsi="Arial"/>
                <w:color w:val="1A1A2E"/>
                <w:sz w:val="21"/>
                <w:szCs w:val="21"/>
              </w:rPr>
              <w:t xml:space="preserve">•  This GitHub username personally identifies the author in a BLIND REVIEW submission.</w:t>
            </w:r>
          </w:p>
          <w:p>
            <w:pPr>
              <w:spacing w:before="60" w:after="60" w:line="280"/>
              <w:ind w:left="200"/>
            </w:pPr>
            <w:r>
              <w:rPr>
                <w:rFonts w:ascii="Arial" w:cs="Arial" w:eastAsia="Arial" w:hAnsi="Arial"/>
                <w:color w:val="1A1A2E"/>
                <w:sz w:val="21"/>
                <w:szCs w:val="21"/>
              </w:rPr>
              <w:t xml:space="preserve">•  This could trigger a request for withdrawal and resubmission at many journals.</w:t>
            </w:r>
          </w:p>
          <w:p>
            <w:pPr>
              <w:spacing w:before="60" w:after="60" w:line="280"/>
              <w:ind w:left="200"/>
            </w:pPr>
            <w:r>
              <w:rPr>
                <w:rFonts w:ascii="Arial" w:cs="Arial" w:eastAsia="Arial" w:hAnsi="Arial"/>
                <w:color w:val="1A1A2E"/>
                <w:sz w:val="21"/>
                <w:szCs w:val="21"/>
              </w:rPr>
              <w:t xml:space="preserve">•  FIX: Create an anonymous repository at anonymous.4open.science (free service designed for this) or a new GitHub account with no identifying information.</w:t>
            </w:r>
          </w:p>
          <w:p>
            <w:pPr>
              <w:spacing w:before="60" w:after="60" w:line="280"/>
              <w:ind w:left="200"/>
            </w:pPr>
            <w:r>
              <w:rPr>
                <w:rFonts w:ascii="Arial" w:cs="Arial" w:eastAsia="Arial" w:hAnsi="Arial"/>
                <w:color w:val="1A1A2E"/>
                <w:sz w:val="21"/>
                <w:szCs w:val="21"/>
              </w:rPr>
              <w:t xml:space="preserve">•  Also check all figure file names embedded in the DOCX for any identifying metadata.</w:t>
            </w:r>
          </w:p>
        </w:tc>
      </w:tr>
    </w:tbl>
    <w:p>
      <w:pPr>
        <w:spacing w:before="0" w:after="80"/>
      </w:pPr>
      <w:r>
        <w:rPr>
          <w:rFonts w:ascii="Arial" w:cs="Arial" w:eastAsia="Arial" w:hAnsi="Arial"/>
          <w:b w:val="false"/>
          <w:bCs w:val="false"/>
          <w:i w:val="false"/>
          <w:iCs w:val="false"/>
          <w:color w:val="1A1A2E"/>
          <w:sz w:val="22"/>
          <w:szCs w:val="22"/>
        </w:rPr>
        <w:t xml:space="preserve"/>
      </w:r>
    </w:p>
    <w:p>
      <w:pPr>
        <w:spacing w:before="320" w:after="100"/>
      </w:pPr>
      <w:r>
        <w:rPr>
          <w:rFonts w:ascii="Arial" w:cs="Arial" w:eastAsia="Arial" w:hAnsi="Arial"/>
          <w:b/>
          <w:bCs/>
          <w:color w:val="1A6B5A"/>
          <w:sz w:val="26"/>
          <w:szCs w:val="26"/>
        </w:rPr>
        <w:t xml:space="preserve">U-6  </w:t>
      </w:r>
      <w:r>
        <w:rPr>
          <w:rFonts w:ascii="Arial" w:cs="Arial" w:eastAsia="Arial" w:hAnsi="Arial"/>
          <w:b/>
          <w:bCs/>
          <w:color w:val="1B3A6B"/>
          <w:sz w:val="26"/>
          <w:szCs w:val="26"/>
        </w:rPr>
        <w:t xml:space="preserve">Income-Tercile RDD Gradient Is Claimed But Never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5A" w:sz="1"/>
              <w:left w:val="single" w:color="1A6B5A" w:sz="1"/>
              <w:bottom w:val="single" w:color="1A6B5A" w:sz="1"/>
              <w:right w:val="single" w:color="1A6B5A" w:sz="1"/>
            </w:tcBorders>
            <w:shd w:fill="F0FAF7" w:val="clear"/>
            <w:tcMar>
              <w:top w:type="dxa" w:w="60"/>
              <w:left w:type="dxa" w:w="200"/>
              <w:bottom w:type="dxa" w:w="60"/>
              <w:right w:type="dxa" w:w="140"/>
            </w:tcMar>
          </w:tcPr>
          <w:p>
            <w:pPr>
              <w:spacing w:before="40" w:after="60"/>
            </w:pPr>
            <w:r>
              <w:rPr>
                <w:rFonts w:ascii="Arial" w:cs="Arial" w:eastAsia="Arial" w:hAnsi="Arial"/>
                <w:b/>
                <w:bCs/>
                <w:color w:val="4A5568"/>
                <w:sz w:val="20"/>
                <w:szCs w:val="20"/>
              </w:rPr>
              <w:t xml:space="preserve">Source: </w:t>
            </w:r>
            <w:r>
              <w:rPr>
                <w:rFonts w:ascii="Arial" w:cs="Arial" w:eastAsia="Arial" w:hAnsi="Arial"/>
                <w:color w:val="1A1A2E"/>
                <w:sz w:val="20"/>
                <w:szCs w:val="20"/>
              </w:rPr>
              <w:t xml:space="preserve">Claude review only</w:t>
            </w:r>
            <w:r>
              <w:rPr>
                <w:rFonts w:ascii="Arial" w:cs="Arial" w:eastAsia="Arial" w:hAnsi="Arial"/>
                <w:sz w:val="20"/>
                <w:szCs w:val="20"/>
              </w:rPr>
              <w:t xml:space="preserve">     </w:t>
            </w:r>
            <w:r>
              <w:rPr>
                <w:rFonts w:ascii="Arial" w:cs="Arial" w:eastAsia="Arial" w:hAnsi="Arial"/>
                <w:b/>
                <w:bCs/>
                <w:color w:val="D4880A"/>
                <w:sz w:val="20"/>
                <w:szCs w:val="20"/>
              </w:rPr>
              <w:t xml:space="preserve">IMPORTANT MECHANISM TEST</w:t>
            </w:r>
          </w:p>
          <w:p>
            <w:pPr>
              <w:spacing w:before="60" w:after="60" w:line="280"/>
              <w:ind w:left="200"/>
            </w:pPr>
            <w:r>
              <w:rPr>
                <w:rFonts w:ascii="Arial" w:cs="Arial" w:eastAsia="Arial" w:hAnsi="Arial"/>
                <w:color w:val="1A1A2E"/>
                <w:sz w:val="21"/>
                <w:szCs w:val="21"/>
              </w:rPr>
              <w:t xml:space="preserve">•  Section 6.3 states 'the threshold effect grows monotonically with income, the exact opposite of a mechanical credit-quality story.'</w:t>
            </w:r>
          </w:p>
          <w:p>
            <w:pPr>
              <w:spacing w:before="60" w:after="60" w:line="280"/>
              <w:ind w:left="200"/>
            </w:pPr>
            <w:r>
              <w:rPr>
                <w:rFonts w:ascii="Arial" w:cs="Arial" w:eastAsia="Arial" w:hAnsi="Arial"/>
                <w:color w:val="1A1A2E"/>
                <w:sz w:val="21"/>
                <w:szCs w:val="21"/>
              </w:rPr>
              <w:t xml:space="preserve">•  This claim appears in the Discussion but has NO supporting table or figure anywhere in the manuscript or appendix.</w:t>
            </w:r>
          </w:p>
          <w:p>
            <w:pPr>
              <w:spacing w:before="60" w:after="60" w:line="280"/>
              <w:ind w:left="200"/>
            </w:pPr>
            <w:r>
              <w:rPr>
                <w:rFonts w:ascii="Arial" w:cs="Arial" w:eastAsia="Arial" w:hAnsi="Arial"/>
                <w:color w:val="1A1A2E"/>
                <w:sz w:val="21"/>
                <w:szCs w:val="21"/>
              </w:rPr>
              <w:t xml:space="preserve">•  If this gradient exists, it is one of your three strongest tests against statistical discrimination.</w:t>
            </w:r>
          </w:p>
          <w:p>
            <w:pPr>
              <w:spacing w:before="60" w:after="60" w:line="280"/>
              <w:ind w:left="200"/>
            </w:pPr>
            <w:r>
              <w:rPr>
                <w:rFonts w:ascii="Arial" w:cs="Arial" w:eastAsia="Arial" w:hAnsi="Arial"/>
                <w:color w:val="1A1A2E"/>
                <w:sz w:val="21"/>
                <w:szCs w:val="21"/>
              </w:rPr>
              <w:t xml:space="preserve">•  If the gradient does NOT cleanly exist, the claim in Section 6.3 must be removed.</w:t>
            </w:r>
          </w:p>
          <w:p>
            <w:pPr>
              <w:spacing w:before="60" w:after="60" w:line="280"/>
              <w:ind w:left="200"/>
            </w:pPr>
            <w:r>
              <w:rPr>
                <w:rFonts w:ascii="Arial" w:cs="Arial" w:eastAsia="Arial" w:hAnsi="Arial"/>
                <w:color w:val="1A1A2E"/>
                <w:sz w:val="21"/>
                <w:szCs w:val="21"/>
              </w:rPr>
              <w:t xml:space="preserve">•  REQUIRED: Either formalize as Table 7c (split RDD bandwidth sample into income terciles, estimate theta separately) or delete the claim entirely.</w:t>
            </w:r>
          </w:p>
        </w:tc>
      </w:tr>
    </w:tbl>
    <w:p>
      <w:pPr>
        <w:spacing w:before="0" w:after="80"/>
      </w:pPr>
      <w:r>
        <w:rPr>
          <w:rFonts w:ascii="Arial" w:cs="Arial" w:eastAsia="Arial" w:hAnsi="Arial"/>
          <w:b w:val="false"/>
          <w:bCs w:val="false"/>
          <w:i w:val="false"/>
          <w:iCs w:val="false"/>
          <w:color w:val="1A1A2E"/>
          <w:sz w:val="22"/>
          <w:szCs w:val="22"/>
        </w:rPr>
        <w:t xml:space="preserve"/>
      </w:r>
    </w:p>
    <w:p>
      <w:pPr>
        <w:spacing w:before="320" w:after="100"/>
      </w:pPr>
      <w:r>
        <w:rPr>
          <w:rFonts w:ascii="Arial" w:cs="Arial" w:eastAsia="Arial" w:hAnsi="Arial"/>
          <w:b/>
          <w:bCs/>
          <w:color w:val="1A6B5A"/>
          <w:sz w:val="26"/>
          <w:szCs w:val="26"/>
        </w:rPr>
        <w:t xml:space="preserve">U-7  </w:t>
      </w:r>
      <w:r>
        <w:rPr>
          <w:rFonts w:ascii="Arial" w:cs="Arial" w:eastAsia="Arial" w:hAnsi="Arial"/>
          <w:b/>
          <w:bCs/>
          <w:color w:val="1B3A6B"/>
          <w:sz w:val="26"/>
          <w:szCs w:val="26"/>
        </w:rPr>
        <w:t xml:space="preserve">Refinance Gap Being Larger Than Purchase Gap Is an Unresolved Narrative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5A" w:sz="1"/>
              <w:left w:val="single" w:color="1A6B5A" w:sz="1"/>
              <w:bottom w:val="single" w:color="1A6B5A" w:sz="1"/>
              <w:right w:val="single" w:color="1A6B5A" w:sz="1"/>
            </w:tcBorders>
            <w:shd w:fill="F0FAF7" w:val="clear"/>
            <w:tcMar>
              <w:top w:type="dxa" w:w="60"/>
              <w:left w:type="dxa" w:w="200"/>
              <w:bottom w:type="dxa" w:w="60"/>
              <w:right w:type="dxa" w:w="140"/>
            </w:tcMar>
          </w:tcPr>
          <w:p>
            <w:pPr>
              <w:spacing w:before="40" w:after="60"/>
            </w:pPr>
            <w:r>
              <w:rPr>
                <w:rFonts w:ascii="Arial" w:cs="Arial" w:eastAsia="Arial" w:hAnsi="Arial"/>
                <w:b/>
                <w:bCs/>
                <w:color w:val="4A5568"/>
                <w:sz w:val="20"/>
                <w:szCs w:val="20"/>
              </w:rPr>
              <w:t xml:space="preserve">Source: </w:t>
            </w:r>
            <w:r>
              <w:rPr>
                <w:rFonts w:ascii="Arial" w:cs="Arial" w:eastAsia="Arial" w:hAnsi="Arial"/>
                <w:color w:val="1A1A2E"/>
                <w:sz w:val="20"/>
                <w:szCs w:val="20"/>
              </w:rPr>
              <w:t xml:space="preserve">AI-5 and Claude</w:t>
            </w:r>
            <w:r>
              <w:rPr>
                <w:rFonts w:ascii="Arial" w:cs="Arial" w:eastAsia="Arial" w:hAnsi="Arial"/>
                <w:sz w:val="20"/>
                <w:szCs w:val="20"/>
              </w:rPr>
              <w:t xml:space="preserve">     </w:t>
            </w:r>
            <w:r>
              <w:rPr>
                <w:rFonts w:ascii="Arial" w:cs="Arial" w:eastAsia="Arial" w:hAnsi="Arial"/>
                <w:b/>
                <w:bCs/>
                <w:color w:val="D4880A"/>
                <w:sz w:val="20"/>
                <w:szCs w:val="20"/>
              </w:rPr>
              <w:t xml:space="preserve">NARRATIVE CONSISTENCY RISK</w:t>
            </w:r>
          </w:p>
          <w:p>
            <w:pPr>
              <w:spacing w:before="60" w:after="60" w:line="280"/>
              <w:ind w:left="200"/>
            </w:pPr>
            <w:r>
              <w:rPr>
                <w:rFonts w:ascii="Arial" w:cs="Arial" w:eastAsia="Arial" w:hAnsi="Arial"/>
                <w:color w:val="1A1A2E"/>
                <w:sz w:val="21"/>
                <w:szCs w:val="21"/>
              </w:rPr>
              <w:t xml:space="preserve">•  The paper shows the refinance gap (15.08 pp) is systematically LARGER than the purchase gap (12.24 pp).</w:t>
            </w:r>
          </w:p>
          <w:p>
            <w:pPr>
              <w:spacing w:before="60" w:after="60" w:line="280"/>
              <w:ind w:left="200"/>
            </w:pPr>
            <w:r>
              <w:rPr>
                <w:rFonts w:ascii="Arial" w:cs="Arial" w:eastAsia="Arial" w:hAnsi="Arial"/>
                <w:color w:val="1A1A2E"/>
                <w:sz w:val="21"/>
                <w:szCs w:val="21"/>
              </w:rPr>
              <w:t xml:space="preserve">•  But the paper's entire PMI discretion mechanism predicts the OPPOSITE: the institutional mechanism should be sharper in purchase loans.</w:t>
            </w:r>
          </w:p>
          <w:p>
            <w:pPr>
              <w:spacing w:before="60" w:after="60" w:line="280"/>
              <w:ind w:left="200"/>
            </w:pPr>
            <w:r>
              <w:rPr>
                <w:rFonts w:ascii="Arial" w:cs="Arial" w:eastAsia="Arial" w:hAnsi="Arial"/>
                <w:color w:val="1A1A2E"/>
                <w:sz w:val="21"/>
                <w:szCs w:val="21"/>
              </w:rPr>
              <w:t xml:space="preserve">•  The RDD is correctly absent for refinances, but the larger raw refinance gap contradicts the theoretical framework.</w:t>
            </w:r>
          </w:p>
          <w:p>
            <w:pPr>
              <w:spacing w:before="60" w:after="60" w:line="280"/>
              <w:ind w:left="200"/>
            </w:pPr>
            <w:r>
              <w:rPr>
                <w:rFonts w:ascii="Arial" w:cs="Arial" w:eastAsia="Arial" w:hAnsi="Arial"/>
                <w:color w:val="1A1A2E"/>
                <w:sz w:val="21"/>
                <w:szCs w:val="21"/>
              </w:rPr>
              <w:t xml:space="preserve">•  A referee will ask: 'If PMI discretion is your mechanism, why is the refinance gap (where PMI is irrelevant) the largest?'</w:t>
            </w:r>
          </w:p>
          <w:p>
            <w:pPr>
              <w:spacing w:before="60" w:after="60" w:line="280"/>
              <w:ind w:left="200"/>
            </w:pPr>
            <w:r>
              <w:rPr>
                <w:rFonts w:ascii="Arial" w:cs="Arial" w:eastAsia="Arial" w:hAnsi="Arial"/>
                <w:color w:val="1A1A2E"/>
                <w:sz w:val="21"/>
                <w:szCs w:val="21"/>
              </w:rPr>
              <w:t xml:space="preserve">•  REQUIRED: Add an explicit paragraph in Section 6.2 explaining this asymmetry. Most plausible explanation: refinancers who are Black and applying are MORE positively selected (already passed underwriting once), yet still face larger gaps — suggesting non-PMI institutional channels also operate.</w:t>
            </w:r>
          </w:p>
        </w:tc>
      </w:tr>
    </w:tbl>
    <w:p>
      <w:pPr>
        <w:spacing w:before="0" w:after="80"/>
      </w:pPr>
      <w:r>
        <w:rPr>
          <w:rFonts w:ascii="Arial" w:cs="Arial" w:eastAsia="Arial" w:hAnsi="Arial"/>
          <w:b w:val="false"/>
          <w:bCs w:val="false"/>
          <w:i w:val="false"/>
          <w:iCs w:val="false"/>
          <w:color w:val="1A1A2E"/>
          <w:sz w:val="22"/>
          <w:szCs w:val="22"/>
        </w:rPr>
        <w:t xml:space="preserve"/>
      </w:r>
    </w:p>
    <w:p>
      <w:pPr>
        <w:spacing w:before="0" w:after="0"/>
      </w:pPr>
      <w:r>
        <w:br w:type="page"/>
      </w:r>
    </w:p>
    <w:p>
      <w:pPr>
        <w:pStyle w:val="Heading1"/>
        <w:pBdr>
          <w:bottom w:val="single" w:color="C0392B" w:sz="8" w:space="4"/>
        </w:pBdr>
        <w:spacing w:before="480" w:after="200"/>
        <w:outlineLvl w:val="0"/>
      </w:pPr>
      <w:r>
        <w:rPr>
          <w:rFonts w:ascii="Arial" w:cs="Arial" w:eastAsia="Arial" w:hAnsi="Arial"/>
          <w:b/>
          <w:bCs/>
          <w:color w:val="C0392B"/>
          <w:sz w:val="36"/>
          <w:szCs w:val="36"/>
        </w:rPr>
        <w:t xml:space="preserve">PART 3 — ADVICE TO DISCARD</w:t>
      </w:r>
    </w:p>
    <w:p>
      <w:pPr>
        <w:spacing w:before="0" w:after="100" w:line="276"/>
        <w:jc w:val="left"/>
      </w:pPr>
      <w:r>
        <w:rPr>
          <w:rFonts w:ascii="Arial" w:cs="Arial" w:eastAsia="Arial" w:hAnsi="Arial"/>
          <w:b w:val="false"/>
          <w:bCs w:val="false"/>
          <w:i w:val="false"/>
          <w:iCs w:val="false"/>
          <w:color w:val="4A5568"/>
          <w:sz w:val="22"/>
          <w:szCs w:val="22"/>
        </w:rPr>
        <w:t xml:space="preserve">These suggestions appeared in the AI reviews but are WRONG, impractical, or would actively hurt the paper. Do NOT follow them.</w:t>
      </w:r>
    </w:p>
    <w:p>
      <w:pPr>
        <w:spacing w:before="0" w:after="120"/>
      </w:pPr>
      <w:r>
        <w:rPr>
          <w:rFonts w:ascii="Arial" w:cs="Arial" w:eastAsia="Arial" w:hAnsi="Arial"/>
          <w:b w:val="false"/>
          <w:bCs w:val="false"/>
          <w:i w:val="false"/>
          <w:iCs w:val="false"/>
          <w:color w:val="1A1A2E"/>
          <w:sz w:val="22"/>
          <w:szCs w:val="22"/>
        </w:rPr>
        <w:t xml:space="preserve"/>
      </w:r>
    </w:p>
    <w:p>
      <w:pPr>
        <w:spacing w:before="300" w:after="100"/>
      </w:pPr>
      <w:r>
        <w:rPr>
          <w:rFonts w:ascii="Arial" w:cs="Arial" w:eastAsia="Arial" w:hAnsi="Arial"/>
          <w:b/>
          <w:bCs/>
          <w:color w:val="C0392B"/>
          <w:sz w:val="24"/>
          <w:szCs w:val="24"/>
        </w:rPr>
        <w:t xml:space="preserve">D-1  </w:t>
      </w:r>
      <w:r>
        <w:rPr>
          <w:rFonts w:ascii="Arial" w:cs="Arial" w:eastAsia="Arial" w:hAnsi="Arial"/>
          <w:b/>
          <w:bCs/>
          <w:color w:val="1B3A6B"/>
          <w:sz w:val="24"/>
          <w:szCs w:val="24"/>
        </w:rPr>
        <w:t xml:space="preserve">'Access Confidential HMDA Data from CFPB' as a Near-Term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F5F5" w:val="clear"/>
            <w:tcMar>
              <w:top w:type="dxa" w:w="60"/>
              <w:left w:type="dxa" w:w="200"/>
              <w:bottom w:type="dxa" w:w="60"/>
              <w:right w:type="dxa" w:w="140"/>
            </w:tcMar>
          </w:tcPr>
          <w:p>
            <w:pPr>
              <w:spacing w:before="40" w:after="60"/>
            </w:pPr>
            <w:r>
              <w:rPr>
                <w:rFonts w:ascii="Arial" w:cs="Arial" w:eastAsia="Arial" w:hAnsi="Arial"/>
                <w:b/>
                <w:bCs/>
                <w:color w:val="4A5568"/>
                <w:sz w:val="20"/>
                <w:szCs w:val="20"/>
              </w:rPr>
              <w:t xml:space="preserve">Source: </w:t>
            </w:r>
            <w:r>
              <w:rPr>
                <w:rFonts w:ascii="Arial" w:cs="Arial" w:eastAsia="Arial" w:hAnsi="Arial"/>
                <w:color w:val="1A1A2E"/>
                <w:sz w:val="20"/>
                <w:szCs w:val="20"/>
              </w:rPr>
              <w:t xml:space="preserve">AI-1, AI-6</w:t>
            </w:r>
            <w:r>
              <w:rPr>
                <w:rFonts w:ascii="Arial" w:cs="Arial" w:eastAsia="Arial" w:hAnsi="Arial"/>
                <w:sz w:val="20"/>
                <w:szCs w:val="20"/>
              </w:rPr>
              <w:t xml:space="preserve">     </w:t>
            </w:r>
            <w:r>
              <w:rPr>
                <w:rFonts w:ascii="Arial" w:cs="Arial" w:eastAsia="Arial" w:hAnsi="Arial"/>
                <w:b/>
                <w:bCs/>
                <w:color w:val="C0392B"/>
                <w:sz w:val="20"/>
                <w:szCs w:val="20"/>
              </w:rPr>
              <w:t xml:space="preserve">⚠ IMPRACTICAL — Do NOT attempt for this submission</w:t>
            </w:r>
          </w:p>
          <w:p>
            <w:pPr>
              <w:spacing w:before="40" w:after="40" w:line="280"/>
              <w:ind w:left="200"/>
            </w:pPr>
            <w:r>
              <w:rPr>
                <w:rFonts w:ascii="Arial" w:cs="Arial" w:eastAsia="Arial" w:hAnsi="Arial"/>
                <w:color w:val="1A1A2E"/>
                <w:sz w:val="21"/>
                <w:szCs w:val="21"/>
              </w:rPr>
              <w:t xml:space="preserve">CFPB confidential data access requires a formal research agreement that takes 6-18 months to process and requires institutional affiliation approval. If you are under time pressure, this is NOT a viable action item for this submission. It is a long-term strategy for a second paper or co-authorship. Attempting this for the current submission will only delay you.</w:t>
            </w:r>
          </w:p>
        </w:tc>
      </w:tr>
    </w:tbl>
    <w:p>
      <w:pPr>
        <w:spacing w:before="0" w:after="80"/>
      </w:pPr>
      <w:r>
        <w:rPr>
          <w:rFonts w:ascii="Arial" w:cs="Arial" w:eastAsia="Arial" w:hAnsi="Arial"/>
          <w:b w:val="false"/>
          <w:bCs w:val="false"/>
          <w:i w:val="false"/>
          <w:iCs w:val="false"/>
          <w:color w:val="1A1A2E"/>
          <w:sz w:val="22"/>
          <w:szCs w:val="22"/>
        </w:rPr>
        <w:t xml:space="preserve"/>
      </w:r>
    </w:p>
    <w:p>
      <w:pPr>
        <w:spacing w:before="300" w:after="100"/>
      </w:pPr>
      <w:r>
        <w:rPr>
          <w:rFonts w:ascii="Arial" w:cs="Arial" w:eastAsia="Arial" w:hAnsi="Arial"/>
          <w:b/>
          <w:bCs/>
          <w:color w:val="C0392B"/>
          <w:sz w:val="24"/>
          <w:szCs w:val="24"/>
        </w:rPr>
        <w:t xml:space="preserve">D-2  </w:t>
      </w:r>
      <w:r>
        <w:rPr>
          <w:rFonts w:ascii="Arial" w:cs="Arial" w:eastAsia="Arial" w:hAnsi="Arial"/>
          <w:b/>
          <w:bCs/>
          <w:color w:val="1B3A6B"/>
          <w:sz w:val="24"/>
          <w:szCs w:val="24"/>
        </w:rPr>
        <w:t xml:space="preserve">Heckman Selection Correction for Discouraged Borrowers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F5F5" w:val="clear"/>
            <w:tcMar>
              <w:top w:type="dxa" w:w="60"/>
              <w:left w:type="dxa" w:w="200"/>
              <w:bottom w:type="dxa" w:w="60"/>
              <w:right w:type="dxa" w:w="140"/>
            </w:tcMar>
          </w:tcPr>
          <w:p>
            <w:pPr>
              <w:spacing w:before="40" w:after="60"/>
            </w:pPr>
            <w:r>
              <w:rPr>
                <w:rFonts w:ascii="Arial" w:cs="Arial" w:eastAsia="Arial" w:hAnsi="Arial"/>
                <w:b/>
                <w:bCs/>
                <w:color w:val="4A5568"/>
                <w:sz w:val="20"/>
                <w:szCs w:val="20"/>
              </w:rPr>
              <w:t xml:space="preserve">Source: </w:t>
            </w:r>
            <w:r>
              <w:rPr>
                <w:rFonts w:ascii="Arial" w:cs="Arial" w:eastAsia="Arial" w:hAnsi="Arial"/>
                <w:color w:val="1A1A2E"/>
                <w:sz w:val="20"/>
                <w:szCs w:val="20"/>
              </w:rPr>
              <w:t xml:space="preserve">Gemini</w:t>
            </w:r>
            <w:r>
              <w:rPr>
                <w:rFonts w:ascii="Arial" w:cs="Arial" w:eastAsia="Arial" w:hAnsi="Arial"/>
                <w:sz w:val="20"/>
                <w:szCs w:val="20"/>
              </w:rPr>
              <w:t xml:space="preserve">     </w:t>
            </w:r>
            <w:r>
              <w:rPr>
                <w:rFonts w:ascii="Arial" w:cs="Arial" w:eastAsia="Arial" w:hAnsi="Arial"/>
                <w:b/>
                <w:bCs/>
                <w:color w:val="C0392B"/>
                <w:sz w:val="20"/>
                <w:szCs w:val="20"/>
              </w:rPr>
              <w:t xml:space="preserve">⚠ TECHNICALLY WRONG — Will introduce more problems than it solves</w:t>
            </w:r>
          </w:p>
          <w:p>
            <w:pPr>
              <w:spacing w:before="40" w:after="40" w:line="280"/>
              <w:ind w:left="200"/>
            </w:pPr>
            <w:r>
              <w:rPr>
                <w:rFonts w:ascii="Arial" w:cs="Arial" w:eastAsia="Arial" w:hAnsi="Arial"/>
                <w:color w:val="1A1A2E"/>
                <w:sz w:val="21"/>
                <w:szCs w:val="21"/>
              </w:rPr>
              <w:t xml:space="preserve">A Heckman correction requires an exclusion restriction — a variable that affects the decision to apply but not approval conditional on applying. No such credible instrument is identified in any review, and none is obvious in the HMDA data. Implementing this without a valid exclusion restriction will produce biased estimates AND invite econometric criticism. A referee will ask 'what is your instrument?' and you will have no answer.</w:t>
            </w:r>
          </w:p>
        </w:tc>
      </w:tr>
    </w:tbl>
    <w:p>
      <w:pPr>
        <w:spacing w:before="0" w:after="80"/>
      </w:pPr>
      <w:r>
        <w:rPr>
          <w:rFonts w:ascii="Arial" w:cs="Arial" w:eastAsia="Arial" w:hAnsi="Arial"/>
          <w:b w:val="false"/>
          <w:bCs w:val="false"/>
          <w:i w:val="false"/>
          <w:iCs w:val="false"/>
          <w:color w:val="1A1A2E"/>
          <w:sz w:val="22"/>
          <w:szCs w:val="22"/>
        </w:rPr>
        <w:t xml:space="preserve"/>
      </w:r>
    </w:p>
    <w:p>
      <w:pPr>
        <w:spacing w:before="300" w:after="100"/>
      </w:pPr>
      <w:r>
        <w:rPr>
          <w:rFonts w:ascii="Arial" w:cs="Arial" w:eastAsia="Arial" w:hAnsi="Arial"/>
          <w:b/>
          <w:bCs/>
          <w:color w:val="C0392B"/>
          <w:sz w:val="24"/>
          <w:szCs w:val="24"/>
        </w:rPr>
        <w:t xml:space="preserve">D-3  </w:t>
      </w:r>
      <w:r>
        <w:rPr>
          <w:rFonts w:ascii="Arial" w:cs="Arial" w:eastAsia="Arial" w:hAnsi="Arial"/>
          <w:b/>
          <w:bCs/>
          <w:color w:val="1B3A6B"/>
          <w:sz w:val="24"/>
          <w:szCs w:val="24"/>
        </w:rPr>
        <w:t xml:space="preserve">Bunching Estimator Around the 80% LTV Cutoff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F5F5" w:val="clear"/>
            <w:tcMar>
              <w:top w:type="dxa" w:w="60"/>
              <w:left w:type="dxa" w:w="200"/>
              <w:bottom w:type="dxa" w:w="60"/>
              <w:right w:type="dxa" w:w="140"/>
            </w:tcMar>
          </w:tcPr>
          <w:p>
            <w:pPr>
              <w:spacing w:before="40" w:after="60"/>
            </w:pPr>
            <w:r>
              <w:rPr>
                <w:rFonts w:ascii="Arial" w:cs="Arial" w:eastAsia="Arial" w:hAnsi="Arial"/>
                <w:b/>
                <w:bCs/>
                <w:color w:val="4A5568"/>
                <w:sz w:val="20"/>
                <w:szCs w:val="20"/>
              </w:rPr>
              <w:t xml:space="preserve">Source: </w:t>
            </w:r>
            <w:r>
              <w:rPr>
                <w:rFonts w:ascii="Arial" w:cs="Arial" w:eastAsia="Arial" w:hAnsi="Arial"/>
                <w:color w:val="1A1A2E"/>
                <w:sz w:val="20"/>
                <w:szCs w:val="20"/>
              </w:rPr>
              <w:t xml:space="preserve">AI-5</w:t>
            </w:r>
            <w:r>
              <w:rPr>
                <w:rFonts w:ascii="Arial" w:cs="Arial" w:eastAsia="Arial" w:hAnsi="Arial"/>
                <w:sz w:val="20"/>
                <w:szCs w:val="20"/>
              </w:rPr>
              <w:t xml:space="preserve">     </w:t>
            </w:r>
            <w:r>
              <w:rPr>
                <w:rFonts w:ascii="Arial" w:cs="Arial" w:eastAsia="Arial" w:hAnsi="Arial"/>
                <w:b/>
                <w:bCs/>
                <w:color w:val="C0392B"/>
                <w:sz w:val="20"/>
                <w:szCs w:val="20"/>
              </w:rPr>
              <w:t xml:space="preserve">⚠ WRONG TOOL FOR THIS DESIGN</w:t>
            </w:r>
          </w:p>
          <w:p>
            <w:pPr>
              <w:spacing w:before="40" w:after="40" w:line="280"/>
              <w:ind w:left="200"/>
            </w:pPr>
            <w:r>
              <w:rPr>
                <w:rFonts w:ascii="Arial" w:cs="Arial" w:eastAsia="Arial" w:hAnsi="Arial"/>
                <w:color w:val="1A1A2E"/>
                <w:sz w:val="21"/>
                <w:szCs w:val="21"/>
              </w:rPr>
              <w:t xml:space="preserve">The bunching estimator is designed for settings where behavioral responses to incentives create MASS POINTS in a distribution. The McCrary test already shows NO bunching in your data. Adding a bunching analysis that finds no bunching (consistent with your existing results) adds nothing except unnecessary complexity. A referee will wonder why you ran a test designed to find something that you already showed does not exist.</w:t>
            </w:r>
          </w:p>
        </w:tc>
      </w:tr>
    </w:tbl>
    <w:p>
      <w:pPr>
        <w:spacing w:before="0" w:after="80"/>
      </w:pPr>
      <w:r>
        <w:rPr>
          <w:rFonts w:ascii="Arial" w:cs="Arial" w:eastAsia="Arial" w:hAnsi="Arial"/>
          <w:b w:val="false"/>
          <w:bCs w:val="false"/>
          <w:i w:val="false"/>
          <w:iCs w:val="false"/>
          <w:color w:val="1A1A2E"/>
          <w:sz w:val="22"/>
          <w:szCs w:val="22"/>
        </w:rPr>
        <w:t xml:space="preserve"/>
      </w:r>
    </w:p>
    <w:p>
      <w:pPr>
        <w:spacing w:before="300" w:after="100"/>
      </w:pPr>
      <w:r>
        <w:rPr>
          <w:rFonts w:ascii="Arial" w:cs="Arial" w:eastAsia="Arial" w:hAnsi="Arial"/>
          <w:b/>
          <w:bCs/>
          <w:color w:val="C0392B"/>
          <w:sz w:val="24"/>
          <w:szCs w:val="24"/>
        </w:rPr>
        <w:t xml:space="preserve">D-4  </w:t>
      </w:r>
      <w:r>
        <w:rPr>
          <w:rFonts w:ascii="Arial" w:cs="Arial" w:eastAsia="Arial" w:hAnsi="Arial"/>
          <w:b/>
          <w:bCs/>
          <w:color w:val="1B3A6B"/>
          <w:sz w:val="24"/>
          <w:szCs w:val="24"/>
        </w:rPr>
        <w:t xml:space="preserve">'Completely Drop Causal Language and Reframe as Pure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F5F5" w:val="clear"/>
            <w:tcMar>
              <w:top w:type="dxa" w:w="60"/>
              <w:left w:type="dxa" w:w="200"/>
              <w:bottom w:type="dxa" w:w="60"/>
              <w:right w:type="dxa" w:w="140"/>
            </w:tcMar>
          </w:tcPr>
          <w:p>
            <w:pPr>
              <w:spacing w:before="40" w:after="60"/>
            </w:pPr>
            <w:r>
              <w:rPr>
                <w:rFonts w:ascii="Arial" w:cs="Arial" w:eastAsia="Arial" w:hAnsi="Arial"/>
                <w:b/>
                <w:bCs/>
                <w:color w:val="4A5568"/>
                <w:sz w:val="20"/>
                <w:szCs w:val="20"/>
              </w:rPr>
              <w:t xml:space="preserve">Source: </w:t>
            </w:r>
            <w:r>
              <w:rPr>
                <w:rFonts w:ascii="Arial" w:cs="Arial" w:eastAsia="Arial" w:hAnsi="Arial"/>
                <w:color w:val="1A1A2E"/>
                <w:sz w:val="20"/>
                <w:szCs w:val="20"/>
              </w:rPr>
              <w:t xml:space="preserve">AI-3, AI-4</w:t>
            </w:r>
            <w:r>
              <w:rPr>
                <w:rFonts w:ascii="Arial" w:cs="Arial" w:eastAsia="Arial" w:hAnsi="Arial"/>
                <w:sz w:val="20"/>
                <w:szCs w:val="20"/>
              </w:rPr>
              <w:t xml:space="preserve">     </w:t>
            </w:r>
            <w:r>
              <w:rPr>
                <w:rFonts w:ascii="Arial" w:cs="Arial" w:eastAsia="Arial" w:hAnsi="Arial"/>
                <w:b/>
                <w:bCs/>
                <w:color w:val="C0392B"/>
                <w:sz w:val="20"/>
                <w:szCs w:val="20"/>
              </w:rPr>
              <w:t xml:space="preserve">⚠ OVERCORRECTION — Will weaken the paper's contribution at JHE</w:t>
            </w:r>
          </w:p>
          <w:p>
            <w:pPr>
              <w:spacing w:before="40" w:after="40" w:line="280"/>
              <w:ind w:left="200"/>
            </w:pPr>
            <w:r>
              <w:rPr>
                <w:rFonts w:ascii="Arial" w:cs="Arial" w:eastAsia="Arial" w:hAnsi="Arial"/>
                <w:color w:val="1A1A2E"/>
                <w:sz w:val="21"/>
                <w:szCs w:val="21"/>
              </w:rPr>
              <w:t xml:space="preserve">JHE regularly publishes papers with quasi-experimental language for RDD and DiD designs with data limitations similar to yours. Going fully descriptive would actually weaken the paper's contribution claim relative to prior HMDA literature. The correct middle path is language surgery (see Part 5): replace 'differential treatment' with 'differential institutional outcomes' and 'discrimination' with 'approval differentials inconsistent with risk-based accounts' — but do NOT abandon the quasi-experimental framing of the RDD and DiD entirely.</w:t>
            </w:r>
          </w:p>
        </w:tc>
      </w:tr>
    </w:tbl>
    <w:p>
      <w:pPr>
        <w:spacing w:before="0" w:after="80"/>
      </w:pPr>
      <w:r>
        <w:rPr>
          <w:rFonts w:ascii="Arial" w:cs="Arial" w:eastAsia="Arial" w:hAnsi="Arial"/>
          <w:b w:val="false"/>
          <w:bCs w:val="false"/>
          <w:i w:val="false"/>
          <w:iCs w:val="false"/>
          <w:color w:val="1A1A2E"/>
          <w:sz w:val="22"/>
          <w:szCs w:val="22"/>
        </w:rPr>
        <w:t xml:space="preserve"/>
      </w:r>
    </w:p>
    <w:p>
      <w:pPr>
        <w:spacing w:before="300" w:after="100"/>
      </w:pPr>
      <w:r>
        <w:rPr>
          <w:rFonts w:ascii="Arial" w:cs="Arial" w:eastAsia="Arial" w:hAnsi="Arial"/>
          <w:b/>
          <w:bCs/>
          <w:color w:val="C0392B"/>
          <w:sz w:val="24"/>
          <w:szCs w:val="24"/>
        </w:rPr>
        <w:t xml:space="preserve">D-5  </w:t>
      </w:r>
      <w:r>
        <w:rPr>
          <w:rFonts w:ascii="Arial" w:cs="Arial" w:eastAsia="Arial" w:hAnsi="Arial"/>
          <w:b/>
          <w:bCs/>
          <w:color w:val="1B3A6B"/>
          <w:sz w:val="24"/>
          <w:szCs w:val="24"/>
        </w:rPr>
        <w:t xml:space="preserve">Regression Kink Design (RKD) as an Additional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F5F5" w:val="clear"/>
            <w:tcMar>
              <w:top w:type="dxa" w:w="60"/>
              <w:left w:type="dxa" w:w="200"/>
              <w:bottom w:type="dxa" w:w="60"/>
              <w:right w:type="dxa" w:w="140"/>
            </w:tcMar>
          </w:tcPr>
          <w:p>
            <w:pPr>
              <w:spacing w:before="40" w:after="60"/>
            </w:pPr>
            <w:r>
              <w:rPr>
                <w:rFonts w:ascii="Arial" w:cs="Arial" w:eastAsia="Arial" w:hAnsi="Arial"/>
                <w:b/>
                <w:bCs/>
                <w:color w:val="4A5568"/>
                <w:sz w:val="20"/>
                <w:szCs w:val="20"/>
              </w:rPr>
              <w:t xml:space="preserve">Source: </w:t>
            </w:r>
            <w:r>
              <w:rPr>
                <w:rFonts w:ascii="Arial" w:cs="Arial" w:eastAsia="Arial" w:hAnsi="Arial"/>
                <w:color w:val="1A1A2E"/>
                <w:sz w:val="20"/>
                <w:szCs w:val="20"/>
              </w:rPr>
              <w:t xml:space="preserve">Gemini</w:t>
            </w:r>
            <w:r>
              <w:rPr>
                <w:rFonts w:ascii="Arial" w:cs="Arial" w:eastAsia="Arial" w:hAnsi="Arial"/>
                <w:sz w:val="20"/>
                <w:szCs w:val="20"/>
              </w:rPr>
              <w:t xml:space="preserve">     </w:t>
            </w:r>
            <w:r>
              <w:rPr>
                <w:rFonts w:ascii="Arial" w:cs="Arial" w:eastAsia="Arial" w:hAnsi="Arial"/>
                <w:b/>
                <w:bCs/>
                <w:color w:val="C0392B"/>
                <w:sz w:val="20"/>
                <w:szCs w:val="20"/>
              </w:rPr>
              <w:t xml:space="preserve">⚠ UNNECESSARY COMPLEXITY</w:t>
            </w:r>
          </w:p>
          <w:p>
            <w:pPr>
              <w:spacing w:before="40" w:after="40" w:line="280"/>
              <w:ind w:left="200"/>
            </w:pPr>
            <w:r>
              <w:rPr>
                <w:rFonts w:ascii="Arial" w:cs="Arial" w:eastAsia="Arial" w:hAnsi="Arial"/>
                <w:color w:val="1A1A2E"/>
                <w:sz w:val="21"/>
                <w:szCs w:val="21"/>
              </w:rPr>
              <w:t xml:space="preserve">RKD requires a kink in the SLOPE of approval rates at the threshold, not just a level discontinuity. Given that your RDD already finds a level discontinuity, adding an RKD analysis that may or may not find a kink is confusing and unnecessary. It adds methodological complexity without addressing the core identification concern and may confuse referees about what your primary identification strategy is.</w:t>
            </w:r>
          </w:p>
        </w:tc>
      </w:tr>
    </w:tbl>
    <w:p>
      <w:pPr>
        <w:spacing w:before="0" w:after="80"/>
      </w:pPr>
      <w:r>
        <w:rPr>
          <w:rFonts w:ascii="Arial" w:cs="Arial" w:eastAsia="Arial" w:hAnsi="Arial"/>
          <w:b w:val="false"/>
          <w:bCs w:val="false"/>
          <w:i w:val="false"/>
          <w:iCs w:val="false"/>
          <w:color w:val="1A1A2E"/>
          <w:sz w:val="22"/>
          <w:szCs w:val="22"/>
        </w:rPr>
        <w:t xml:space="preserve"/>
      </w:r>
    </w:p>
    <w:p>
      <w:pPr>
        <w:spacing w:before="300" w:after="100"/>
      </w:pPr>
      <w:r>
        <w:rPr>
          <w:rFonts w:ascii="Arial" w:cs="Arial" w:eastAsia="Arial" w:hAnsi="Arial"/>
          <w:b/>
          <w:bCs/>
          <w:color w:val="C0392B"/>
          <w:sz w:val="24"/>
          <w:szCs w:val="24"/>
        </w:rPr>
        <w:t xml:space="preserve">D-6  </w:t>
      </w:r>
      <w:r>
        <w:rPr>
          <w:rFonts w:ascii="Arial" w:cs="Arial" w:eastAsia="Arial" w:hAnsi="Arial"/>
          <w:b/>
          <w:bCs/>
          <w:color w:val="1B3A6B"/>
          <w:sz w:val="24"/>
          <w:szCs w:val="24"/>
        </w:rPr>
        <w:t xml:space="preserve">Oster's Delta Sensitivity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F5F5" w:val="clear"/>
            <w:tcMar>
              <w:top w:type="dxa" w:w="60"/>
              <w:left w:type="dxa" w:w="200"/>
              <w:bottom w:type="dxa" w:w="60"/>
              <w:right w:type="dxa" w:w="140"/>
            </w:tcMar>
          </w:tcPr>
          <w:p>
            <w:pPr>
              <w:spacing w:before="40" w:after="60"/>
            </w:pPr>
            <w:r>
              <w:rPr>
                <w:rFonts w:ascii="Arial" w:cs="Arial" w:eastAsia="Arial" w:hAnsi="Arial"/>
                <w:b/>
                <w:bCs/>
                <w:color w:val="4A5568"/>
                <w:sz w:val="20"/>
                <w:szCs w:val="20"/>
              </w:rPr>
              <w:t xml:space="preserve">Source: </w:t>
            </w:r>
            <w:r>
              <w:rPr>
                <w:rFonts w:ascii="Arial" w:cs="Arial" w:eastAsia="Arial" w:hAnsi="Arial"/>
                <w:color w:val="1A1A2E"/>
                <w:sz w:val="20"/>
                <w:szCs w:val="20"/>
              </w:rPr>
              <w:t xml:space="preserve">AI-7 (generic web-search AI)</w:t>
            </w:r>
            <w:r>
              <w:rPr>
                <w:rFonts w:ascii="Arial" w:cs="Arial" w:eastAsia="Arial" w:hAnsi="Arial"/>
                <w:sz w:val="20"/>
                <w:szCs w:val="20"/>
              </w:rPr>
              <w:t xml:space="preserve">     </w:t>
            </w:r>
            <w:r>
              <w:rPr>
                <w:rFonts w:ascii="Arial" w:cs="Arial" w:eastAsia="Arial" w:hAnsi="Arial"/>
                <w:b/>
                <w:bCs/>
                <w:color w:val="C0392B"/>
                <w:sz w:val="20"/>
                <w:szCs w:val="20"/>
              </w:rPr>
              <w:t xml:space="preserve">⚠ WRONG TOOL FOR A QUASI-EXPERIMENTAL PAPER</w:t>
            </w:r>
          </w:p>
          <w:p>
            <w:pPr>
              <w:spacing w:before="40" w:after="40" w:line="280"/>
              <w:ind w:left="200"/>
            </w:pPr>
            <w:r>
              <w:rPr>
                <w:rFonts w:ascii="Arial" w:cs="Arial" w:eastAsia="Arial" w:hAnsi="Arial"/>
                <w:color w:val="1A1A2E"/>
                <w:sz w:val="21"/>
                <w:szCs w:val="21"/>
              </w:rPr>
              <w:t xml:space="preserve">Oster's delta is a standard tool for purely observational studies with no quasi-experimental variation. Using it alongside your RDD and DiD would signal a step down in methodological sophistication. A referee from JUE or JHE will see Oster's delta as appropriate for a paper with no design variation, and will interpret its presence here as an acknowledgment that you don't believe your own quasi-experimental identification. Avoid.</w:t>
            </w:r>
          </w:p>
        </w:tc>
      </w:tr>
    </w:tbl>
    <w:p>
      <w:pPr>
        <w:spacing w:before="0" w:after="80"/>
      </w:pPr>
      <w:r>
        <w:rPr>
          <w:rFonts w:ascii="Arial" w:cs="Arial" w:eastAsia="Arial" w:hAnsi="Arial"/>
          <w:b w:val="false"/>
          <w:bCs w:val="false"/>
          <w:i w:val="false"/>
          <w:iCs w:val="false"/>
          <w:color w:val="1A1A2E"/>
          <w:sz w:val="22"/>
          <w:szCs w:val="22"/>
        </w:rPr>
        <w:t xml:space="preserve"/>
      </w:r>
    </w:p>
    <w:p>
      <w:pPr>
        <w:spacing w:before="0" w:after="0"/>
      </w:pPr>
      <w:r>
        <w:br w:type="page"/>
      </w:r>
    </w:p>
    <w:p>
      <w:pPr>
        <w:pStyle w:val="Heading1"/>
        <w:pBdr>
          <w:bottom w:val="single" w:color="1B3A6B" w:sz="8" w:space="4"/>
        </w:pBdr>
        <w:spacing w:before="480" w:after="200"/>
        <w:outlineLvl w:val="0"/>
      </w:pPr>
      <w:r>
        <w:rPr>
          <w:rFonts w:ascii="Arial" w:cs="Arial" w:eastAsia="Arial" w:hAnsi="Arial"/>
          <w:b/>
          <w:bCs/>
          <w:color w:val="1B3A6B"/>
          <w:sz w:val="36"/>
          <w:szCs w:val="36"/>
        </w:rPr>
        <w:t xml:space="preserve">PART 4 — THE MASTER REVISION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40" w:after="40" w:line="276"/>
            </w:pPr>
            <w:r>
              <w:rPr>
                <w:rFonts w:ascii="Arial" w:cs="Arial" w:eastAsia="Arial" w:hAnsi="Arial"/>
                <w:color w:val="FFFFFF"/>
                <w:sz w:val="22"/>
                <w:szCs w:val="22"/>
              </w:rPr>
              <w:t xml:space="preserve">STRATEGIC DECISION — Read This First</w:t>
            </w:r>
          </w:p>
        </w:tc>
      </w:tr>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40" w:after="40" w:line="276"/>
            </w:pPr>
            <w:r>
              <w:rPr>
                <w:rFonts w:ascii="Arial" w:cs="Arial" w:eastAsia="Arial" w:hAnsi="Arial"/>
                <w:color w:val="FFFFFF"/>
                <w:sz w:val="22"/>
                <w:szCs w:val="22"/>
              </w:rPr>
              <w:t xml:space="preserve"/>
            </w:r>
          </w:p>
        </w:tc>
      </w:tr>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40" w:after="40" w:line="276"/>
            </w:pPr>
            <w:r>
              <w:rPr>
                <w:rFonts w:ascii="Arial" w:cs="Arial" w:eastAsia="Arial" w:hAnsi="Arial"/>
                <w:color w:val="FFFFFF"/>
                <w:sz w:val="22"/>
                <w:szCs w:val="22"/>
              </w:rPr>
              <w:t xml:space="preserve">The paper is currently trying to do two incompatible things simultaneously:</w:t>
            </w:r>
          </w:p>
        </w:tc>
      </w:tr>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40" w:after="40" w:line="276"/>
            </w:pPr>
            <w:r>
              <w:rPr>
                <w:rFonts w:ascii="Arial" w:cs="Arial" w:eastAsia="Arial" w:hAnsi="Arial"/>
                <w:color w:val="FFFFFF"/>
                <w:sz w:val="22"/>
                <w:szCs w:val="22"/>
              </w:rPr>
              <w:t xml:space="preserve">  (1) Defend a 14.95 pp level gap that requires confidential data to credibly attribute to discrimination</w:t>
            </w:r>
          </w:p>
        </w:tc>
      </w:tr>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40" w:after="40" w:line="276"/>
            </w:pPr>
            <w:r>
              <w:rPr>
                <w:rFonts w:ascii="Arial" w:cs="Arial" w:eastAsia="Arial" w:hAnsi="Arial"/>
                <w:color w:val="FFFFFF"/>
                <w:sz w:val="22"/>
                <w:szCs w:val="22"/>
              </w:rPr>
              <w:t xml:space="preserve">  (2) Identify specific institutional mechanisms through quasi-experimental designs</w:t>
            </w:r>
          </w:p>
        </w:tc>
      </w:tr>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40" w:after="40" w:line="276"/>
            </w:pPr>
            <w:r>
              <w:rPr>
                <w:rFonts w:ascii="Arial" w:cs="Arial" w:eastAsia="Arial" w:hAnsi="Arial"/>
                <w:color w:val="FFFFFF"/>
                <w:sz w:val="22"/>
                <w:szCs w:val="22"/>
              </w:rPr>
              <w:t xml:space="preserve"/>
            </w:r>
          </w:p>
        </w:tc>
      </w:tr>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40" w:after="40" w:line="276"/>
            </w:pPr>
            <w:r>
              <w:rPr>
                <w:rFonts w:ascii="Arial" w:cs="Arial" w:eastAsia="Arial" w:hAnsi="Arial"/>
                <w:color w:val="FFFFFF"/>
                <w:sz w:val="22"/>
                <w:szCs w:val="22"/>
              </w:rPr>
              <w:t xml:space="preserve">These two goals CONFLICT because Goal 1 invites the Bhutta et al. comparison, which makes Goal 2 look like a consolation prize.</w:t>
            </w:r>
          </w:p>
        </w:tc>
      </w:tr>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40" w:after="40" w:line="276"/>
            </w:pPr>
            <w:r>
              <w:rPr>
                <w:rFonts w:ascii="Arial" w:cs="Arial" w:eastAsia="Arial" w:hAnsi="Arial"/>
                <w:color w:val="FFFFFF"/>
                <w:sz w:val="22"/>
                <w:szCs w:val="22"/>
              </w:rPr>
              <w:t xml:space="preserve"/>
            </w:r>
          </w:p>
        </w:tc>
      </w:tr>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40" w:after="40" w:line="276"/>
            </w:pPr>
            <w:r>
              <w:rPr>
                <w:rFonts w:ascii="Arial" w:cs="Arial" w:eastAsia="Arial" w:hAnsi="Arial"/>
                <w:color w:val="FFFFFF"/>
                <w:sz w:val="22"/>
                <w:szCs w:val="22"/>
              </w:rPr>
              <w:t xml:space="preserve">THE SOLUTION: Make Goal 2 the entire paper. Make Goal 1 a motivation sentence.</w:t>
            </w:r>
          </w:p>
        </w:tc>
      </w:tr>
    </w:tbl>
    <w:p>
      <w:pPr>
        <w:spacing w:before="0" w:after="200"/>
      </w:pPr>
      <w:r>
        <w:rPr>
          <w:rFonts w:ascii="Arial" w:cs="Arial" w:eastAsia="Arial" w:hAnsi="Arial"/>
          <w:b w:val="false"/>
          <w:bCs w:val="false"/>
          <w:i w:val="false"/>
          <w:iCs w:val="false"/>
          <w:color w:val="1A1A2E"/>
          <w:sz w:val="22"/>
          <w:szCs w:val="22"/>
        </w:rPr>
        <w:t xml:space="preserve"/>
      </w:r>
    </w:p>
    <w:p>
      <w:pPr>
        <w:pStyle w:val="Heading2"/>
        <w:spacing w:before="360" w:after="160"/>
        <w:outlineLvl w:val="1"/>
      </w:pPr>
      <w:r>
        <w:rPr>
          <w:rFonts w:ascii="Arial" w:cs="Arial" w:eastAsia="Arial" w:hAnsi="Arial"/>
          <w:b/>
          <w:bCs/>
          <w:color w:val="C0392B"/>
          <w:sz w:val="28"/>
          <w:szCs w:val="28"/>
        </w:rPr>
        <w:t xml:space="preserve">TIER 1 — CRITICAL ACTIONS (Must Do Before Any Resubmission)</w:t>
      </w:r>
    </w:p>
    <w:p>
      <w:pPr>
        <w:spacing w:before="0" w:after="100" w:line="276"/>
        <w:jc w:val="left"/>
      </w:pPr>
      <w:r>
        <w:rPr>
          <w:rFonts w:ascii="Arial" w:cs="Arial" w:eastAsia="Arial" w:hAnsi="Arial"/>
          <w:b/>
          <w:bCs/>
          <w:i w:val="false"/>
          <w:iCs w:val="false"/>
          <w:color w:val="C0392B"/>
          <w:sz w:val="22"/>
          <w:szCs w:val="22"/>
        </w:rPr>
        <w:t xml:space="preserve">Complete ALL of these before submitting anywhere. Without these, expect rejection.</w:t>
      </w:r>
    </w:p>
    <w:p>
      <w:pPr>
        <w:spacing w:before="0" w:after="100"/>
      </w:pPr>
      <w:r>
        <w:rPr>
          <w:rFonts w:ascii="Arial" w:cs="Arial" w:eastAsia="Arial" w:hAnsi="Arial"/>
          <w:b w:val="false"/>
          <w:bCs w:val="false"/>
          <w:i w:val="false"/>
          <w:iCs w:val="false"/>
          <w:color w:val="1A1A2E"/>
          <w:sz w:val="22"/>
          <w:szCs w:val="22"/>
        </w:rPr>
        <w:t xml:space="preserve"/>
      </w:r>
    </w:p>
    <w:p>
      <w:pPr>
        <w:spacing w:before="300" w:after="100"/>
      </w:pPr>
      <w:r>
        <w:rPr>
          <w:rFonts w:ascii="Arial" w:cs="Arial" w:eastAsia="Arial" w:hAnsi="Arial"/>
          <w:b/>
          <w:bCs/>
          <w:color w:val="C0392B"/>
          <w:sz w:val="26"/>
          <w:szCs w:val="26"/>
        </w:rPr>
        <w:t xml:space="preserve">T1-A1  </w:t>
      </w:r>
      <w:r>
        <w:rPr>
          <w:rFonts w:ascii="Arial" w:cs="Arial" w:eastAsia="Arial" w:hAnsi="Arial"/>
          <w:b/>
          <w:bCs/>
          <w:color w:val="1B3A6B"/>
          <w:sz w:val="26"/>
          <w:szCs w:val="26"/>
        </w:rPr>
        <w:t xml:space="preserve">Check HMDA Expanded Data for DTI Availability — IMMEDIATELY</w:t>
      </w:r>
    </w:p>
    <w:p>
      <w:pPr>
        <w:spacing w:before="0" w:after="80"/>
      </w:pPr>
      <w:r>
        <w:rPr>
          <w:rFonts w:ascii="Arial" w:cs="Arial" w:eastAsia="Arial" w:hAnsi="Arial"/>
          <w:b/>
          <w:bCs/>
          <w:color w:val="4A5568"/>
          <w:sz w:val="20"/>
          <w:szCs w:val="20"/>
        </w:rPr>
        <w:t xml:space="preserve">Time Required: </w:t>
      </w:r>
      <w:r>
        <w:rPr>
          <w:rFonts w:ascii="Arial" w:cs="Arial" w:eastAsia="Arial" w:hAnsi="Arial"/>
          <w:color w:val="1A1A2E"/>
          <w:sz w:val="20"/>
          <w:szCs w:val="20"/>
        </w:rPr>
        <w:t xml:space="preserve">1-3 days</w:t>
      </w:r>
      <w:r>
        <w:rPr>
          <w:rFonts w:ascii="Arial" w:cs="Arial" w:eastAsia="Arial" w:hAnsi="Arial"/>
          <w:b/>
          <w:bCs/>
          <w:color w:val="4A5568"/>
          <w:sz w:val="20"/>
          <w:szCs w:val="20"/>
        </w:rPr>
        <w:t xml:space="preserve">     Consensus: </w:t>
      </w:r>
      <w:r>
        <w:rPr>
          <w:rFonts w:ascii="Arial" w:cs="Arial" w:eastAsia="Arial" w:hAnsi="Arial"/>
          <w:color w:val="1A1A2E"/>
          <w:sz w:val="20"/>
          <w:szCs w:val="20"/>
        </w:rPr>
        <w:t xml:space="preserve">Gemini unique insight + consensus support</w:t>
      </w:r>
    </w:p>
    <w:p>
      <w:pPr>
        <w:spacing w:before="60" w:after="60" w:line="280"/>
        <w:ind w:left="360"/>
      </w:pPr>
      <w:r>
        <w:rPr>
          <w:rFonts w:ascii="Arial" w:cs="Arial" w:eastAsia="Arial" w:hAnsi="Arial"/>
          <w:color w:val="1A1A2E"/>
          <w:sz w:val="21"/>
          <w:szCs w:val="21"/>
        </w:rPr>
        <w:t xml:space="preserve">1.  Open your raw HMDA CSV files for any year 2018-2024.</w:t>
      </w:r>
    </w:p>
    <w:p>
      <w:pPr>
        <w:spacing w:before="60" w:after="60" w:line="280"/>
        <w:ind w:left="360"/>
      </w:pPr>
      <w:r>
        <w:rPr>
          <w:rFonts w:ascii="Arial" w:cs="Arial" w:eastAsia="Arial" w:hAnsi="Arial"/>
          <w:color w:val="1A1A2E"/>
          <w:sz w:val="21"/>
          <w:szCs w:val="21"/>
        </w:rPr>
        <w:t xml:space="preserve">2.  Search for the column 'debt_to_income_ratio' (this field was added in the 2018 HMDA rule expansion).</w:t>
      </w:r>
    </w:p>
    <w:p>
      <w:pPr>
        <w:spacing w:before="60" w:after="60" w:line="280"/>
        <w:ind w:left="360"/>
      </w:pPr>
      <w:r>
        <w:rPr>
          <w:rFonts w:ascii="Arial" w:cs="Arial" w:eastAsia="Arial" w:hAnsi="Arial"/>
          <w:color w:val="1A1A2E"/>
          <w:sz w:val="21"/>
          <w:szCs w:val="21"/>
        </w:rPr>
        <w:t xml:space="preserve">3.  If the field exists: Add it as a control in your DFL propensity score estimation, your within-lender FE specification, and your event study. Report in Table 3A with a new 'DTI included' row.</w:t>
      </w:r>
    </w:p>
    <w:p>
      <w:pPr>
        <w:spacing w:before="60" w:after="60" w:line="280"/>
        <w:ind w:left="360"/>
      </w:pPr>
      <w:r>
        <w:rPr>
          <w:rFonts w:ascii="Arial" w:cs="Arial" w:eastAsia="Arial" w:hAnsi="Arial"/>
          <w:color w:val="1A1A2E"/>
          <w:sz w:val="21"/>
          <w:szCs w:val="21"/>
        </w:rPr>
        <w:t xml:space="preserve">4.  Expected result: Unexplained fraction may fall by 3-8 pp. Report this honestly. Either direction strengthens the paper.</w:t>
      </w:r>
    </w:p>
    <w:p>
      <w:pPr>
        <w:spacing w:before="60" w:after="60" w:line="280"/>
        <w:ind w:left="360"/>
      </w:pPr>
      <w:r>
        <w:rPr>
          <w:rFonts w:ascii="Arial" w:cs="Arial" w:eastAsia="Arial" w:hAnsi="Arial"/>
          <w:color w:val="1A1A2E"/>
          <w:sz w:val="21"/>
          <w:szCs w:val="21"/>
        </w:rPr>
        <w:t xml:space="preserve">5.  If DTI is categorical/range data: Create dummy variables for each DTI range bracket and include them in all specifications.</w:t>
      </w:r>
    </w:p>
    <w:p>
      <w:pPr>
        <w:spacing w:before="60" w:after="60" w:line="280"/>
        <w:ind w:left="360"/>
      </w:pPr>
      <w:r>
        <w:rPr>
          <w:rFonts w:ascii="Arial" w:cs="Arial" w:eastAsia="Arial" w:hAnsi="Arial"/>
          <w:color w:val="1A1A2E"/>
          <w:sz w:val="21"/>
          <w:szCs w:val="21"/>
        </w:rPr>
        <w:t xml:space="preserve">6.  This single check could eliminate the most common criticism across all 8 reviews.</w:t>
      </w:r>
    </w:p>
    <w:p>
      <w:pPr>
        <w:spacing w:before="0" w:after="120"/>
      </w:pPr>
      <w:r>
        <w:rPr>
          <w:rFonts w:ascii="Arial" w:cs="Arial" w:eastAsia="Arial" w:hAnsi="Arial"/>
          <w:b w:val="false"/>
          <w:bCs w:val="false"/>
          <w:i w:val="false"/>
          <w:iCs w:val="false"/>
          <w:color w:val="1A1A2E"/>
          <w:sz w:val="22"/>
          <w:szCs w:val="22"/>
        </w:rPr>
        <w:t xml:space="preserve"/>
      </w:r>
    </w:p>
    <w:p>
      <w:pPr>
        <w:spacing w:before="300" w:after="100"/>
      </w:pPr>
      <w:r>
        <w:rPr>
          <w:rFonts w:ascii="Arial" w:cs="Arial" w:eastAsia="Arial" w:hAnsi="Arial"/>
          <w:b/>
          <w:bCs/>
          <w:color w:val="C0392B"/>
          <w:sz w:val="26"/>
          <w:szCs w:val="26"/>
        </w:rPr>
        <w:t xml:space="preserve">T1-A2  </w:t>
      </w:r>
      <w:r>
        <w:rPr>
          <w:rFonts w:ascii="Arial" w:cs="Arial" w:eastAsia="Arial" w:hAnsi="Arial"/>
          <w:b/>
          <w:bCs/>
          <w:color w:val="1B3A6B"/>
          <w:sz w:val="26"/>
          <w:szCs w:val="26"/>
        </w:rPr>
        <w:t xml:space="preserve">Fix the Anonymization Break — URGENT</w:t>
      </w:r>
    </w:p>
    <w:p>
      <w:pPr>
        <w:spacing w:before="0" w:after="80"/>
      </w:pPr>
      <w:r>
        <w:rPr>
          <w:rFonts w:ascii="Arial" w:cs="Arial" w:eastAsia="Arial" w:hAnsi="Arial"/>
          <w:b/>
          <w:bCs/>
          <w:color w:val="4A5568"/>
          <w:sz w:val="20"/>
          <w:szCs w:val="20"/>
        </w:rPr>
        <w:t xml:space="preserve">Time Required: </w:t>
      </w:r>
      <w:r>
        <w:rPr>
          <w:rFonts w:ascii="Arial" w:cs="Arial" w:eastAsia="Arial" w:hAnsi="Arial"/>
          <w:color w:val="1A1A2E"/>
          <w:sz w:val="20"/>
          <w:szCs w:val="20"/>
        </w:rPr>
        <w:t xml:space="preserve">2 hours</w:t>
      </w:r>
      <w:r>
        <w:rPr>
          <w:rFonts w:ascii="Arial" w:cs="Arial" w:eastAsia="Arial" w:hAnsi="Arial"/>
          <w:b/>
          <w:bCs/>
          <w:color w:val="4A5568"/>
          <w:sz w:val="20"/>
          <w:szCs w:val="20"/>
        </w:rPr>
        <w:t xml:space="preserve">     Consensus: </w:t>
      </w:r>
      <w:r>
        <w:rPr>
          <w:rFonts w:ascii="Arial" w:cs="Arial" w:eastAsia="Arial" w:hAnsi="Arial"/>
          <w:color w:val="1A1A2E"/>
          <w:sz w:val="20"/>
          <w:szCs w:val="20"/>
        </w:rPr>
        <w:t xml:space="preserve">Claude review only — but critical</w:t>
      </w:r>
    </w:p>
    <w:p>
      <w:pPr>
        <w:spacing w:before="60" w:after="60" w:line="280"/>
        <w:ind w:left="360"/>
      </w:pPr>
      <w:r>
        <w:rPr>
          <w:rFonts w:ascii="Arial" w:cs="Arial" w:eastAsia="Arial" w:hAnsi="Arial"/>
          <w:color w:val="1A1A2E"/>
          <w:sz w:val="21"/>
          <w:szCs w:val="21"/>
        </w:rPr>
        <w:t xml:space="preserve">1.  PROBLEM: Data Availability section contains 'https://github.com/Rajveer-code/hmda-racial-disparities' — this identifies you in a blind review.</w:t>
      </w:r>
    </w:p>
    <w:p>
      <w:pPr>
        <w:spacing w:before="60" w:after="60" w:line="280"/>
        <w:ind w:left="360"/>
      </w:pPr>
      <w:r>
        <w:rPr>
          <w:rFonts w:ascii="Arial" w:cs="Arial" w:eastAsia="Arial" w:hAnsi="Arial"/>
          <w:color w:val="1A1A2E"/>
          <w:sz w:val="21"/>
          <w:szCs w:val="21"/>
        </w:rPr>
        <w:t xml:space="preserve">2.  Create an anonymous repository at anonymous.4open.science (free service for anonymous peer review code sharing).</w:t>
      </w:r>
    </w:p>
    <w:p>
      <w:pPr>
        <w:spacing w:before="60" w:after="60" w:line="280"/>
        <w:ind w:left="360"/>
      </w:pPr>
      <w:r>
        <w:rPr>
          <w:rFonts w:ascii="Arial" w:cs="Arial" w:eastAsia="Arial" w:hAnsi="Arial"/>
          <w:color w:val="1A1A2E"/>
          <w:sz w:val="21"/>
          <w:szCs w:val="21"/>
        </w:rPr>
        <w:t xml:space="preserve">3.  OR create a new GitHub account with zero identifying information.</w:t>
      </w:r>
    </w:p>
    <w:p>
      <w:pPr>
        <w:spacing w:before="60" w:after="60" w:line="280"/>
        <w:ind w:left="360"/>
      </w:pPr>
      <w:r>
        <w:rPr>
          <w:rFonts w:ascii="Arial" w:cs="Arial" w:eastAsia="Arial" w:hAnsi="Arial"/>
          <w:color w:val="1A1A2E"/>
          <w:sz w:val="21"/>
          <w:szCs w:val="21"/>
        </w:rPr>
        <w:t xml:space="preserve">4.  Replace the URL in the manuscript with the anonymous link.</w:t>
      </w:r>
    </w:p>
    <w:p>
      <w:pPr>
        <w:spacing w:before="60" w:after="60" w:line="280"/>
        <w:ind w:left="360"/>
      </w:pPr>
      <w:r>
        <w:rPr>
          <w:rFonts w:ascii="Arial" w:cs="Arial" w:eastAsia="Arial" w:hAnsi="Arial"/>
          <w:color w:val="1A1A2E"/>
          <w:sz w:val="21"/>
          <w:szCs w:val="21"/>
        </w:rPr>
        <w:t xml:space="preserve">5.  Also: Right-click your DOCX file, check Properties &gt; Details, and remove any author name from document metadata.</w:t>
      </w:r>
    </w:p>
    <w:p>
      <w:pPr>
        <w:spacing w:before="60" w:after="60" w:line="280"/>
        <w:ind w:left="360"/>
      </w:pPr>
      <w:r>
        <w:rPr>
          <w:rFonts w:ascii="Arial" w:cs="Arial" w:eastAsia="Arial" w:hAnsi="Arial"/>
          <w:color w:val="1A1A2E"/>
          <w:sz w:val="21"/>
          <w:szCs w:val="21"/>
        </w:rPr>
        <w:t xml:space="preserve">6.  Check all figure files embedded in the DOCX for identifying filenames or metadata.</w:t>
      </w:r>
    </w:p>
    <w:p>
      <w:pPr>
        <w:spacing w:before="0" w:after="120"/>
      </w:pPr>
      <w:r>
        <w:rPr>
          <w:rFonts w:ascii="Arial" w:cs="Arial" w:eastAsia="Arial" w:hAnsi="Arial"/>
          <w:b w:val="false"/>
          <w:bCs w:val="false"/>
          <w:i w:val="false"/>
          <w:iCs w:val="false"/>
          <w:color w:val="1A1A2E"/>
          <w:sz w:val="22"/>
          <w:szCs w:val="22"/>
        </w:rPr>
        <w:t xml:space="preserve"/>
      </w:r>
    </w:p>
    <w:p>
      <w:pPr>
        <w:spacing w:before="300" w:after="100"/>
      </w:pPr>
      <w:r>
        <w:rPr>
          <w:rFonts w:ascii="Arial" w:cs="Arial" w:eastAsia="Arial" w:hAnsi="Arial"/>
          <w:b/>
          <w:bCs/>
          <w:color w:val="C0392B"/>
          <w:sz w:val="26"/>
          <w:szCs w:val="26"/>
        </w:rPr>
        <w:t xml:space="preserve">T1-A3  </w:t>
      </w:r>
      <w:r>
        <w:rPr>
          <w:rFonts w:ascii="Arial" w:cs="Arial" w:eastAsia="Arial" w:hAnsi="Arial"/>
          <w:b/>
          <w:bCs/>
          <w:color w:val="1B3A6B"/>
          <w:sz w:val="26"/>
          <w:szCs w:val="26"/>
        </w:rPr>
        <w:t xml:space="preserve">Add DTI Partial Identification Bounds</w:t>
      </w:r>
    </w:p>
    <w:p>
      <w:pPr>
        <w:spacing w:before="0" w:after="80"/>
      </w:pPr>
      <w:r>
        <w:rPr>
          <w:rFonts w:ascii="Arial" w:cs="Arial" w:eastAsia="Arial" w:hAnsi="Arial"/>
          <w:b/>
          <w:bCs/>
          <w:color w:val="4A5568"/>
          <w:sz w:val="20"/>
          <w:szCs w:val="20"/>
        </w:rPr>
        <w:t xml:space="preserve">Time Required: </w:t>
      </w:r>
      <w:r>
        <w:rPr>
          <w:rFonts w:ascii="Arial" w:cs="Arial" w:eastAsia="Arial" w:hAnsi="Arial"/>
          <w:color w:val="1A1A2E"/>
          <w:sz w:val="20"/>
          <w:szCs w:val="20"/>
        </w:rPr>
        <w:t xml:space="preserve">1-2 weeks</w:t>
      </w:r>
      <w:r>
        <w:rPr>
          <w:rFonts w:ascii="Arial" w:cs="Arial" w:eastAsia="Arial" w:hAnsi="Arial"/>
          <w:b/>
          <w:bCs/>
          <w:color w:val="4A5568"/>
          <w:sz w:val="20"/>
          <w:szCs w:val="20"/>
        </w:rPr>
        <w:t xml:space="preserve">     Consensus: </w:t>
      </w:r>
      <w:r>
        <w:rPr>
          <w:rFonts w:ascii="Arial" w:cs="Arial" w:eastAsia="Arial" w:hAnsi="Arial"/>
          <w:color w:val="1A1A2E"/>
          <w:sz w:val="20"/>
          <w:szCs w:val="20"/>
        </w:rPr>
        <w:t xml:space="preserve">7 of 8 sources</w:t>
      </w:r>
    </w:p>
    <w:p>
      <w:pPr>
        <w:spacing w:before="60" w:after="60" w:line="280"/>
        <w:ind w:left="360"/>
      </w:pPr>
      <w:r>
        <w:rPr>
          <w:rFonts w:ascii="Arial" w:cs="Arial" w:eastAsia="Arial" w:hAnsi="Arial"/>
          <w:color w:val="1A1A2E"/>
          <w:sz w:val="21"/>
          <w:szCs w:val="21"/>
        </w:rPr>
        <w:t xml:space="preserve">1.  Use the Survey of Consumer Finances (SCF) to estimate the Black-White conditional DTI gap controlling for income quintile and LTV quintile.</w:t>
      </w:r>
    </w:p>
    <w:p>
      <w:pPr>
        <w:spacing w:before="60" w:after="60" w:line="280"/>
        <w:ind w:left="360"/>
      </w:pPr>
      <w:r>
        <w:rPr>
          <w:rFonts w:ascii="Arial" w:cs="Arial" w:eastAsia="Arial" w:hAnsi="Arial"/>
          <w:color w:val="1A1A2E"/>
          <w:sz w:val="21"/>
          <w:szCs w:val="21"/>
        </w:rPr>
        <w:t xml:space="preserve">2.  Use Fannie Mae / Freddie Mac published DTI eligibility cutoffs (45% standard, 50% with compensating factors) to estimate a DTI-to-denial elasticity.</w:t>
      </w:r>
    </w:p>
    <w:p>
      <w:pPr>
        <w:spacing w:before="60" w:after="60" w:line="280"/>
        <w:ind w:left="360"/>
      </w:pPr>
      <w:r>
        <w:rPr>
          <w:rFonts w:ascii="Arial" w:cs="Arial" w:eastAsia="Arial" w:hAnsi="Arial"/>
          <w:color w:val="1A1A2E"/>
          <w:sz w:val="21"/>
          <w:szCs w:val="21"/>
        </w:rPr>
        <w:t xml:space="preserve">3.  Construct MaxDTIEffect = (conditional DTI gap in SCF) x (DTI-to-denial elasticity from GSE tables).</w:t>
      </w:r>
    </w:p>
    <w:p>
      <w:pPr>
        <w:spacing w:before="60" w:after="60" w:line="280"/>
        <w:ind w:left="360"/>
      </w:pPr>
      <w:r>
        <w:rPr>
          <w:rFonts w:ascii="Arial" w:cs="Arial" w:eastAsia="Arial" w:hAnsi="Arial"/>
          <w:color w:val="1A1A2E"/>
          <w:sz w:val="21"/>
          <w:szCs w:val="21"/>
        </w:rPr>
        <w:t xml:space="preserve">4.  Add a joint FICO+DTI Manski bound table alongside your existing Table 6.</w:t>
      </w:r>
    </w:p>
    <w:p>
      <w:pPr>
        <w:spacing w:before="60" w:after="60" w:line="280"/>
        <w:ind w:left="360"/>
      </w:pPr>
      <w:r>
        <w:rPr>
          <w:rFonts w:ascii="Arial" w:cs="Arial" w:eastAsia="Arial" w:hAnsi="Arial"/>
          <w:color w:val="1A1A2E"/>
          <w:sz w:val="21"/>
          <w:szCs w:val="21"/>
        </w:rPr>
        <w:t xml:space="preserve">5.  If the joint bound still leaves 55-65% unexplained, that is publishable and significantly more credible than FICO bounds alone.</w:t>
      </w:r>
    </w:p>
    <w:p>
      <w:pPr>
        <w:spacing w:before="60" w:after="60" w:line="280"/>
        <w:ind w:left="360"/>
      </w:pPr>
      <w:r>
        <w:rPr>
          <w:rFonts w:ascii="Arial" w:cs="Arial" w:eastAsia="Arial" w:hAnsi="Arial"/>
          <w:color w:val="1A1A2E"/>
          <w:sz w:val="21"/>
          <w:szCs w:val="21"/>
        </w:rPr>
        <w:t xml:space="preserve">6.  Label this clearly: 'Joint partial identification bounds for unobserved FICO and DTI effects.'</w:t>
      </w:r>
    </w:p>
    <w:p>
      <w:pPr>
        <w:spacing w:before="0" w:after="120"/>
      </w:pPr>
      <w:r>
        <w:rPr>
          <w:rFonts w:ascii="Arial" w:cs="Arial" w:eastAsia="Arial" w:hAnsi="Arial"/>
          <w:b w:val="false"/>
          <w:bCs w:val="false"/>
          <w:i w:val="false"/>
          <w:iCs w:val="false"/>
          <w:color w:val="1A1A2E"/>
          <w:sz w:val="22"/>
          <w:szCs w:val="22"/>
        </w:rPr>
        <w:t xml:space="preserve"/>
      </w:r>
    </w:p>
    <w:p>
      <w:pPr>
        <w:spacing w:before="300" w:after="100"/>
      </w:pPr>
      <w:r>
        <w:rPr>
          <w:rFonts w:ascii="Arial" w:cs="Arial" w:eastAsia="Arial" w:hAnsi="Arial"/>
          <w:b/>
          <w:bCs/>
          <w:color w:val="C0392B"/>
          <w:sz w:val="26"/>
          <w:szCs w:val="26"/>
        </w:rPr>
        <w:t xml:space="preserve">T1-A4  </w:t>
      </w:r>
      <w:r>
        <w:rPr>
          <w:rFonts w:ascii="Arial" w:cs="Arial" w:eastAsia="Arial" w:hAnsi="Arial"/>
          <w:b/>
          <w:bCs/>
          <w:color w:val="1B3A6B"/>
          <w:sz w:val="26"/>
          <w:szCs w:val="26"/>
        </w:rPr>
        <w:t xml:space="preserve">Build the Triple-DDD as the Paper’s Centerpiece</w:t>
      </w:r>
    </w:p>
    <w:p>
      <w:pPr>
        <w:spacing w:before="0" w:after="80"/>
      </w:pPr>
      <w:r>
        <w:rPr>
          <w:rFonts w:ascii="Arial" w:cs="Arial" w:eastAsia="Arial" w:hAnsi="Arial"/>
          <w:b/>
          <w:bCs/>
          <w:color w:val="4A5568"/>
          <w:sz w:val="20"/>
          <w:szCs w:val="20"/>
        </w:rPr>
        <w:t xml:space="preserve">Time Required: </w:t>
      </w:r>
      <w:r>
        <w:rPr>
          <w:rFonts w:ascii="Arial" w:cs="Arial" w:eastAsia="Arial" w:hAnsi="Arial"/>
          <w:color w:val="1A1A2E"/>
          <w:sz w:val="20"/>
          <w:szCs w:val="20"/>
        </w:rPr>
        <w:t xml:space="preserve">3-5 days</w:t>
      </w:r>
      <w:r>
        <w:rPr>
          <w:rFonts w:ascii="Arial" w:cs="Arial" w:eastAsia="Arial" w:hAnsi="Arial"/>
          <w:b/>
          <w:bCs/>
          <w:color w:val="4A5568"/>
          <w:sz w:val="20"/>
          <w:szCs w:val="20"/>
        </w:rPr>
        <w:t xml:space="preserve">     Consensus: </w:t>
      </w:r>
      <w:r>
        <w:rPr>
          <w:rFonts w:ascii="Arial" w:cs="Arial" w:eastAsia="Arial" w:hAnsi="Arial"/>
          <w:color w:val="1A1A2E"/>
          <w:sz w:val="20"/>
          <w:szCs w:val="20"/>
        </w:rPr>
        <w:t xml:space="preserve">AI-5 unique insight — critical for structure</w:t>
      </w:r>
    </w:p>
    <w:p>
      <w:pPr>
        <w:spacing w:before="60" w:after="60" w:line="280"/>
        <w:ind w:left="360"/>
      </w:pPr>
      <w:r>
        <w:rPr>
          <w:rFonts w:ascii="Arial" w:cs="Arial" w:eastAsia="Arial" w:hAnsi="Arial"/>
          <w:color w:val="1A1A2E"/>
          <w:sz w:val="21"/>
          <w:szCs w:val="21"/>
        </w:rPr>
        <w:t xml:space="preserve">1.  You already have Table 9 with the triple-difference. The changes needed are structural, not computational.</w:t>
      </w:r>
    </w:p>
    <w:p>
      <w:pPr>
        <w:spacing w:before="60" w:after="60" w:line="280"/>
        <w:ind w:left="360"/>
      </w:pPr>
      <w:r>
        <w:rPr>
          <w:rFonts w:ascii="Arial" w:cs="Arial" w:eastAsia="Arial" w:hAnsi="Arial"/>
          <w:color w:val="1A1A2E"/>
          <w:sz w:val="21"/>
          <w:szCs w:val="21"/>
        </w:rPr>
        <w:t xml:space="preserve">2.  Move Triple-DDD to Section 4 (Empirical Strategy) as the PRIMARY identification approach.</w:t>
      </w:r>
    </w:p>
    <w:p>
      <w:pPr>
        <w:spacing w:before="60" w:after="60" w:line="280"/>
        <w:ind w:left="360"/>
      </w:pPr>
      <w:r>
        <w:rPr>
          <w:rFonts w:ascii="Arial" w:cs="Arial" w:eastAsia="Arial" w:hAnsi="Arial"/>
          <w:color w:val="1A1A2E"/>
          <w:sz w:val="21"/>
          <w:szCs w:val="21"/>
        </w:rPr>
        <w:t xml:space="preserve">3.  In the Introduction, lead with the Triple-DDD coefficient and its interpretation — not the 14.95 pp gap.</w:t>
      </w:r>
    </w:p>
    <w:p>
      <w:pPr>
        <w:spacing w:before="60" w:after="60" w:line="280"/>
        <w:ind w:left="360"/>
      </w:pPr>
      <w:r>
        <w:rPr>
          <w:rFonts w:ascii="Arial" w:cs="Arial" w:eastAsia="Arial" w:hAnsi="Arial"/>
          <w:color w:val="1A1A2E"/>
          <w:sz w:val="21"/>
          <w:szCs w:val="21"/>
        </w:rPr>
        <w:t xml:space="preserve">4.  Add a refinance-sample falsification: run the same Triple-DDD for refinance loans. The three-way interaction should be near zero, confirming the PMI mechanism.</w:t>
      </w:r>
    </w:p>
    <w:p>
      <w:pPr>
        <w:spacing w:before="60" w:after="60" w:line="280"/>
        <w:ind w:left="360"/>
      </w:pPr>
      <w:r>
        <w:rPr>
          <w:rFonts w:ascii="Arial" w:cs="Arial" w:eastAsia="Arial" w:hAnsi="Arial"/>
          <w:color w:val="1A1A2E"/>
          <w:sz w:val="21"/>
          <w:szCs w:val="21"/>
        </w:rPr>
        <w:t xml:space="preserve">5.  Add an explicit paragraph: 'A single unobservable confounder would need to simultaneously vary with race, with the 80% LTV boundary, AND with the 2022 monetary regime shift — requirements that no plausible single variable satisfies.'</w:t>
      </w:r>
    </w:p>
    <w:p>
      <w:pPr>
        <w:spacing w:before="60" w:after="60" w:line="280"/>
        <w:ind w:left="360"/>
      </w:pPr>
      <w:r>
        <w:rPr>
          <w:rFonts w:ascii="Arial" w:cs="Arial" w:eastAsia="Arial" w:hAnsi="Arial"/>
          <w:color w:val="1A1A2E"/>
          <w:sz w:val="21"/>
          <w:szCs w:val="21"/>
        </w:rPr>
        <w:t xml:space="preserve">6.  Demote the individual DFL, fixed-effects, RDD, and DiD designs to 'component analyses' supporting the Triple-DDD.</w:t>
      </w:r>
    </w:p>
    <w:p>
      <w:pPr>
        <w:spacing w:before="0" w:after="120"/>
      </w:pPr>
      <w:r>
        <w:rPr>
          <w:rFonts w:ascii="Arial" w:cs="Arial" w:eastAsia="Arial" w:hAnsi="Arial"/>
          <w:b w:val="false"/>
          <w:bCs w:val="false"/>
          <w:i w:val="false"/>
          <w:iCs w:val="false"/>
          <w:color w:val="1A1A2E"/>
          <w:sz w:val="22"/>
          <w:szCs w:val="22"/>
        </w:rPr>
        <w:t xml:space="preserve"/>
      </w:r>
    </w:p>
    <w:p>
      <w:pPr>
        <w:spacing w:before="300" w:after="100"/>
      </w:pPr>
      <w:r>
        <w:rPr>
          <w:rFonts w:ascii="Arial" w:cs="Arial" w:eastAsia="Arial" w:hAnsi="Arial"/>
          <w:b/>
          <w:bCs/>
          <w:color w:val="C0392B"/>
          <w:sz w:val="26"/>
          <w:szCs w:val="26"/>
        </w:rPr>
        <w:t xml:space="preserve">T1-A5  </w:t>
      </w:r>
      <w:r>
        <w:rPr>
          <w:rFonts w:ascii="Arial" w:cs="Arial" w:eastAsia="Arial" w:hAnsi="Arial"/>
          <w:b/>
          <w:bCs/>
          <w:color w:val="1B3A6B"/>
          <w:sz w:val="26"/>
          <w:szCs w:val="26"/>
        </w:rPr>
        <w:t xml:space="preserve">Add Covariate Balance Table at the 80% LTV RDD Cutoff By Race</w:t>
      </w:r>
    </w:p>
    <w:p>
      <w:pPr>
        <w:spacing w:before="0" w:after="80"/>
      </w:pPr>
      <w:r>
        <w:rPr>
          <w:rFonts w:ascii="Arial" w:cs="Arial" w:eastAsia="Arial" w:hAnsi="Arial"/>
          <w:b/>
          <w:bCs/>
          <w:color w:val="4A5568"/>
          <w:sz w:val="20"/>
          <w:szCs w:val="20"/>
        </w:rPr>
        <w:t xml:space="preserve">Time Required: </w:t>
      </w:r>
      <w:r>
        <w:rPr>
          <w:rFonts w:ascii="Arial" w:cs="Arial" w:eastAsia="Arial" w:hAnsi="Arial"/>
          <w:color w:val="1A1A2E"/>
          <w:sz w:val="20"/>
          <w:szCs w:val="20"/>
        </w:rPr>
        <w:t xml:space="preserve">2-3 days</w:t>
      </w:r>
      <w:r>
        <w:rPr>
          <w:rFonts w:ascii="Arial" w:cs="Arial" w:eastAsia="Arial" w:hAnsi="Arial"/>
          <w:b/>
          <w:bCs/>
          <w:color w:val="4A5568"/>
          <w:sz w:val="20"/>
          <w:szCs w:val="20"/>
        </w:rPr>
        <w:t xml:space="preserve">     Consensus: </w:t>
      </w:r>
      <w:r>
        <w:rPr>
          <w:rFonts w:ascii="Arial" w:cs="Arial" w:eastAsia="Arial" w:hAnsi="Arial"/>
          <w:color w:val="1A1A2E"/>
          <w:sz w:val="20"/>
          <w:szCs w:val="20"/>
        </w:rPr>
        <w:t xml:space="preserve">5 of 8 sources</w:t>
      </w:r>
    </w:p>
    <w:p>
      <w:pPr>
        <w:spacing w:before="60" w:after="60" w:line="280"/>
        <w:ind w:left="360"/>
      </w:pPr>
      <w:r>
        <w:rPr>
          <w:rFonts w:ascii="Arial" w:cs="Arial" w:eastAsia="Arial" w:hAnsi="Arial"/>
          <w:color w:val="1A1A2E"/>
          <w:sz w:val="21"/>
          <w:szCs w:val="21"/>
        </w:rPr>
        <w:t xml:space="preserve">1.  For applicants within +/-10pp of the 80% LTV threshold, run local linear regressions using your existing RDD specification.</w:t>
      </w:r>
    </w:p>
    <w:p>
      <w:pPr>
        <w:spacing w:before="60" w:after="60" w:line="280"/>
        <w:ind w:left="360"/>
      </w:pPr>
      <w:r>
        <w:rPr>
          <w:rFonts w:ascii="Arial" w:cs="Arial" w:eastAsia="Arial" w:hAnsi="Arial"/>
          <w:color w:val="1A1A2E"/>
          <w:sz w:val="21"/>
          <w:szCs w:val="21"/>
        </w:rPr>
        <w:t xml:space="preserve">2.  Use income, loan amount, property value, loan-to-income ratio, and (if available) DTI as DEPENDENT variables — one regression per variable.</w:t>
      </w:r>
    </w:p>
    <w:p>
      <w:pPr>
        <w:spacing w:before="60" w:after="60" w:line="280"/>
        <w:ind w:left="360"/>
      </w:pPr>
      <w:r>
        <w:rPr>
          <w:rFonts w:ascii="Arial" w:cs="Arial" w:eastAsia="Arial" w:hAnsi="Arial"/>
          <w:color w:val="1A1A2E"/>
          <w:sz w:val="21"/>
          <w:szCs w:val="21"/>
        </w:rPr>
        <w:t xml:space="preserve">3.  Run separately for Black applicants and for White applicants.</w:t>
      </w:r>
    </w:p>
    <w:p>
      <w:pPr>
        <w:spacing w:before="60" w:after="60" w:line="280"/>
        <w:ind w:left="360"/>
      </w:pPr>
      <w:r>
        <w:rPr>
          <w:rFonts w:ascii="Arial" w:cs="Arial" w:eastAsia="Arial" w:hAnsi="Arial"/>
          <w:color w:val="1A1A2E"/>
          <w:sz w:val="21"/>
          <w:szCs w:val="21"/>
        </w:rPr>
        <w:t xml:space="preserve">4.  Test whether any observable characteristic jumps discontinuously at the 80% cutoff for either group.</w:t>
      </w:r>
    </w:p>
    <w:p>
      <w:pPr>
        <w:spacing w:before="60" w:after="60" w:line="280"/>
        <w:ind w:left="360"/>
      </w:pPr>
      <w:r>
        <w:rPr>
          <w:rFonts w:ascii="Arial" w:cs="Arial" w:eastAsia="Arial" w:hAnsi="Arial"/>
          <w:color w:val="1A1A2E"/>
          <w:sz w:val="21"/>
          <w:szCs w:val="21"/>
        </w:rPr>
        <w:t xml:space="preserve">5.  Expected result: No discontinuities in observables (consistent with your McCrary test).</w:t>
      </w:r>
    </w:p>
    <w:p>
      <w:pPr>
        <w:spacing w:before="60" w:after="60" w:line="280"/>
        <w:ind w:left="360"/>
      </w:pPr>
      <w:r>
        <w:rPr>
          <w:rFonts w:ascii="Arial" w:cs="Arial" w:eastAsia="Arial" w:hAnsi="Arial"/>
          <w:color w:val="1A1A2E"/>
          <w:sz w:val="21"/>
          <w:szCs w:val="21"/>
        </w:rPr>
        <w:t xml:space="preserve">6.  Report as Appendix Table A-NEW with the title 'RDD Covariate Smoothness Tests at 80% LTV Threshold'.</w:t>
      </w:r>
    </w:p>
    <w:p>
      <w:pPr>
        <w:spacing w:before="60" w:after="60" w:line="280"/>
        <w:ind w:left="360"/>
      </w:pPr>
      <w:r>
        <w:rPr>
          <w:rFonts w:ascii="Arial" w:cs="Arial" w:eastAsia="Arial" w:hAnsi="Arial"/>
          <w:color w:val="1A1A2E"/>
          <w:sz w:val="21"/>
          <w:szCs w:val="21"/>
        </w:rPr>
        <w:t xml:space="preserve">7.  This is a standard RDD validity requirement. Without it, a referee can legitimately reject the RDD as unvalidated.</w:t>
      </w:r>
    </w:p>
    <w:p>
      <w:pPr>
        <w:spacing w:before="0" w:after="120"/>
      </w:pPr>
      <w:r>
        <w:rPr>
          <w:rFonts w:ascii="Arial" w:cs="Arial" w:eastAsia="Arial" w:hAnsi="Arial"/>
          <w:b w:val="false"/>
          <w:bCs w:val="false"/>
          <w:i w:val="false"/>
          <w:iCs w:val="false"/>
          <w:color w:val="1A1A2E"/>
          <w:sz w:val="22"/>
          <w:szCs w:val="22"/>
        </w:rPr>
        <w:t xml:space="preserve"/>
      </w:r>
    </w:p>
    <w:p>
      <w:pPr>
        <w:spacing w:before="300" w:after="100"/>
      </w:pPr>
      <w:r>
        <w:rPr>
          <w:rFonts w:ascii="Arial" w:cs="Arial" w:eastAsia="Arial" w:hAnsi="Arial"/>
          <w:b/>
          <w:bCs/>
          <w:color w:val="C0392B"/>
          <w:sz w:val="26"/>
          <w:szCs w:val="26"/>
        </w:rPr>
        <w:t xml:space="preserve">T1-A6  </w:t>
      </w:r>
      <w:r>
        <w:rPr>
          <w:rFonts w:ascii="Arial" w:cs="Arial" w:eastAsia="Arial" w:hAnsi="Arial"/>
          <w:b/>
          <w:bCs/>
          <w:color w:val="1B3A6B"/>
          <w:sz w:val="26"/>
          <w:szCs w:val="26"/>
        </w:rPr>
        <w:t xml:space="preserve">Add High-Predicted-Probability DiD Composition Test</w:t>
      </w:r>
    </w:p>
    <w:p>
      <w:pPr>
        <w:spacing w:before="0" w:after="80"/>
      </w:pPr>
      <w:r>
        <w:rPr>
          <w:rFonts w:ascii="Arial" w:cs="Arial" w:eastAsia="Arial" w:hAnsi="Arial"/>
          <w:b/>
          <w:bCs/>
          <w:color w:val="4A5568"/>
          <w:sz w:val="20"/>
          <w:szCs w:val="20"/>
        </w:rPr>
        <w:t xml:space="preserve">Time Required: </w:t>
      </w:r>
      <w:r>
        <w:rPr>
          <w:rFonts w:ascii="Arial" w:cs="Arial" w:eastAsia="Arial" w:hAnsi="Arial"/>
          <w:color w:val="1A1A2E"/>
          <w:sz w:val="20"/>
          <w:szCs w:val="20"/>
        </w:rPr>
        <w:t xml:space="preserve">3-5 days</w:t>
      </w:r>
      <w:r>
        <w:rPr>
          <w:rFonts w:ascii="Arial" w:cs="Arial" w:eastAsia="Arial" w:hAnsi="Arial"/>
          <w:b/>
          <w:bCs/>
          <w:color w:val="4A5568"/>
          <w:sz w:val="20"/>
          <w:szCs w:val="20"/>
        </w:rPr>
        <w:t xml:space="preserve">     Consensus: </w:t>
      </w:r>
      <w:r>
        <w:rPr>
          <w:rFonts w:ascii="Arial" w:cs="Arial" w:eastAsia="Arial" w:hAnsi="Arial"/>
          <w:color w:val="1A1A2E"/>
          <w:sz w:val="20"/>
          <w:szCs w:val="20"/>
        </w:rPr>
        <w:t xml:space="preserve">4 of 8 sources independently</w:t>
      </w:r>
    </w:p>
    <w:p>
      <w:pPr>
        <w:spacing w:before="60" w:after="60" w:line="280"/>
        <w:ind w:left="360"/>
      </w:pPr>
      <w:r>
        <w:rPr>
          <w:rFonts w:ascii="Arial" w:cs="Arial" w:eastAsia="Arial" w:hAnsi="Arial"/>
          <w:color w:val="1A1A2E"/>
          <w:sz w:val="21"/>
          <w:szCs w:val="21"/>
        </w:rPr>
        <w:t xml:space="preserve">1.  Step 1: Using 2018-2021 data ONLY, estimate a logit of approval on all observables (income, LTV, loan amount, property value, year FE, lender FE) — explicitly EXCLUDING race.</w:t>
      </w:r>
    </w:p>
    <w:p>
      <w:pPr>
        <w:spacing w:before="60" w:after="60" w:line="280"/>
        <w:ind w:left="360"/>
      </w:pPr>
      <w:r>
        <w:rPr>
          <w:rFonts w:ascii="Arial" w:cs="Arial" w:eastAsia="Arial" w:hAnsi="Arial"/>
          <w:color w:val="1A1A2E"/>
          <w:sz w:val="21"/>
          <w:szCs w:val="21"/>
        </w:rPr>
        <w:t xml:space="preserve">2.  Step 2: Use the estimated coefficients to predict approval probability for ALL applicants 2018-2024.</w:t>
      </w:r>
    </w:p>
    <w:p>
      <w:pPr>
        <w:spacing w:before="60" w:after="60" w:line="280"/>
        <w:ind w:left="360"/>
      </w:pPr>
      <w:r>
        <w:rPr>
          <w:rFonts w:ascii="Arial" w:cs="Arial" w:eastAsia="Arial" w:hAnsi="Arial"/>
          <w:color w:val="1A1A2E"/>
          <w:sz w:val="21"/>
          <w:szCs w:val="21"/>
        </w:rPr>
        <w:t xml:space="preserve">3.  Step 3: Restrict the DiD estimation sample to the top tercile of predicted approval probability (the 'safest' applicants where compositional shifts are smallest).</w:t>
      </w:r>
    </w:p>
    <w:p>
      <w:pPr>
        <w:spacing w:before="60" w:after="60" w:line="280"/>
        <w:ind w:left="360"/>
      </w:pPr>
      <w:r>
        <w:rPr>
          <w:rFonts w:ascii="Arial" w:cs="Arial" w:eastAsia="Arial" w:hAnsi="Arial"/>
          <w:color w:val="1A1A2E"/>
          <w:sz w:val="21"/>
          <w:szCs w:val="21"/>
        </w:rPr>
        <w:t xml:space="preserve">4.  Step 4: Re-estimate your main DiD specification (Table 8A) on this high-predicted-probability subsample.</w:t>
      </w:r>
    </w:p>
    <w:p>
      <w:pPr>
        <w:spacing w:before="60" w:after="60" w:line="280"/>
        <w:ind w:left="360"/>
      </w:pPr>
      <w:r>
        <w:rPr>
          <w:rFonts w:ascii="Arial" w:cs="Arial" w:eastAsia="Arial" w:hAnsi="Arial"/>
          <w:color w:val="1A1A2E"/>
          <w:sz w:val="21"/>
          <w:szCs w:val="21"/>
        </w:rPr>
        <w:t xml:space="preserve">5.  Interpretation: If delta is still approximately -1.0 to -1.5 pp and significant, composition changes are not driving the result. If delta collapses, the DiD is composition-confounded.</w:t>
      </w:r>
    </w:p>
    <w:p>
      <w:pPr>
        <w:spacing w:before="60" w:after="60" w:line="280"/>
        <w:ind w:left="360"/>
      </w:pPr>
      <w:r>
        <w:rPr>
          <w:rFonts w:ascii="Arial" w:cs="Arial" w:eastAsia="Arial" w:hAnsi="Arial"/>
          <w:color w:val="1A1A2E"/>
          <w:sz w:val="21"/>
          <w:szCs w:val="21"/>
        </w:rPr>
        <w:t xml:space="preserve">6.  Report as Table 8B: 'DiD Estimates Restricted to High-Predicted-Approval Applicants'.</w:t>
      </w:r>
    </w:p>
    <w:p>
      <w:pPr>
        <w:spacing w:before="0" w:after="120"/>
      </w:pPr>
      <w:r>
        <w:rPr>
          <w:rFonts w:ascii="Arial" w:cs="Arial" w:eastAsia="Arial" w:hAnsi="Arial"/>
          <w:b w:val="false"/>
          <w:bCs w:val="false"/>
          <w:i w:val="false"/>
          <w:iCs w:val="false"/>
          <w:color w:val="1A1A2E"/>
          <w:sz w:val="22"/>
          <w:szCs w:val="22"/>
        </w:rPr>
        <w:t xml:space="preserve"/>
      </w:r>
    </w:p>
    <w:p>
      <w:pPr>
        <w:spacing w:before="300" w:after="100"/>
      </w:pPr>
      <w:r>
        <w:rPr>
          <w:rFonts w:ascii="Arial" w:cs="Arial" w:eastAsia="Arial" w:hAnsi="Arial"/>
          <w:b/>
          <w:bCs/>
          <w:color w:val="C0392B"/>
          <w:sz w:val="26"/>
          <w:szCs w:val="26"/>
        </w:rPr>
        <w:t xml:space="preserve">T1-A7  </w:t>
      </w:r>
      <w:r>
        <w:rPr>
          <w:rFonts w:ascii="Arial" w:cs="Arial" w:eastAsia="Arial" w:hAnsi="Arial"/>
          <w:b/>
          <w:bCs/>
          <w:color w:val="1B3A6B"/>
          <w:sz w:val="26"/>
          <w:szCs w:val="26"/>
        </w:rPr>
        <w:t xml:space="preserve">Rewrite Introduction and Abstract Around Mechanisms, Not Level Gap</w:t>
      </w:r>
    </w:p>
    <w:p>
      <w:pPr>
        <w:spacing w:before="0" w:after="80"/>
      </w:pPr>
      <w:r>
        <w:rPr>
          <w:rFonts w:ascii="Arial" w:cs="Arial" w:eastAsia="Arial" w:hAnsi="Arial"/>
          <w:b/>
          <w:bCs/>
          <w:color w:val="4A5568"/>
          <w:sz w:val="20"/>
          <w:szCs w:val="20"/>
        </w:rPr>
        <w:t xml:space="preserve">Time Required: </w:t>
      </w:r>
      <w:r>
        <w:rPr>
          <w:rFonts w:ascii="Arial" w:cs="Arial" w:eastAsia="Arial" w:hAnsi="Arial"/>
          <w:color w:val="1A1A2E"/>
          <w:sz w:val="20"/>
          <w:szCs w:val="20"/>
        </w:rPr>
        <w:t xml:space="preserve">1-2 days</w:t>
      </w:r>
      <w:r>
        <w:rPr>
          <w:rFonts w:ascii="Arial" w:cs="Arial" w:eastAsia="Arial" w:hAnsi="Arial"/>
          <w:b/>
          <w:bCs/>
          <w:color w:val="4A5568"/>
          <w:sz w:val="20"/>
          <w:szCs w:val="20"/>
        </w:rPr>
        <w:t xml:space="preserve">     Consensus: </w:t>
      </w:r>
      <w:r>
        <w:rPr>
          <w:rFonts w:ascii="Arial" w:cs="Arial" w:eastAsia="Arial" w:hAnsi="Arial"/>
          <w:color w:val="1A1A2E"/>
          <w:sz w:val="20"/>
          <w:szCs w:val="20"/>
        </w:rPr>
        <w:t xml:space="preserve">Claude, AI-8, AI-5</w:t>
      </w:r>
    </w:p>
    <w:p>
      <w:pPr>
        <w:spacing w:before="60" w:after="60" w:line="280"/>
        <w:ind w:left="360"/>
      </w:pPr>
      <w:r>
        <w:rPr>
          <w:rFonts w:ascii="Arial" w:cs="Arial" w:eastAsia="Arial" w:hAnsi="Arial"/>
          <w:color w:val="1A1A2E"/>
          <w:sz w:val="21"/>
          <w:szCs w:val="21"/>
        </w:rPr>
        <w:t xml:space="preserve">1.  CURRENT PROBLEM: Abstract leads with '14.95 percentage points' and '98.6% unexplained.' Both numbers trigger immediate Bhutta et al. skepticism.</w:t>
      </w:r>
    </w:p>
    <w:p>
      <w:pPr>
        <w:spacing w:before="60" w:after="60" w:line="280"/>
        <w:ind w:left="360"/>
      </w:pPr>
      <w:r>
        <w:rPr>
          <w:rFonts w:ascii="Arial" w:cs="Arial" w:eastAsia="Arial" w:hAnsi="Arial"/>
          <w:color w:val="1A1A2E"/>
          <w:sz w:val="21"/>
          <w:szCs w:val="21"/>
        </w:rPr>
        <w:t xml:space="preserve">2.  NEW ABSTRACT STRUCTURE: (1) One sentence on why mortgage approval matters; (2) One sentence on what prior work established (Bhutta et al.) vs. what remains unknown; (3) Three sentences on your quasi-experimental findings: Triple-DDD, purchase/refinance asymmetry, structural break; (4) One sentence on geographic heterogeneity; (5) One sentence on Manski floor.</w:t>
      </w:r>
    </w:p>
    <w:p>
      <w:pPr>
        <w:spacing w:before="60" w:after="60" w:line="280"/>
        <w:ind w:left="360"/>
      </w:pPr>
      <w:r>
        <w:rPr>
          <w:rFonts w:ascii="Arial" w:cs="Arial" w:eastAsia="Arial" w:hAnsi="Arial"/>
          <w:color w:val="1A1A2E"/>
          <w:sz w:val="21"/>
          <w:szCs w:val="21"/>
        </w:rPr>
        <w:t xml:space="preserve">3.  NEW INTRODUCTION PARAGRAPH 2: Explicitly cite Bhutta et al. (2025) and state: 'Using confidential data with credit scores and DTI, they find a 1-2 pp residual gap. Our paper uses public HMDA data to ask a different question: through what institutional mechanisms and under what conditions does the approval differential — inclusive of unobserved credit quality differences — operate?'</w:t>
      </w:r>
    </w:p>
    <w:p>
      <w:pPr>
        <w:spacing w:before="60" w:after="60" w:line="280"/>
        <w:ind w:left="360"/>
      </w:pPr>
      <w:r>
        <w:rPr>
          <w:rFonts w:ascii="Arial" w:cs="Arial" w:eastAsia="Arial" w:hAnsi="Arial"/>
          <w:color w:val="1A1A2E"/>
          <w:sz w:val="21"/>
          <w:szCs w:val="21"/>
        </w:rPr>
        <w:t xml:space="preserve">4.  This framing does not compete with Bhutta et al. It builds on them.</w:t>
      </w:r>
    </w:p>
    <w:p>
      <w:pPr>
        <w:spacing w:before="60" w:after="60" w:line="280"/>
        <w:ind w:left="360"/>
      </w:pPr>
      <w:r>
        <w:rPr>
          <w:rFonts w:ascii="Arial" w:cs="Arial" w:eastAsia="Arial" w:hAnsi="Arial"/>
          <w:color w:val="1A1A2E"/>
          <w:sz w:val="21"/>
          <w:szCs w:val="21"/>
        </w:rPr>
        <w:t xml:space="preserve">5.  Do NOT lead with 14.95 pp in the abstract. Lead with the Triple-DDD coefficient.</w:t>
      </w:r>
    </w:p>
    <w:p>
      <w:pPr>
        <w:spacing w:before="0" w:after="120"/>
      </w:pPr>
      <w:r>
        <w:rPr>
          <w:rFonts w:ascii="Arial" w:cs="Arial" w:eastAsia="Arial" w:hAnsi="Arial"/>
          <w:b w:val="false"/>
          <w:bCs w:val="false"/>
          <w:i w:val="false"/>
          <w:iCs w:val="false"/>
          <w:color w:val="1A1A2E"/>
          <w:sz w:val="22"/>
          <w:szCs w:val="22"/>
        </w:rPr>
        <w:t xml:space="preserve"/>
      </w:r>
    </w:p>
    <w:p>
      <w:pPr>
        <w:spacing w:before="0" w:after="0"/>
      </w:pPr>
      <w:r>
        <w:br w:type="page"/>
      </w:r>
    </w:p>
    <w:p>
      <w:pPr>
        <w:pStyle w:val="Heading2"/>
        <w:spacing w:before="360" w:after="160"/>
        <w:outlineLvl w:val="1"/>
      </w:pPr>
      <w:r>
        <w:rPr>
          <w:rFonts w:ascii="Arial" w:cs="Arial" w:eastAsia="Arial" w:hAnsi="Arial"/>
          <w:b/>
          <w:bCs/>
          <w:color w:val="2E5FA3"/>
          <w:sz w:val="28"/>
          <w:szCs w:val="28"/>
        </w:rPr>
        <w:t xml:space="preserve">TIER 2 — HIGH IMPACT ACTIONS (Do These for 4-6 Additional Weeks)</w:t>
      </w:r>
    </w:p>
    <w:p>
      <w:pPr>
        <w:spacing w:before="0" w:after="100" w:line="276"/>
        <w:jc w:val="left"/>
      </w:pPr>
      <w:r>
        <w:rPr>
          <w:rFonts w:ascii="Arial" w:cs="Arial" w:eastAsia="Arial" w:hAnsi="Arial"/>
          <w:b w:val="false"/>
          <w:bCs w:val="false"/>
          <w:i w:val="false"/>
          <w:iCs w:val="false"/>
          <w:color w:val="2E5FA3"/>
          <w:sz w:val="22"/>
          <w:szCs w:val="22"/>
        </w:rPr>
        <w:t xml:space="preserve">These actions significantly raise acceptance probability at JHE and are required for any shot at a higher-tier journal.</w:t>
      </w:r>
    </w:p>
    <w:p>
      <w:pPr>
        <w:spacing w:before="0" w:after="100"/>
      </w:pPr>
      <w:r>
        <w:rPr>
          <w:rFonts w:ascii="Arial" w:cs="Arial" w:eastAsia="Arial" w:hAnsi="Arial"/>
          <w:b w:val="false"/>
          <w:bCs w:val="false"/>
          <w:i w:val="false"/>
          <w:iCs w:val="false"/>
          <w:color w:val="1A1A2E"/>
          <w:sz w:val="22"/>
          <w:szCs w:val="22"/>
        </w:rPr>
        <w:t xml:space="preserve"/>
      </w:r>
    </w:p>
    <w:p>
      <w:pPr>
        <w:spacing w:before="280" w:after="100"/>
      </w:pPr>
      <w:r>
        <w:rPr>
          <w:rFonts w:ascii="Arial" w:cs="Arial" w:eastAsia="Arial" w:hAnsi="Arial"/>
          <w:b/>
          <w:bCs/>
          <w:color w:val="2E5FA3"/>
          <w:sz w:val="24"/>
          <w:szCs w:val="24"/>
        </w:rPr>
        <w:t xml:space="preserve">T2-B1  </w:t>
      </w:r>
      <w:r>
        <w:rPr>
          <w:rFonts w:ascii="Arial" w:cs="Arial" w:eastAsia="Arial" w:hAnsi="Arial"/>
          <w:b/>
          <w:bCs/>
          <w:color w:val="1B3A6B"/>
          <w:sz w:val="24"/>
          <w:szCs w:val="24"/>
        </w:rPr>
        <w:t xml:space="preserve">FinTech vs. Traditional Lender Split</w:t>
      </w:r>
    </w:p>
    <w:p>
      <w:pPr>
        <w:spacing w:before="0" w:after="80"/>
      </w:pPr>
      <w:r>
        <w:rPr>
          <w:rFonts w:ascii="Arial" w:cs="Arial" w:eastAsia="Arial" w:hAnsi="Arial"/>
          <w:b/>
          <w:bCs/>
          <w:color w:val="4A5568"/>
          <w:sz w:val="20"/>
          <w:szCs w:val="20"/>
        </w:rPr>
        <w:t xml:space="preserve">Time Required: </w:t>
      </w:r>
      <w:r>
        <w:rPr>
          <w:rFonts w:ascii="Arial" w:cs="Arial" w:eastAsia="Arial" w:hAnsi="Arial"/>
          <w:color w:val="1A1A2E"/>
          <w:sz w:val="20"/>
          <w:szCs w:val="20"/>
        </w:rPr>
        <w:t xml:space="preserve">1-2 weeks</w:t>
      </w:r>
      <w:r>
        <w:rPr>
          <w:rFonts w:ascii="Arial" w:cs="Arial" w:eastAsia="Arial" w:hAnsi="Arial"/>
          <w:b/>
          <w:bCs/>
          <w:color w:val="4A5568"/>
          <w:sz w:val="20"/>
          <w:szCs w:val="20"/>
        </w:rPr>
        <w:t xml:space="preserve">     Support: </w:t>
      </w:r>
      <w:r>
        <w:rPr>
          <w:rFonts w:ascii="Arial" w:cs="Arial" w:eastAsia="Arial" w:hAnsi="Arial"/>
          <w:color w:val="1A1A2E"/>
          <w:sz w:val="20"/>
          <w:szCs w:val="20"/>
        </w:rPr>
        <w:t xml:space="preserve">6 of 8 sources</w:t>
      </w:r>
    </w:p>
    <w:p>
      <w:pPr>
        <w:spacing w:before="60" w:after="60" w:line="280"/>
        <w:ind w:left="360"/>
      </w:pPr>
      <w:r>
        <w:rPr>
          <w:rFonts w:ascii="Arial" w:cs="Arial" w:eastAsia="Arial" w:hAnsi="Arial"/>
          <w:color w:val="1A1A2E"/>
          <w:sz w:val="21"/>
          <w:szCs w:val="21"/>
        </w:rPr>
        <w:t xml:space="preserve">1.  The HMDA Transmittal Sheet file identifies institution type: depository institutions, non-depository institutions (which includes FinTech/non-bank lenders), and credit unions.</w:t>
      </w:r>
    </w:p>
    <w:p>
      <w:pPr>
        <w:spacing w:before="60" w:after="60" w:line="280"/>
        <w:ind w:left="360"/>
      </w:pPr>
      <w:r>
        <w:rPr>
          <w:rFonts w:ascii="Arial" w:cs="Arial" w:eastAsia="Arial" w:hAnsi="Arial"/>
          <w:color w:val="1A1A2E"/>
          <w:sz w:val="21"/>
          <w:szCs w:val="21"/>
        </w:rPr>
        <w:t xml:space="preserve">2.  Classify non-depository institutions as 'more algorithmic' (consistent with Bartlett et al. 2022 methodology).</w:t>
      </w:r>
    </w:p>
    <w:p>
      <w:pPr>
        <w:spacing w:before="60" w:after="60" w:line="280"/>
        <w:ind w:left="360"/>
      </w:pPr>
      <w:r>
        <w:rPr>
          <w:rFonts w:ascii="Arial" w:cs="Arial" w:eastAsia="Arial" w:hAnsi="Arial"/>
          <w:color w:val="1A1A2E"/>
          <w:sz w:val="21"/>
          <w:szCs w:val="21"/>
        </w:rPr>
        <w:t xml:space="preserve">3.  Run triple interaction: Approved = f(Black x FinTech x Post2022) + all lower-order interactions + controls + lender FE.</w:t>
      </w:r>
    </w:p>
    <w:p>
      <w:pPr>
        <w:spacing w:before="60" w:after="60" w:line="280"/>
        <w:ind w:left="360"/>
      </w:pPr>
      <w:r>
        <w:rPr>
          <w:rFonts w:ascii="Arial" w:cs="Arial" w:eastAsia="Arial" w:hAnsi="Arial"/>
          <w:color w:val="1A1A2E"/>
          <w:sz w:val="21"/>
          <w:szCs w:val="21"/>
        </w:rPr>
        <w:t xml:space="preserve">4.  Primary test: Is Black x Post2022 coefficient smaller in absolute value for FinTech lenders?</w:t>
      </w:r>
    </w:p>
    <w:p>
      <w:pPr>
        <w:spacing w:before="60" w:after="60" w:line="280"/>
        <w:ind w:left="360"/>
      </w:pPr>
      <w:r>
        <w:rPr>
          <w:rFonts w:ascii="Arial" w:cs="Arial" w:eastAsia="Arial" w:hAnsi="Arial"/>
          <w:color w:val="1A1A2E"/>
          <w:sz w:val="21"/>
          <w:szCs w:val="21"/>
        </w:rPr>
        <w:t xml:space="preserve">5.  Also run: Black x FinTech x Above80 for the RDD context. Does the PMI threshold effect disappear at algorithmic lenders?</w:t>
      </w:r>
    </w:p>
    <w:p>
      <w:pPr>
        <w:spacing w:before="60" w:after="60" w:line="280"/>
        <w:ind w:left="360"/>
      </w:pPr>
      <w:r>
        <w:rPr>
          <w:rFonts w:ascii="Arial" w:cs="Arial" w:eastAsia="Arial" w:hAnsi="Arial"/>
          <w:color w:val="1A1A2E"/>
          <w:sz w:val="21"/>
          <w:szCs w:val="21"/>
        </w:rPr>
        <w:t xml:space="preserve">6.  Expected result: Smaller gap at FinTech lenders, consistent with discretion mechanism.</w:t>
      </w:r>
    </w:p>
    <w:p>
      <w:pPr>
        <w:spacing w:before="60" w:after="60" w:line="280"/>
        <w:ind w:left="360"/>
      </w:pPr>
      <w:r>
        <w:rPr>
          <w:rFonts w:ascii="Arial" w:cs="Arial" w:eastAsia="Arial" w:hAnsi="Arial"/>
          <w:color w:val="1A1A2E"/>
          <w:sz w:val="21"/>
          <w:szCs w:val="21"/>
        </w:rPr>
        <w:t xml:space="preserve">7.  Report as Table 4B and Table 7D.</w:t>
      </w:r>
    </w:p>
    <w:p>
      <w:pPr>
        <w:spacing w:before="0" w:after="100"/>
      </w:pPr>
      <w:r>
        <w:rPr>
          <w:rFonts w:ascii="Arial" w:cs="Arial" w:eastAsia="Arial" w:hAnsi="Arial"/>
          <w:b w:val="false"/>
          <w:bCs w:val="false"/>
          <w:i w:val="false"/>
          <w:iCs w:val="false"/>
          <w:color w:val="1A1A2E"/>
          <w:sz w:val="22"/>
          <w:szCs w:val="22"/>
        </w:rPr>
        <w:t xml:space="preserve"/>
      </w:r>
    </w:p>
    <w:p>
      <w:pPr>
        <w:spacing w:before="280" w:after="100"/>
      </w:pPr>
      <w:r>
        <w:rPr>
          <w:rFonts w:ascii="Arial" w:cs="Arial" w:eastAsia="Arial" w:hAnsi="Arial"/>
          <w:b/>
          <w:bCs/>
          <w:color w:val="2E5FA3"/>
          <w:sz w:val="24"/>
          <w:szCs w:val="24"/>
        </w:rPr>
        <w:t xml:space="preserve">T2-B2  </w:t>
      </w:r>
      <w:r>
        <w:rPr>
          <w:rFonts w:ascii="Arial" w:cs="Arial" w:eastAsia="Arial" w:hAnsi="Arial"/>
          <w:b/>
          <w:bCs/>
          <w:color w:val="1B3A6B"/>
          <w:sz w:val="24"/>
          <w:szCs w:val="24"/>
        </w:rPr>
        <w:t xml:space="preserve">AUS Simulation Using Public GSE Eligibility Tables</w:t>
      </w:r>
    </w:p>
    <w:p>
      <w:pPr>
        <w:spacing w:before="0" w:after="80"/>
      </w:pPr>
      <w:r>
        <w:rPr>
          <w:rFonts w:ascii="Arial" w:cs="Arial" w:eastAsia="Arial" w:hAnsi="Arial"/>
          <w:b/>
          <w:bCs/>
          <w:color w:val="4A5568"/>
          <w:sz w:val="20"/>
          <w:szCs w:val="20"/>
        </w:rPr>
        <w:t xml:space="preserve">Time Required: </w:t>
      </w:r>
      <w:r>
        <w:rPr>
          <w:rFonts w:ascii="Arial" w:cs="Arial" w:eastAsia="Arial" w:hAnsi="Arial"/>
          <w:color w:val="1A1A2E"/>
          <w:sz w:val="20"/>
          <w:szCs w:val="20"/>
        </w:rPr>
        <w:t xml:space="preserve">1 week</w:t>
      </w:r>
      <w:r>
        <w:rPr>
          <w:rFonts w:ascii="Arial" w:cs="Arial" w:eastAsia="Arial" w:hAnsi="Arial"/>
          <w:b/>
          <w:bCs/>
          <w:color w:val="4A5568"/>
          <w:sz w:val="20"/>
          <w:szCs w:val="20"/>
        </w:rPr>
        <w:t xml:space="preserve">     Support: </w:t>
      </w:r>
      <w:r>
        <w:rPr>
          <w:rFonts w:ascii="Arial" w:cs="Arial" w:eastAsia="Arial" w:hAnsi="Arial"/>
          <w:color w:val="1A1A2E"/>
          <w:sz w:val="20"/>
          <w:szCs w:val="20"/>
        </w:rPr>
        <w:t xml:space="preserve">AI-6 unique insight + broadly supported</w:t>
      </w:r>
    </w:p>
    <w:p>
      <w:pPr>
        <w:spacing w:before="60" w:after="60" w:line="280"/>
        <w:ind w:left="360"/>
      </w:pPr>
      <w:r>
        <w:rPr>
          <w:rFonts w:ascii="Arial" w:cs="Arial" w:eastAsia="Arial" w:hAnsi="Arial"/>
          <w:color w:val="1A1A2E"/>
          <w:sz w:val="21"/>
          <w:szCs w:val="21"/>
        </w:rPr>
        <w:t xml:space="preserve">1.  Download Fannie Mae and Freddie Mac Desktop Underwriter eligibility guidelines (publicly available on their websites).</w:t>
      </w:r>
    </w:p>
    <w:p>
      <w:pPr>
        <w:spacing w:before="60" w:after="60" w:line="280"/>
        <w:ind w:left="360"/>
      </w:pPr>
      <w:r>
        <w:rPr>
          <w:rFonts w:ascii="Arial" w:cs="Arial" w:eastAsia="Arial" w:hAnsi="Arial"/>
          <w:color w:val="1A1A2E"/>
          <w:sz w:val="21"/>
          <w:szCs w:val="21"/>
        </w:rPr>
        <w:t xml:space="preserve">2.  Using your HMDA income, LTV, and loan amount data, construct a synthetic 'AUS-approve' binary indicator based on published GSE eligibility criteria.</w:t>
      </w:r>
    </w:p>
    <w:p>
      <w:pPr>
        <w:spacing w:before="60" w:after="60" w:line="280"/>
        <w:ind w:left="360"/>
      </w:pPr>
      <w:r>
        <w:rPr>
          <w:rFonts w:ascii="Arial" w:cs="Arial" w:eastAsia="Arial" w:hAnsi="Arial"/>
          <w:color w:val="1A1A2E"/>
          <w:sz w:val="21"/>
          <w:szCs w:val="21"/>
        </w:rPr>
        <w:t xml:space="preserve">3.  Add this synthetic AUS flag as an additional control in your DFL propensity score and your within-lender FE specification.</w:t>
      </w:r>
    </w:p>
    <w:p>
      <w:pPr>
        <w:spacing w:before="60" w:after="60" w:line="280"/>
        <w:ind w:left="360"/>
      </w:pPr>
      <w:r>
        <w:rPr>
          <w:rFonts w:ascii="Arial" w:cs="Arial" w:eastAsia="Arial" w:hAnsi="Arial"/>
          <w:color w:val="1A1A2E"/>
          <w:sz w:val="21"/>
          <w:szCs w:val="21"/>
        </w:rPr>
        <w:t xml:space="preserve">4.  Report how much the unexplained gap changes when this AUS proxy is included.</w:t>
      </w:r>
    </w:p>
    <w:p>
      <w:pPr>
        <w:spacing w:before="60" w:after="60" w:line="280"/>
        <w:ind w:left="360"/>
      </w:pPr>
      <w:r>
        <w:rPr>
          <w:rFonts w:ascii="Arial" w:cs="Arial" w:eastAsia="Arial" w:hAnsi="Arial"/>
          <w:color w:val="1A1A2E"/>
          <w:sz w:val="21"/>
          <w:szCs w:val="21"/>
        </w:rPr>
        <w:t xml:space="preserve">5.  If gap drops from ~14 pp to ~9-10 pp: Report this honestly as 'conditional on plausible AUS outcomes, a substantial residual remains.'</w:t>
      </w:r>
    </w:p>
    <w:p>
      <w:pPr>
        <w:spacing w:before="60" w:after="60" w:line="280"/>
        <w:ind w:left="360"/>
      </w:pPr>
      <w:r>
        <w:rPr>
          <w:rFonts w:ascii="Arial" w:cs="Arial" w:eastAsia="Arial" w:hAnsi="Arial"/>
          <w:color w:val="1A1A2E"/>
          <w:sz w:val="21"/>
          <w:szCs w:val="21"/>
        </w:rPr>
        <w:t xml:space="preserve">6.  This directly addresses the 'you cannot see underwriting variables' critique with a public-data implementation.</w:t>
      </w:r>
    </w:p>
    <w:p>
      <w:pPr>
        <w:spacing w:before="0" w:after="100"/>
      </w:pPr>
      <w:r>
        <w:rPr>
          <w:rFonts w:ascii="Arial" w:cs="Arial" w:eastAsia="Arial" w:hAnsi="Arial"/>
          <w:b w:val="false"/>
          <w:bCs w:val="false"/>
          <w:i w:val="false"/>
          <w:iCs w:val="false"/>
          <w:color w:val="1A1A2E"/>
          <w:sz w:val="22"/>
          <w:szCs w:val="22"/>
        </w:rPr>
        <w:t xml:space="preserve"/>
      </w:r>
    </w:p>
    <w:p>
      <w:pPr>
        <w:spacing w:before="280" w:after="100"/>
      </w:pPr>
      <w:r>
        <w:rPr>
          <w:rFonts w:ascii="Arial" w:cs="Arial" w:eastAsia="Arial" w:hAnsi="Arial"/>
          <w:b/>
          <w:bCs/>
          <w:color w:val="2E5FA3"/>
          <w:sz w:val="24"/>
          <w:szCs w:val="24"/>
        </w:rPr>
        <w:t xml:space="preserve">T2-B3  </w:t>
      </w:r>
      <w:r>
        <w:rPr>
          <w:rFonts w:ascii="Arial" w:cs="Arial" w:eastAsia="Arial" w:hAnsi="Arial"/>
          <w:b/>
          <w:bCs/>
          <w:color w:val="1B3A6B"/>
          <w:sz w:val="24"/>
          <w:szCs w:val="24"/>
        </w:rPr>
        <w:t xml:space="preserve">Default Prediction Falsification Using Fannie/Freddie Loan Performance Data</w:t>
      </w:r>
    </w:p>
    <w:p>
      <w:pPr>
        <w:spacing w:before="0" w:after="80"/>
      </w:pPr>
      <w:r>
        <w:rPr>
          <w:rFonts w:ascii="Arial" w:cs="Arial" w:eastAsia="Arial" w:hAnsi="Arial"/>
          <w:b/>
          <w:bCs/>
          <w:color w:val="4A5568"/>
          <w:sz w:val="20"/>
          <w:szCs w:val="20"/>
        </w:rPr>
        <w:t xml:space="preserve">Time Required: </w:t>
      </w:r>
      <w:r>
        <w:rPr>
          <w:rFonts w:ascii="Arial" w:cs="Arial" w:eastAsia="Arial" w:hAnsi="Arial"/>
          <w:color w:val="1A1A2E"/>
          <w:sz w:val="20"/>
          <w:szCs w:val="20"/>
        </w:rPr>
        <w:t xml:space="preserve">2-4 weeks</w:t>
      </w:r>
      <w:r>
        <w:rPr>
          <w:rFonts w:ascii="Arial" w:cs="Arial" w:eastAsia="Arial" w:hAnsi="Arial"/>
          <w:b/>
          <w:bCs/>
          <w:color w:val="4A5568"/>
          <w:sz w:val="20"/>
          <w:szCs w:val="20"/>
        </w:rPr>
        <w:t xml:space="preserve">     Support: </w:t>
      </w:r>
      <w:r>
        <w:rPr>
          <w:rFonts w:ascii="Arial" w:cs="Arial" w:eastAsia="Arial" w:hAnsi="Arial"/>
          <w:color w:val="1A1A2E"/>
          <w:sz w:val="20"/>
          <w:szCs w:val="20"/>
        </w:rPr>
        <w:t xml:space="preserve">AI-6 unique insight — THE smoking gun test</w:t>
      </w:r>
    </w:p>
    <w:p>
      <w:pPr>
        <w:spacing w:before="60" w:after="60" w:line="280"/>
        <w:ind w:left="360"/>
      </w:pPr>
      <w:r>
        <w:rPr>
          <w:rFonts w:ascii="Arial" w:cs="Arial" w:eastAsia="Arial" w:hAnsi="Arial"/>
          <w:color w:val="1A1A2E"/>
          <w:sz w:val="21"/>
          <w:szCs w:val="21"/>
        </w:rPr>
        <w:t xml:space="preserve">1.  Download: Fannie Mae Single-Family Loan Performance Dataset and Freddie Mac Single Family Loan-Level Dataset (both publicly available; cover ~60-70% of conventional originations).</w:t>
      </w:r>
    </w:p>
    <w:p>
      <w:pPr>
        <w:spacing w:before="60" w:after="60" w:line="280"/>
        <w:ind w:left="360"/>
      </w:pPr>
      <w:r>
        <w:rPr>
          <w:rFonts w:ascii="Arial" w:cs="Arial" w:eastAsia="Arial" w:hAnsi="Arial"/>
          <w:color w:val="1A1A2E"/>
          <w:sz w:val="21"/>
          <w:szCs w:val="21"/>
        </w:rPr>
        <w:t xml:space="preserve">2.  Match to your approved HMDA originations by year, state, property type, and loan amount range (probabilistic merge — not exact, but informative).</w:t>
      </w:r>
    </w:p>
    <w:p>
      <w:pPr>
        <w:spacing w:before="60" w:after="60" w:line="280"/>
        <w:ind w:left="360"/>
      </w:pPr>
      <w:r>
        <w:rPr>
          <w:rFonts w:ascii="Arial" w:cs="Arial" w:eastAsia="Arial" w:hAnsi="Arial"/>
          <w:color w:val="1A1A2E"/>
          <w:sz w:val="21"/>
          <w:szCs w:val="21"/>
        </w:rPr>
        <w:t xml:space="preserve">3.  Regression: 24-month default = alpha + beta*Black + gamma*observables + lender_type_FE.</w:t>
      </w:r>
    </w:p>
    <w:p>
      <w:pPr>
        <w:spacing w:before="60" w:after="60" w:line="280"/>
        <w:ind w:left="360"/>
      </w:pPr>
      <w:r>
        <w:rPr>
          <w:rFonts w:ascii="Arial" w:cs="Arial" w:eastAsia="Arial" w:hAnsi="Arial"/>
          <w:color w:val="1A1A2E"/>
          <w:sz w:val="21"/>
          <w:szCs w:val="21"/>
        </w:rPr>
        <w:t xml:space="preserve">4.  KEY TEST: If beta &lt; 0 (approved Black borrowers default LESS), this means lenders applied over-stringent screening to Black applicants before approval — direct evidence of differential standards.</w:t>
      </w:r>
    </w:p>
    <w:p>
      <w:pPr>
        <w:spacing w:before="60" w:after="60" w:line="280"/>
        <w:ind w:left="360"/>
      </w:pPr>
      <w:r>
        <w:rPr>
          <w:rFonts w:ascii="Arial" w:cs="Arial" w:eastAsia="Arial" w:hAnsi="Arial"/>
          <w:color w:val="1A1A2E"/>
          <w:sz w:val="21"/>
          <w:szCs w:val="21"/>
        </w:rPr>
        <w:t xml:space="preserve">5.  This is the test that most directly falsifies the 'omitted credit risk' story: if Black borrowers were riskier, they should default MORE among those approved.</w:t>
      </w:r>
    </w:p>
    <w:p>
      <w:pPr>
        <w:spacing w:before="60" w:after="60" w:line="280"/>
        <w:ind w:left="360"/>
      </w:pPr>
      <w:r>
        <w:rPr>
          <w:rFonts w:ascii="Arial" w:cs="Arial" w:eastAsia="Arial" w:hAnsi="Arial"/>
          <w:color w:val="1A1A2E"/>
          <w:sz w:val="21"/>
          <w:szCs w:val="21"/>
        </w:rPr>
        <w:t xml:space="preserve">6.  Report as a new Section 5.X: 'Post-Origination Performance Falsification'.</w:t>
      </w:r>
    </w:p>
    <w:p>
      <w:pPr>
        <w:spacing w:before="60" w:after="60" w:line="280"/>
        <w:ind w:left="360"/>
      </w:pPr>
      <w:r>
        <w:rPr>
          <w:rFonts w:ascii="Arial" w:cs="Arial" w:eastAsia="Arial" w:hAnsi="Arial"/>
          <w:color w:val="1A1A2E"/>
          <w:sz w:val="21"/>
          <w:szCs w:val="21"/>
        </w:rPr>
        <w:t xml:space="preserve">7.  Even a null result (beta = 0) supports your case: it means approved Black and White borrowers default equally, inconsistent with over-representation of Black credit risk in approved loans.</w:t>
      </w:r>
    </w:p>
    <w:p>
      <w:pPr>
        <w:spacing w:before="0" w:after="100"/>
      </w:pPr>
      <w:r>
        <w:rPr>
          <w:rFonts w:ascii="Arial" w:cs="Arial" w:eastAsia="Arial" w:hAnsi="Arial"/>
          <w:b w:val="false"/>
          <w:bCs w:val="false"/>
          <w:i w:val="false"/>
          <w:iCs w:val="false"/>
          <w:color w:val="1A1A2E"/>
          <w:sz w:val="22"/>
          <w:szCs w:val="22"/>
        </w:rPr>
        <w:t xml:space="preserve"/>
      </w:r>
    </w:p>
    <w:p>
      <w:pPr>
        <w:spacing w:before="280" w:after="100"/>
      </w:pPr>
      <w:r>
        <w:rPr>
          <w:rFonts w:ascii="Arial" w:cs="Arial" w:eastAsia="Arial" w:hAnsi="Arial"/>
          <w:b/>
          <w:bCs/>
          <w:color w:val="2E5FA3"/>
          <w:sz w:val="24"/>
          <w:szCs w:val="24"/>
        </w:rPr>
        <w:t xml:space="preserve">T2-B4  </w:t>
      </w:r>
      <w:r>
        <w:rPr>
          <w:rFonts w:ascii="Arial" w:cs="Arial" w:eastAsia="Arial" w:hAnsi="Arial"/>
          <w:b/>
          <w:bCs/>
          <w:color w:val="1B3A6B"/>
          <w:sz w:val="24"/>
          <w:szCs w:val="24"/>
        </w:rPr>
        <w:t xml:space="preserve">Income-Tercile RDD Gradient</w:t>
      </w:r>
    </w:p>
    <w:p>
      <w:pPr>
        <w:spacing w:before="0" w:after="80"/>
      </w:pPr>
      <w:r>
        <w:rPr>
          <w:rFonts w:ascii="Arial" w:cs="Arial" w:eastAsia="Arial" w:hAnsi="Arial"/>
          <w:b/>
          <w:bCs/>
          <w:color w:val="4A5568"/>
          <w:sz w:val="20"/>
          <w:szCs w:val="20"/>
        </w:rPr>
        <w:t xml:space="preserve">Time Required: </w:t>
      </w:r>
      <w:r>
        <w:rPr>
          <w:rFonts w:ascii="Arial" w:cs="Arial" w:eastAsia="Arial" w:hAnsi="Arial"/>
          <w:color w:val="1A1A2E"/>
          <w:sz w:val="20"/>
          <w:szCs w:val="20"/>
        </w:rPr>
        <w:t xml:space="preserve">2-3 days</w:t>
      </w:r>
      <w:r>
        <w:rPr>
          <w:rFonts w:ascii="Arial" w:cs="Arial" w:eastAsia="Arial" w:hAnsi="Arial"/>
          <w:b/>
          <w:bCs/>
          <w:color w:val="4A5568"/>
          <w:sz w:val="20"/>
          <w:szCs w:val="20"/>
        </w:rPr>
        <w:t xml:space="preserve">     Support: </w:t>
      </w:r>
      <w:r>
        <w:rPr>
          <w:rFonts w:ascii="Arial" w:cs="Arial" w:eastAsia="Arial" w:hAnsi="Arial"/>
          <w:color w:val="1A1A2E"/>
          <w:sz w:val="20"/>
          <w:szCs w:val="20"/>
        </w:rPr>
        <w:t xml:space="preserve">Claude review — claimed but not shown in manuscript</w:t>
      </w:r>
    </w:p>
    <w:p>
      <w:pPr>
        <w:spacing w:before="60" w:after="60" w:line="280"/>
        <w:ind w:left="360"/>
      </w:pPr>
      <w:r>
        <w:rPr>
          <w:rFonts w:ascii="Arial" w:cs="Arial" w:eastAsia="Arial" w:hAnsi="Arial"/>
          <w:color w:val="1A1A2E"/>
          <w:sz w:val="21"/>
          <w:szCs w:val="21"/>
        </w:rPr>
        <w:t xml:space="preserve">1.  Split the RDD bandwidth sample (LTV within +/-10pp of 80%) into three income terciles based on the BLACK applicant income distribution.</w:t>
      </w:r>
    </w:p>
    <w:p>
      <w:pPr>
        <w:spacing w:before="60" w:after="60" w:line="280"/>
        <w:ind w:left="360"/>
      </w:pPr>
      <w:r>
        <w:rPr>
          <w:rFonts w:ascii="Arial" w:cs="Arial" w:eastAsia="Arial" w:hAnsi="Arial"/>
          <w:color w:val="1A1A2E"/>
          <w:sz w:val="21"/>
          <w:szCs w:val="21"/>
        </w:rPr>
        <w:t xml:space="preserve">2.  Estimate theta (Black x Above80 interaction coefficient) separately for the low, middle, and high income terciles.</w:t>
      </w:r>
    </w:p>
    <w:p>
      <w:pPr>
        <w:spacing w:before="60" w:after="60" w:line="280"/>
        <w:ind w:left="360"/>
      </w:pPr>
      <w:r>
        <w:rPr>
          <w:rFonts w:ascii="Arial" w:cs="Arial" w:eastAsia="Arial" w:hAnsi="Arial"/>
          <w:color w:val="1A1A2E"/>
          <w:sz w:val="21"/>
          <w:szCs w:val="21"/>
        </w:rPr>
        <w:t xml:space="preserve">3.  Test for monotonicity: Is theta larger in absolute value for higher-income terciles?</w:t>
      </w:r>
    </w:p>
    <w:p>
      <w:pPr>
        <w:spacing w:before="60" w:after="60" w:line="280"/>
        <w:ind w:left="360"/>
      </w:pPr>
      <w:r>
        <w:rPr>
          <w:rFonts w:ascii="Arial" w:cs="Arial" w:eastAsia="Arial" w:hAnsi="Arial"/>
          <w:color w:val="1A1A2E"/>
          <w:sz w:val="21"/>
          <w:szCs w:val="21"/>
        </w:rPr>
        <w:t xml:space="preserve">4.  If YES: This is direct evidence against statistical discrimination (the gap is LARGEST among high-income Black applicants at the threshold, where credit quality signals are strongest).</w:t>
      </w:r>
    </w:p>
    <w:p>
      <w:pPr>
        <w:spacing w:before="60" w:after="60" w:line="280"/>
        <w:ind w:left="360"/>
      </w:pPr>
      <w:r>
        <w:rPr>
          <w:rFonts w:ascii="Arial" w:cs="Arial" w:eastAsia="Arial" w:hAnsi="Arial"/>
          <w:color w:val="1A1A2E"/>
          <w:sz w:val="21"/>
          <w:szCs w:val="21"/>
        </w:rPr>
        <w:t xml:space="preserve">5.  Report as Table 7c: 'RDD Threshold Effect by Applicant Income Tercile'.</w:t>
      </w:r>
    </w:p>
    <w:p>
      <w:pPr>
        <w:spacing w:before="60" w:after="60" w:line="280"/>
        <w:ind w:left="360"/>
      </w:pPr>
      <w:r>
        <w:rPr>
          <w:rFonts w:ascii="Arial" w:cs="Arial" w:eastAsia="Arial" w:hAnsi="Arial"/>
          <w:color w:val="1A1A2E"/>
          <w:sz w:val="21"/>
          <w:szCs w:val="21"/>
        </w:rPr>
        <w:t xml:space="preserve">6.  Include a brief formal test of the income gradient (linear trend in theta across terciles).</w:t>
      </w:r>
    </w:p>
    <w:p>
      <w:pPr>
        <w:spacing w:before="60" w:after="60" w:line="280"/>
        <w:ind w:left="360"/>
      </w:pPr>
      <w:r>
        <w:rPr>
          <w:rFonts w:ascii="Arial" w:cs="Arial" w:eastAsia="Arial" w:hAnsi="Arial"/>
          <w:color w:val="1A1A2E"/>
          <w:sz w:val="21"/>
          <w:szCs w:val="21"/>
        </w:rPr>
        <w:t xml:space="preserve">7.  NOTE: If this gradient does NOT exist clearly, remove the claim in Section 6.3 that references it.</w:t>
      </w:r>
    </w:p>
    <w:p>
      <w:pPr>
        <w:spacing w:before="0" w:after="100"/>
      </w:pPr>
      <w:r>
        <w:rPr>
          <w:rFonts w:ascii="Arial" w:cs="Arial" w:eastAsia="Arial" w:hAnsi="Arial"/>
          <w:b w:val="false"/>
          <w:bCs w:val="false"/>
          <w:i w:val="false"/>
          <w:iCs w:val="false"/>
          <w:color w:val="1A1A2E"/>
          <w:sz w:val="22"/>
          <w:szCs w:val="22"/>
        </w:rPr>
        <w:t xml:space="preserve"/>
      </w:r>
    </w:p>
    <w:p>
      <w:pPr>
        <w:spacing w:before="280" w:after="100"/>
      </w:pPr>
      <w:r>
        <w:rPr>
          <w:rFonts w:ascii="Arial" w:cs="Arial" w:eastAsia="Arial" w:hAnsi="Arial"/>
          <w:b/>
          <w:bCs/>
          <w:color w:val="2E5FA3"/>
          <w:sz w:val="24"/>
          <w:szCs w:val="24"/>
        </w:rPr>
        <w:t xml:space="preserve">T2-B5  </w:t>
      </w:r>
      <w:r>
        <w:rPr>
          <w:rFonts w:ascii="Arial" w:cs="Arial" w:eastAsia="Arial" w:hAnsi="Arial"/>
          <w:b/>
          <w:bCs/>
          <w:color w:val="1B3A6B"/>
          <w:sz w:val="24"/>
          <w:szCs w:val="24"/>
        </w:rPr>
        <w:t xml:space="preserve">Callaway-Sant’Anna Staggered DiD Estimator</w:t>
      </w:r>
    </w:p>
    <w:p>
      <w:pPr>
        <w:spacing w:before="0" w:after="80"/>
      </w:pPr>
      <w:r>
        <w:rPr>
          <w:rFonts w:ascii="Arial" w:cs="Arial" w:eastAsia="Arial" w:hAnsi="Arial"/>
          <w:b/>
          <w:bCs/>
          <w:color w:val="4A5568"/>
          <w:sz w:val="20"/>
          <w:szCs w:val="20"/>
        </w:rPr>
        <w:t xml:space="preserve">Time Required: </w:t>
      </w:r>
      <w:r>
        <w:rPr>
          <w:rFonts w:ascii="Arial" w:cs="Arial" w:eastAsia="Arial" w:hAnsi="Arial"/>
          <w:color w:val="1A1A2E"/>
          <w:sz w:val="20"/>
          <w:szCs w:val="20"/>
        </w:rPr>
        <w:t xml:space="preserve">1-2 weeks</w:t>
      </w:r>
      <w:r>
        <w:rPr>
          <w:rFonts w:ascii="Arial" w:cs="Arial" w:eastAsia="Arial" w:hAnsi="Arial"/>
          <w:b/>
          <w:bCs/>
          <w:color w:val="4A5568"/>
          <w:sz w:val="20"/>
          <w:szCs w:val="20"/>
        </w:rPr>
        <w:t xml:space="preserve">     Support: </w:t>
      </w:r>
      <w:r>
        <w:rPr>
          <w:rFonts w:ascii="Arial" w:cs="Arial" w:eastAsia="Arial" w:hAnsi="Arial"/>
          <w:color w:val="1A1A2E"/>
          <w:sz w:val="20"/>
          <w:szCs w:val="20"/>
        </w:rPr>
        <w:t xml:space="preserve">AI-3 (stacked DiD) + Claude (CS estimator)</w:t>
      </w:r>
    </w:p>
    <w:p>
      <w:pPr>
        <w:spacing w:before="60" w:after="60" w:line="280"/>
        <w:ind w:left="360"/>
      </w:pPr>
      <w:r>
        <w:rPr>
          <w:rFonts w:ascii="Arial" w:cs="Arial" w:eastAsia="Arial" w:hAnsi="Arial"/>
          <w:color w:val="1A1A2E"/>
          <w:sz w:val="21"/>
          <w:szCs w:val="21"/>
        </w:rPr>
        <w:t xml:space="preserve">1.  The standard TWFE DiD assumes homogeneous treatment timing. But lenders tightened at different rates in 2022-2023.</w:t>
      </w:r>
    </w:p>
    <w:p>
      <w:pPr>
        <w:spacing w:before="60" w:after="60" w:line="280"/>
        <w:ind w:left="360"/>
      </w:pPr>
      <w:r>
        <w:rPr>
          <w:rFonts w:ascii="Arial" w:cs="Arial" w:eastAsia="Arial" w:hAnsi="Arial"/>
          <w:color w:val="1A1A2E"/>
          <w:sz w:val="21"/>
          <w:szCs w:val="21"/>
        </w:rPr>
        <w:t xml:space="preserve">2.  Classify lenders into tightening cohorts based on when their individual within-lender racial gap exceeded their 2021 baseline by a threshold amount.</w:t>
      </w:r>
    </w:p>
    <w:p>
      <w:pPr>
        <w:spacing w:before="60" w:after="60" w:line="280"/>
        <w:ind w:left="360"/>
      </w:pPr>
      <w:r>
        <w:rPr>
          <w:rFonts w:ascii="Arial" w:cs="Arial" w:eastAsia="Arial" w:hAnsi="Arial"/>
          <w:color w:val="1A1A2E"/>
          <w:sz w:val="21"/>
          <w:szCs w:val="21"/>
        </w:rPr>
        <w:t xml:space="preserve">3.  Use the Callaway-Sant'Anna (2021) estimator available in R package 'did' or Stata package 'csdid'.</w:t>
      </w:r>
    </w:p>
    <w:p>
      <w:pPr>
        <w:spacing w:before="60" w:after="60" w:line="280"/>
        <w:ind w:left="360"/>
      </w:pPr>
      <w:r>
        <w:rPr>
          <w:rFonts w:ascii="Arial" w:cs="Arial" w:eastAsia="Arial" w:hAnsi="Arial"/>
          <w:color w:val="1A1A2E"/>
          <w:sz w:val="21"/>
          <w:szCs w:val="21"/>
        </w:rPr>
        <w:t xml:space="preserve">4.  Report aggregate ATT and event-study plot with Callaway-Sant'Anna confidence intervals.</w:t>
      </w:r>
    </w:p>
    <w:p>
      <w:pPr>
        <w:spacing w:before="60" w:after="60" w:line="280"/>
        <w:ind w:left="360"/>
      </w:pPr>
      <w:r>
        <w:rPr>
          <w:rFonts w:ascii="Arial" w:cs="Arial" w:eastAsia="Arial" w:hAnsi="Arial"/>
          <w:color w:val="1A1A2E"/>
          <w:sz w:val="21"/>
          <w:szCs w:val="21"/>
        </w:rPr>
        <w:t xml:space="preserve">5.  Compare to your existing TWFE estimate. If they are similar, confirms robustness. If different, report and explain.</w:t>
      </w:r>
    </w:p>
    <w:p>
      <w:pPr>
        <w:spacing w:before="60" w:after="60" w:line="280"/>
        <w:ind w:left="360"/>
      </w:pPr>
      <w:r>
        <w:rPr>
          <w:rFonts w:ascii="Arial" w:cs="Arial" w:eastAsia="Arial" w:hAnsi="Arial"/>
          <w:color w:val="1A1A2E"/>
          <w:sz w:val="21"/>
          <w:szCs w:val="21"/>
        </w:rPr>
        <w:t xml:space="preserve">6.  This upgrade directly addresses the pre-trend and parallel trends concerns from 7 of 8 reviewers.</w:t>
      </w:r>
    </w:p>
    <w:p>
      <w:pPr>
        <w:spacing w:before="0" w:after="100"/>
      </w:pPr>
      <w:r>
        <w:rPr>
          <w:rFonts w:ascii="Arial" w:cs="Arial" w:eastAsia="Arial" w:hAnsi="Arial"/>
          <w:b w:val="false"/>
          <w:bCs w:val="false"/>
          <w:i w:val="false"/>
          <w:iCs w:val="false"/>
          <w:color w:val="1A1A2E"/>
          <w:sz w:val="22"/>
          <w:szCs w:val="22"/>
        </w:rPr>
        <w:t xml:space="preserve"/>
      </w:r>
    </w:p>
    <w:p>
      <w:pPr>
        <w:spacing w:before="0" w:after="0"/>
      </w:pPr>
      <w:r>
        <w:br w:type="page"/>
      </w:r>
    </w:p>
    <w:p>
      <w:pPr>
        <w:pStyle w:val="Heading2"/>
        <w:spacing w:before="360" w:after="160"/>
        <w:outlineLvl w:val="1"/>
      </w:pPr>
      <w:r>
        <w:rPr>
          <w:rFonts w:ascii="Arial" w:cs="Arial" w:eastAsia="Arial" w:hAnsi="Arial"/>
          <w:b/>
          <w:bCs/>
          <w:color w:val="1A6B5A"/>
          <w:sz w:val="28"/>
          <w:szCs w:val="28"/>
        </w:rPr>
        <w:t xml:space="preserve">TIER 3 — OPTIONAL ACTIONS (Only After Tier 1 and 2 Are Complete)</w:t>
      </w:r>
    </w:p>
    <w:p>
      <w:pPr>
        <w:spacing w:before="0" w:after="80"/>
      </w:pPr>
      <w:r>
        <w:rPr>
          <w:rFonts w:ascii="Arial" w:cs="Arial" w:eastAsia="Arial" w:hAnsi="Arial"/>
          <w:b w:val="false"/>
          <w:bCs w:val="false"/>
          <w:i w:val="false"/>
          <w:iCs w:val="false"/>
          <w:color w:val="1A1A2E"/>
          <w:sz w:val="22"/>
          <w:szCs w:val="22"/>
        </w:rPr>
        <w:t xml:space="preserve"/>
      </w:r>
    </w:p>
    <w:p>
      <w:pPr>
        <w:spacing w:before="0" w:after="100" w:line="276"/>
        <w:jc w:val="left"/>
      </w:pPr>
      <w:r>
        <w:rPr>
          <w:rFonts w:ascii="Arial" w:cs="Arial" w:eastAsia="Arial" w:hAnsi="Arial"/>
          <w:b/>
          <w:bCs/>
          <w:i w:val="false"/>
          <w:iCs w:val="false"/>
          <w:color w:val="1A6B5A"/>
          <w:sz w:val="22"/>
          <w:szCs w:val="22"/>
        </w:rPr>
        <w:t xml:space="preserve">T3-C1  Strengthen the HOLC Redlining Analysis</w:t>
      </w:r>
    </w:p>
    <w:p>
      <w:pPr>
        <w:spacing w:before="80" w:after="120" w:line="276"/>
        <w:jc w:val="left"/>
      </w:pPr>
      <w:r>
        <w:rPr>
          <w:rFonts w:ascii="Arial" w:cs="Arial" w:eastAsia="Arial" w:hAnsi="Arial"/>
          <w:b w:val="false"/>
          <w:bCs w:val="false"/>
          <w:i w:val="false"/>
          <w:iCs w:val="false"/>
          <w:color w:val="1A1A2E"/>
          <w:sz w:val="21"/>
          <w:szCs w:val="21"/>
        </w:rPr>
        <w:t xml:space="preserve">Multiple sources noted this section is 'too thin.' Add county-level controls for contemporary poverty rate, median housing age, and Black population share interacted with HOLC coverage. Use state x census division fixed effects. This moves the HOLC analysis from descriptive spatial correlation to a more credibly controlled historical persistence test.</w:t>
      </w:r>
    </w:p>
    <w:p>
      <w:pPr>
        <w:spacing w:before="0" w:after="100" w:line="276"/>
        <w:jc w:val="left"/>
      </w:pPr>
      <w:r>
        <w:rPr>
          <w:rFonts w:ascii="Arial" w:cs="Arial" w:eastAsia="Arial" w:hAnsi="Arial"/>
          <w:b/>
          <w:bCs/>
          <w:i w:val="false"/>
          <w:iCs w:val="false"/>
          <w:color w:val="1A6B5A"/>
          <w:sz w:val="22"/>
          <w:szCs w:val="22"/>
        </w:rPr>
        <w:t xml:space="preserve">T3-C2  Rate-Spread Heterogeneity for Approved Loans</w:t>
      </w:r>
    </w:p>
    <w:p>
      <w:pPr>
        <w:spacing w:before="80" w:after="120" w:line="276"/>
        <w:jc w:val="left"/>
      </w:pPr>
      <w:r>
        <w:rPr>
          <w:rFonts w:ascii="Arial" w:cs="Arial" w:eastAsia="Arial" w:hAnsi="Arial"/>
          <w:b w:val="false"/>
          <w:bCs w:val="false"/>
          <w:i w:val="false"/>
          <w:iCs w:val="false"/>
          <w:color w:val="1A1A2E"/>
          <w:sz w:val="21"/>
          <w:szCs w:val="21"/>
        </w:rPr>
        <w:t xml:space="preserve">For the ~95% of approved applications where rate spread is reported, test whether Black borrowers receive higher rate spreads at the 80% LTV threshold. This extends the PMI mechanism from approval to pricing, connecting your RDD finding to the Bhutta and Hizmo (2021) interest rate literature.</w:t>
      </w:r>
    </w:p>
    <w:p>
      <w:pPr>
        <w:spacing w:before="0" w:after="100" w:line="276"/>
        <w:jc w:val="left"/>
      </w:pPr>
      <w:r>
        <w:rPr>
          <w:rFonts w:ascii="Arial" w:cs="Arial" w:eastAsia="Arial" w:hAnsi="Arial"/>
          <w:b/>
          <w:bCs/>
          <w:i w:val="false"/>
          <w:iCs w:val="false"/>
          <w:color w:val="1A6B5A"/>
          <w:sz w:val="22"/>
          <w:szCs w:val="22"/>
        </w:rPr>
        <w:t xml:space="preserve">T3-C3  Recalculate the 126,000 Foregone Approval Figure</w:t>
      </w:r>
    </w:p>
    <w:p>
      <w:pPr>
        <w:spacing w:before="80" w:after="120" w:line="276"/>
        <w:jc w:val="left"/>
      </w:pPr>
      <w:r>
        <w:rPr>
          <w:rFonts w:ascii="Arial" w:cs="Arial" w:eastAsia="Arial" w:hAnsi="Arial"/>
          <w:b w:val="false"/>
          <w:bCs w:val="false"/>
          <w:i w:val="false"/>
          <w:iCs w:val="false"/>
          <w:color w:val="1A1A2E"/>
          <w:sz w:val="21"/>
          <w:szCs w:val="21"/>
        </w:rPr>
        <w:t xml:space="preserve">The current figure uses the raw 14.95 pp gap. Replace with a range: present both the raw-gap calculation AND a Manski-lower-bound calculation (using 9.89 pp). This shows intellectual honesty and avoids the 'that's just the data limitation gap' critique.</w:t>
      </w:r>
    </w:p>
    <w:p>
      <w:pPr>
        <w:spacing w:before="0" w:after="0"/>
      </w:pPr>
      <w:r>
        <w:br w:type="page"/>
      </w:r>
    </w:p>
    <w:p>
      <w:pPr>
        <w:pStyle w:val="Heading1"/>
        <w:pBdr>
          <w:bottom w:val="single" w:color="1B3A6B" w:sz="8" w:space="4"/>
        </w:pBdr>
        <w:spacing w:before="480" w:after="200"/>
        <w:outlineLvl w:val="0"/>
      </w:pPr>
      <w:r>
        <w:rPr>
          <w:rFonts w:ascii="Arial" w:cs="Arial" w:eastAsia="Arial" w:hAnsi="Arial"/>
          <w:b/>
          <w:bCs/>
          <w:color w:val="1B3A6B"/>
          <w:sz w:val="36"/>
          <w:szCs w:val="36"/>
        </w:rPr>
        <w:t xml:space="preserve">PART 5 — LANGUAGE SURGERY</w:t>
      </w:r>
    </w:p>
    <w:p>
      <w:pPr>
        <w:spacing w:before="0" w:after="100" w:line="276"/>
        <w:jc w:val="left"/>
      </w:pPr>
      <w:r>
        <w:rPr>
          <w:rFonts w:ascii="Arial" w:cs="Arial" w:eastAsia="Arial" w:hAnsi="Arial"/>
          <w:b w:val="false"/>
          <w:bCs w:val="false"/>
          <w:i w:val="false"/>
          <w:iCs w:val="false"/>
          <w:color w:val="4A5568"/>
          <w:sz w:val="22"/>
          <w:szCs w:val="22"/>
        </w:rPr>
        <w:t xml:space="preserve">Replace EVERY instance of the left column with the corresponding right column throughout the entire manuscript. Use Find &amp; Replace in Word. This is not optional — these specific phrases will trigger rejection from careful referees.</w:t>
      </w:r>
    </w:p>
    <w:p>
      <w:pPr>
        <w:spacing w:before="0" w:after="16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tcPr>
          <w:p>
            <w:pPr>
              <w:spacing w:before="0" w:after="100" w:line="276"/>
              <w:jc w:val="left"/>
            </w:pPr>
            <w:r>
              <w:rPr>
                <w:rFonts w:ascii="Arial" w:cs="Arial" w:eastAsia="Arial" w:hAnsi="Arial"/>
                <w:b/>
                <w:bCs/>
                <w:i w:val="false"/>
                <w:iCs w:val="false"/>
                <w:color w:val="FFFFFF"/>
                <w:sz w:val="22"/>
                <w:szCs w:val="22"/>
              </w:rPr>
              <w:t xml:space="preserve">DELETE THIS PHRASE</w:t>
            </w:r>
          </w:p>
        </w:tc>
        <w:tc>
          <w:tcPr>
            <w:tcBorders>
              <w:top w:val="single" w:color="1A6B5A" w:sz="1"/>
              <w:left w:val="single" w:color="1A6B5A" w:sz="1"/>
              <w:bottom w:val="single" w:color="1A6B5A" w:sz="1"/>
              <w:right w:val="single" w:color="1A6B5A" w:sz="1"/>
            </w:tcBorders>
            <w:shd w:fill="1A6B5A" w:val="clear"/>
            <w:tcMar>
              <w:top w:type="dxa" w:w="100"/>
              <w:left w:type="dxa" w:w="140"/>
              <w:bottom w:type="dxa" w:w="100"/>
              <w:right w:type="dxa" w:w="140"/>
            </w:tcMar>
          </w:tcPr>
          <w:p>
            <w:pPr>
              <w:spacing w:before="0" w:after="100" w:line="276"/>
              <w:jc w:val="left"/>
            </w:pPr>
            <w:r>
              <w:rPr>
                <w:rFonts w:ascii="Arial" w:cs="Arial" w:eastAsia="Arial" w:hAnsi="Arial"/>
                <w:b/>
                <w:bCs/>
                <w:i w:val="false"/>
                <w:iCs w:val="false"/>
                <w:color w:val="FFFFFF"/>
                <w:sz w:val="22"/>
                <w:szCs w:val="22"/>
              </w:rPr>
              <w:t xml:space="preserve">REPLACE WITH THIS</w:t>
            </w:r>
          </w:p>
        </w:tc>
      </w:tr>
      <w:tr>
        <w:tc>
          <w:tcPr>
            <w:tcBorders>
              <w:top w:val="single" w:color="BDC6D4" w:sz="1"/>
              <w:left w:val="single" w:color="BDC6D4" w:sz="1"/>
              <w:bottom w:val="single" w:color="BDC6D4" w:sz="1"/>
              <w:right w:val="single" w:color="BDC6D4" w:sz="1"/>
            </w:tcBorders>
            <w:shd w:fill="FFF5F5" w:val="clear"/>
            <w:tcMar>
              <w:top w:type="dxa" w:w="100"/>
              <w:left w:type="dxa" w:w="140"/>
              <w:bottom w:type="dxa" w:w="100"/>
              <w:right w:type="dxa" w:w="140"/>
            </w:tcMar>
          </w:tcPr>
          <w:p>
            <w:pPr>
              <w:spacing w:before="40" w:after="40"/>
            </w:pPr>
            <w:r>
              <w:rPr>
                <w:rFonts w:ascii="Arial" w:cs="Arial" w:eastAsia="Arial" w:hAnsi="Arial"/>
                <w:color w:val="1A1A2E"/>
                <w:sz w:val="21"/>
                <w:szCs w:val="21"/>
              </w:rPr>
              <w:t xml:space="preserve">differential treatment</w:t>
            </w:r>
          </w:p>
        </w:tc>
        <w:tc>
          <w:tcPr>
            <w:tcBorders>
              <w:top w:val="single" w:color="BDC6D4" w:sz="1"/>
              <w:left w:val="single" w:color="BDC6D4" w:sz="1"/>
              <w:bottom w:val="single" w:color="BDC6D4" w:sz="1"/>
              <w:right w:val="single" w:color="BDC6D4" w:sz="1"/>
            </w:tcBorders>
            <w:shd w:fill="F5FFF8" w:val="clear"/>
            <w:tcMar>
              <w:top w:type="dxa" w:w="100"/>
              <w:left w:type="dxa" w:w="140"/>
              <w:bottom w:type="dxa" w:w="100"/>
              <w:right w:type="dxa" w:w="140"/>
            </w:tcMar>
          </w:tcPr>
          <w:p>
            <w:pPr>
              <w:spacing w:before="40" w:after="40"/>
            </w:pPr>
            <w:r>
              <w:rPr>
                <w:rFonts w:ascii="Arial" w:cs="Arial" w:eastAsia="Arial" w:hAnsi="Arial"/>
                <w:color w:val="1A1A2E"/>
                <w:sz w:val="21"/>
                <w:szCs w:val="21"/>
              </w:rPr>
              <w:t xml:space="preserve">differential institutional outcomes</w:t>
            </w:r>
          </w:p>
        </w:tc>
      </w:tr>
      <w:tr>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40" w:after="40"/>
            </w:pPr>
            <w:r>
              <w:rPr>
                <w:rFonts w:ascii="Arial" w:cs="Arial" w:eastAsia="Arial" w:hAnsi="Arial"/>
                <w:color w:val="1A1A2E"/>
                <w:sz w:val="21"/>
                <w:szCs w:val="21"/>
              </w:rPr>
              <w:t xml:space="preserve">evidence of discrimination</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40" w:after="40"/>
            </w:pPr>
            <w:r>
              <w:rPr>
                <w:rFonts w:ascii="Arial" w:cs="Arial" w:eastAsia="Arial" w:hAnsi="Arial"/>
                <w:color w:val="1A1A2E"/>
                <w:sz w:val="21"/>
                <w:szCs w:val="21"/>
              </w:rPr>
              <w:t xml:space="preserve">evidence inconsistent with risk-based explanations alone</w:t>
            </w:r>
          </w:p>
        </w:tc>
      </w:tr>
      <w:tr>
        <w:tc>
          <w:tcPr>
            <w:tcBorders>
              <w:top w:val="single" w:color="BDC6D4" w:sz="1"/>
              <w:left w:val="single" w:color="BDC6D4" w:sz="1"/>
              <w:bottom w:val="single" w:color="BDC6D4" w:sz="1"/>
              <w:right w:val="single" w:color="BDC6D4" w:sz="1"/>
            </w:tcBorders>
            <w:shd w:fill="FFF5F5" w:val="clear"/>
            <w:tcMar>
              <w:top w:type="dxa" w:w="100"/>
              <w:left w:type="dxa" w:w="140"/>
              <w:bottom w:type="dxa" w:w="100"/>
              <w:right w:type="dxa" w:w="140"/>
            </w:tcMar>
          </w:tcPr>
          <w:p>
            <w:pPr>
              <w:spacing w:before="40" w:after="40"/>
            </w:pPr>
            <w:r>
              <w:rPr>
                <w:rFonts w:ascii="Arial" w:cs="Arial" w:eastAsia="Arial" w:hAnsi="Arial"/>
                <w:color w:val="1A1A2E"/>
                <w:sz w:val="21"/>
                <w:szCs w:val="21"/>
              </w:rPr>
              <w:t xml:space="preserve">98.6% of the gap remains unexplained</w:t>
            </w:r>
          </w:p>
        </w:tc>
        <w:tc>
          <w:tcPr>
            <w:tcBorders>
              <w:top w:val="single" w:color="BDC6D4" w:sz="1"/>
              <w:left w:val="single" w:color="BDC6D4" w:sz="1"/>
              <w:bottom w:val="single" w:color="BDC6D4" w:sz="1"/>
              <w:right w:val="single" w:color="BDC6D4" w:sz="1"/>
            </w:tcBorders>
            <w:shd w:fill="F5FFF8" w:val="clear"/>
            <w:tcMar>
              <w:top w:type="dxa" w:w="100"/>
              <w:left w:type="dxa" w:w="140"/>
              <w:bottom w:type="dxa" w:w="100"/>
              <w:right w:type="dxa" w:w="140"/>
            </w:tcMar>
          </w:tcPr>
          <w:p>
            <w:pPr>
              <w:spacing w:before="40" w:after="40"/>
            </w:pPr>
            <w:r>
              <w:rPr>
                <w:rFonts w:ascii="Arial" w:cs="Arial" w:eastAsia="Arial" w:hAnsi="Arial"/>
                <w:color w:val="1A1A2E"/>
                <w:sz w:val="21"/>
                <w:szCs w:val="21"/>
              </w:rPr>
              <w:t xml:space="preserve">98.6% of the gap is not explained by HMDA-observable financial characteristics</w:t>
            </w:r>
          </w:p>
        </w:tc>
      </w:tr>
      <w:tr>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40" w:after="40"/>
            </w:pPr>
            <w:r>
              <w:rPr>
                <w:rFonts w:ascii="Arial" w:cs="Arial" w:eastAsia="Arial" w:hAnsi="Arial"/>
                <w:color w:val="1A1A2E"/>
                <w:sz w:val="21"/>
                <w:szCs w:val="21"/>
              </w:rPr>
              <w:t xml:space="preserve">institutional practices of differential treatment</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40" w:after="40"/>
            </w:pPr>
            <w:r>
              <w:rPr>
                <w:rFonts w:ascii="Arial" w:cs="Arial" w:eastAsia="Arial" w:hAnsi="Arial"/>
                <w:color w:val="1A1A2E"/>
                <w:sz w:val="21"/>
                <w:szCs w:val="21"/>
              </w:rPr>
              <w:t xml:space="preserve">institutional underwriting patterns that generate differential outcomes</w:t>
            </w:r>
          </w:p>
        </w:tc>
      </w:tr>
      <w:tr>
        <w:tc>
          <w:tcPr>
            <w:tcBorders>
              <w:top w:val="single" w:color="BDC6D4" w:sz="1"/>
              <w:left w:val="single" w:color="BDC6D4" w:sz="1"/>
              <w:bottom w:val="single" w:color="BDC6D4" w:sz="1"/>
              <w:right w:val="single" w:color="BDC6D4" w:sz="1"/>
            </w:tcBorders>
            <w:shd w:fill="FFF5F5" w:val="clear"/>
            <w:tcMar>
              <w:top w:type="dxa" w:w="100"/>
              <w:left w:type="dxa" w:w="140"/>
              <w:bottom w:type="dxa" w:w="100"/>
              <w:right w:type="dxa" w:w="140"/>
            </w:tcMar>
          </w:tcPr>
          <w:p>
            <w:pPr>
              <w:spacing w:before="40" w:after="40"/>
            </w:pPr>
            <w:r>
              <w:rPr>
                <w:rFonts w:ascii="Arial" w:cs="Arial" w:eastAsia="Arial" w:hAnsi="Arial"/>
                <w:color w:val="1A1A2E"/>
                <w:sz w:val="21"/>
                <w:szCs w:val="21"/>
              </w:rPr>
              <w:t xml:space="preserve">we document discrimination</w:t>
            </w:r>
          </w:p>
        </w:tc>
        <w:tc>
          <w:tcPr>
            <w:tcBorders>
              <w:top w:val="single" w:color="BDC6D4" w:sz="1"/>
              <w:left w:val="single" w:color="BDC6D4" w:sz="1"/>
              <w:bottom w:val="single" w:color="BDC6D4" w:sz="1"/>
              <w:right w:val="single" w:color="BDC6D4" w:sz="1"/>
            </w:tcBorders>
            <w:shd w:fill="F5FFF8" w:val="clear"/>
            <w:tcMar>
              <w:top w:type="dxa" w:w="100"/>
              <w:left w:type="dxa" w:w="140"/>
              <w:bottom w:type="dxa" w:w="100"/>
              <w:right w:type="dxa" w:w="140"/>
            </w:tcMar>
          </w:tcPr>
          <w:p>
            <w:pPr>
              <w:spacing w:before="40" w:after="40"/>
            </w:pPr>
            <w:r>
              <w:rPr>
                <w:rFonts w:ascii="Arial" w:cs="Arial" w:eastAsia="Arial" w:hAnsi="Arial"/>
                <w:color w:val="1A1A2E"/>
                <w:sz w:val="21"/>
                <w:szCs w:val="21"/>
              </w:rPr>
              <w:t xml:space="preserve">we document persistent approval differentials that survive conservative bounding</w:t>
            </w:r>
          </w:p>
        </w:tc>
      </w:tr>
      <w:tr>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40" w:after="40"/>
            </w:pPr>
            <w:r>
              <w:rPr>
                <w:rFonts w:ascii="Arial" w:cs="Arial" w:eastAsia="Arial" w:hAnsi="Arial"/>
                <w:color w:val="1A1A2E"/>
                <w:sz w:val="21"/>
                <w:szCs w:val="21"/>
              </w:rPr>
              <w:t xml:space="preserve">quasi-experimental evidence of</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40" w:after="40"/>
            </w:pPr>
            <w:r>
              <w:rPr>
                <w:rFonts w:ascii="Arial" w:cs="Arial" w:eastAsia="Arial" w:hAnsi="Arial"/>
                <w:color w:val="1A1A2E"/>
                <w:sz w:val="21"/>
                <w:szCs w:val="21"/>
              </w:rPr>
              <w:t xml:space="preserve">evidence from quasi-experimental designs consistent with</w:t>
            </w:r>
          </w:p>
        </w:tc>
      </w:tr>
      <w:tr>
        <w:tc>
          <w:tcPr>
            <w:tcBorders>
              <w:top w:val="single" w:color="BDC6D4" w:sz="1"/>
              <w:left w:val="single" w:color="BDC6D4" w:sz="1"/>
              <w:bottom w:val="single" w:color="BDC6D4" w:sz="1"/>
              <w:right w:val="single" w:color="BDC6D4" w:sz="1"/>
            </w:tcBorders>
            <w:shd w:fill="FFF5F5" w:val="clear"/>
            <w:tcMar>
              <w:top w:type="dxa" w:w="100"/>
              <w:left w:type="dxa" w:w="140"/>
              <w:bottom w:type="dxa" w:w="100"/>
              <w:right w:type="dxa" w:w="140"/>
            </w:tcMar>
          </w:tcPr>
          <w:p>
            <w:pPr>
              <w:spacing w:before="40" w:after="40"/>
            </w:pPr>
            <w:r>
              <w:rPr>
                <w:rFonts w:ascii="Arial" w:cs="Arial" w:eastAsia="Arial" w:hAnsi="Arial"/>
                <w:color w:val="1A1A2E"/>
                <w:sz w:val="21"/>
                <w:szCs w:val="21"/>
              </w:rPr>
              <w:t xml:space="preserve">tightening widened the gap through differential discretion</w:t>
            </w:r>
          </w:p>
        </w:tc>
        <w:tc>
          <w:tcPr>
            <w:tcBorders>
              <w:top w:val="single" w:color="BDC6D4" w:sz="1"/>
              <w:left w:val="single" w:color="BDC6D4" w:sz="1"/>
              <w:bottom w:val="single" w:color="BDC6D4" w:sz="1"/>
              <w:right w:val="single" w:color="BDC6D4" w:sz="1"/>
            </w:tcBorders>
            <w:shd w:fill="F5FFF8" w:val="clear"/>
            <w:tcMar>
              <w:top w:type="dxa" w:w="100"/>
              <w:left w:type="dxa" w:w="140"/>
              <w:bottom w:type="dxa" w:w="100"/>
              <w:right w:type="dxa" w:w="140"/>
            </w:tcMar>
          </w:tcPr>
          <w:p>
            <w:pPr>
              <w:spacing w:before="40" w:after="40"/>
            </w:pPr>
            <w:r>
              <w:rPr>
                <w:rFonts w:ascii="Arial" w:cs="Arial" w:eastAsia="Arial" w:hAnsi="Arial"/>
                <w:color w:val="1A1A2E"/>
                <w:sz w:val="21"/>
                <w:szCs w:val="21"/>
              </w:rPr>
              <w:t xml:space="preserve">tightening is associated with a widening of within-lender differentials</w:t>
            </w:r>
          </w:p>
        </w:tc>
      </w:tr>
      <w:tr>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40" w:after="40"/>
            </w:pPr>
            <w:r>
              <w:rPr>
                <w:rFonts w:ascii="Arial" w:cs="Arial" w:eastAsia="Arial" w:hAnsi="Arial"/>
                <w:color w:val="1A1A2E"/>
                <w:sz w:val="21"/>
                <w:szCs w:val="21"/>
              </w:rPr>
              <w:t xml:space="preserve">proves the gap is not risk</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40" w:after="40"/>
            </w:pPr>
            <w:r>
              <w:rPr>
                <w:rFonts w:ascii="Arial" w:cs="Arial" w:eastAsia="Arial" w:hAnsi="Arial"/>
                <w:color w:val="1A1A2E"/>
                <w:sz w:val="21"/>
                <w:szCs w:val="21"/>
              </w:rPr>
              <w:t xml:space="preserve">is difficult to reconcile with a purely risk-based account</w:t>
            </w:r>
          </w:p>
        </w:tc>
      </w:tr>
      <w:tr>
        <w:tc>
          <w:tcPr>
            <w:tcBorders>
              <w:top w:val="single" w:color="BDC6D4" w:sz="1"/>
              <w:left w:val="single" w:color="BDC6D4" w:sz="1"/>
              <w:bottom w:val="single" w:color="BDC6D4" w:sz="1"/>
              <w:right w:val="single" w:color="BDC6D4" w:sz="1"/>
            </w:tcBorders>
            <w:shd w:fill="FFF5F5" w:val="clear"/>
            <w:tcMar>
              <w:top w:type="dxa" w:w="100"/>
              <w:left w:type="dxa" w:w="140"/>
              <w:bottom w:type="dxa" w:w="100"/>
              <w:right w:type="dxa" w:w="140"/>
            </w:tcMar>
          </w:tcPr>
          <w:p>
            <w:pPr>
              <w:spacing w:before="40" w:after="40"/>
            </w:pPr>
            <w:r>
              <w:rPr>
                <w:rFonts w:ascii="Arial" w:cs="Arial" w:eastAsia="Arial" w:hAnsi="Arial"/>
                <w:color w:val="1A1A2E"/>
                <w:sz w:val="21"/>
                <w:szCs w:val="21"/>
              </w:rPr>
              <w:t xml:space="preserve">identifies (used for RDD/DiD)</w:t>
            </w:r>
          </w:p>
        </w:tc>
        <w:tc>
          <w:tcPr>
            <w:tcBorders>
              <w:top w:val="single" w:color="BDC6D4" w:sz="1"/>
              <w:left w:val="single" w:color="BDC6D4" w:sz="1"/>
              <w:bottom w:val="single" w:color="BDC6D4" w:sz="1"/>
              <w:right w:val="single" w:color="BDC6D4" w:sz="1"/>
            </w:tcBorders>
            <w:shd w:fill="F5FFF8" w:val="clear"/>
            <w:tcMar>
              <w:top w:type="dxa" w:w="100"/>
              <w:left w:type="dxa" w:w="140"/>
              <w:bottom w:type="dxa" w:w="100"/>
              <w:right w:type="dxa" w:w="140"/>
            </w:tcMar>
          </w:tcPr>
          <w:p>
            <w:pPr>
              <w:spacing w:before="40" w:after="40"/>
            </w:pPr>
            <w:r>
              <w:rPr>
                <w:rFonts w:ascii="Arial" w:cs="Arial" w:eastAsia="Arial" w:hAnsi="Arial"/>
                <w:color w:val="1A1A2E"/>
                <w:sz w:val="21"/>
                <w:szCs w:val="21"/>
              </w:rPr>
              <w:t xml:space="preserve">documents / shows an association consistent with</w:t>
            </w:r>
          </w:p>
        </w:tc>
      </w:tr>
      <w:tr>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40" w:after="40"/>
            </w:pPr>
            <w:r>
              <w:rPr>
                <w:rFonts w:ascii="Arial" w:cs="Arial" w:eastAsia="Arial" w:hAnsi="Arial"/>
                <w:color w:val="1A1A2E"/>
                <w:sz w:val="21"/>
                <w:szCs w:val="21"/>
              </w:rPr>
              <w:t xml:space="preserve">[GitHub URL with username]</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40" w:after="40"/>
            </w:pPr>
            <w:r>
              <w:rPr>
                <w:rFonts w:ascii="Arial" w:cs="Arial" w:eastAsia="Arial" w:hAnsi="Arial"/>
                <w:color w:val="1A1A2E"/>
                <w:sz w:val="21"/>
                <w:szCs w:val="21"/>
              </w:rPr>
              <w:t xml:space="preserve">[Anonymous repository: link provided upon acceptance]</w:t>
            </w:r>
          </w:p>
        </w:tc>
      </w:tr>
      <w:tr>
        <w:tc>
          <w:tcPr>
            <w:tcBorders>
              <w:top w:val="single" w:color="BDC6D4" w:sz="1"/>
              <w:left w:val="single" w:color="BDC6D4" w:sz="1"/>
              <w:bottom w:val="single" w:color="BDC6D4" w:sz="1"/>
              <w:right w:val="single" w:color="BDC6D4" w:sz="1"/>
            </w:tcBorders>
            <w:shd w:fill="FFF5F5" w:val="clear"/>
            <w:tcMar>
              <w:top w:type="dxa" w:w="100"/>
              <w:left w:type="dxa" w:w="140"/>
              <w:bottom w:type="dxa" w:w="100"/>
              <w:right w:type="dxa" w:w="140"/>
            </w:tcMar>
          </w:tcPr>
          <w:p>
            <w:pPr>
              <w:spacing w:before="40" w:after="40"/>
            </w:pPr>
            <w:r>
              <w:rPr>
                <w:rFonts w:ascii="Arial" w:cs="Arial" w:eastAsia="Arial" w:hAnsi="Arial"/>
                <w:color w:val="1A1A2E"/>
                <w:sz w:val="21"/>
                <w:szCs w:val="21"/>
              </w:rPr>
              <w:t xml:space="preserve">the most comprehensive picture of discrimination</w:t>
            </w:r>
          </w:p>
        </w:tc>
        <w:tc>
          <w:tcPr>
            <w:tcBorders>
              <w:top w:val="single" w:color="BDC6D4" w:sz="1"/>
              <w:left w:val="single" w:color="BDC6D4" w:sz="1"/>
              <w:bottom w:val="single" w:color="BDC6D4" w:sz="1"/>
              <w:right w:val="single" w:color="BDC6D4" w:sz="1"/>
            </w:tcBorders>
            <w:shd w:fill="F5FFF8" w:val="clear"/>
            <w:tcMar>
              <w:top w:type="dxa" w:w="100"/>
              <w:left w:type="dxa" w:w="140"/>
              <w:bottom w:type="dxa" w:w="100"/>
              <w:right w:type="dxa" w:w="140"/>
            </w:tcMar>
          </w:tcPr>
          <w:p>
            <w:pPr>
              <w:spacing w:before="40" w:after="40"/>
            </w:pPr>
            <w:r>
              <w:rPr>
                <w:rFonts w:ascii="Arial" w:cs="Arial" w:eastAsia="Arial" w:hAnsi="Arial"/>
                <w:color w:val="1A1A2E"/>
                <w:sz w:val="21"/>
                <w:szCs w:val="21"/>
              </w:rPr>
              <w:t xml:space="preserve">the most comprehensive picture of approval differentials</w:t>
            </w:r>
          </w:p>
        </w:tc>
      </w:tr>
      <w:tr>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40" w:after="40"/>
            </w:pPr>
            <w:r>
              <w:rPr>
                <w:rFonts w:ascii="Arial" w:cs="Arial" w:eastAsia="Arial" w:hAnsi="Arial"/>
                <w:color w:val="1A1A2E"/>
                <w:sz w:val="21"/>
                <w:szCs w:val="21"/>
              </w:rPr>
              <w:t xml:space="preserve">cannot be reconciled with</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40" w:after="40"/>
            </w:pPr>
            <w:r>
              <w:rPr>
                <w:rFonts w:ascii="Arial" w:cs="Arial" w:eastAsia="Arial" w:hAnsi="Arial"/>
                <w:color w:val="1A1A2E"/>
                <w:sz w:val="21"/>
                <w:szCs w:val="21"/>
              </w:rPr>
              <w:t xml:space="preserve">is difficult to reconcile with</w:t>
            </w:r>
          </w:p>
        </w:tc>
      </w:tr>
      <w:tr>
        <w:tc>
          <w:tcPr>
            <w:tcBorders>
              <w:top w:val="single" w:color="BDC6D4" w:sz="1"/>
              <w:left w:val="single" w:color="BDC6D4" w:sz="1"/>
              <w:bottom w:val="single" w:color="BDC6D4" w:sz="1"/>
              <w:right w:val="single" w:color="BDC6D4" w:sz="1"/>
            </w:tcBorders>
            <w:shd w:fill="FFF5F5" w:val="clear"/>
            <w:tcMar>
              <w:top w:type="dxa" w:w="100"/>
              <w:left w:type="dxa" w:w="140"/>
              <w:bottom w:type="dxa" w:w="100"/>
              <w:right w:type="dxa" w:w="140"/>
            </w:tcMar>
          </w:tcPr>
          <w:p>
            <w:pPr>
              <w:spacing w:before="40" w:after="40"/>
            </w:pPr>
            <w:r>
              <w:rPr>
                <w:rFonts w:ascii="Arial" w:cs="Arial" w:eastAsia="Arial" w:hAnsi="Arial"/>
                <w:color w:val="1A1A2E"/>
                <w:sz w:val="21"/>
                <w:szCs w:val="21"/>
              </w:rPr>
              <w:t xml:space="preserve">this paper proves</w:t>
            </w:r>
          </w:p>
        </w:tc>
        <w:tc>
          <w:tcPr>
            <w:tcBorders>
              <w:top w:val="single" w:color="BDC6D4" w:sz="1"/>
              <w:left w:val="single" w:color="BDC6D4" w:sz="1"/>
              <w:bottom w:val="single" w:color="BDC6D4" w:sz="1"/>
              <w:right w:val="single" w:color="BDC6D4" w:sz="1"/>
            </w:tcBorders>
            <w:shd w:fill="F5FFF8" w:val="clear"/>
            <w:tcMar>
              <w:top w:type="dxa" w:w="100"/>
              <w:left w:type="dxa" w:w="140"/>
              <w:bottom w:type="dxa" w:w="100"/>
              <w:right w:type="dxa" w:w="140"/>
            </w:tcMar>
          </w:tcPr>
          <w:p>
            <w:pPr>
              <w:spacing w:before="40" w:after="40"/>
            </w:pPr>
            <w:r>
              <w:rPr>
                <w:rFonts w:ascii="Arial" w:cs="Arial" w:eastAsia="Arial" w:hAnsi="Arial"/>
                <w:color w:val="1A1A2E"/>
                <w:sz w:val="21"/>
                <w:szCs w:val="21"/>
              </w:rPr>
              <w:t xml:space="preserve">this paper documents</w:t>
            </w:r>
          </w:p>
        </w:tc>
      </w:tr>
    </w:tbl>
    <w:p>
      <w:pPr>
        <w:spacing w:before="0" w:after="20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F5A623" w:sz="1"/>
              <w:left w:val="single" w:color="F5A623" w:sz="1"/>
              <w:bottom w:val="single" w:color="F5A623" w:sz="1"/>
              <w:right w:val="single" w:color="F5A623" w:sz="1"/>
            </w:tcBorders>
            <w:shd w:fill="FFF3CD" w:val="clear"/>
            <w:tcMar>
              <w:top w:type="dxa" w:w="100"/>
              <w:left w:type="dxa" w:w="140"/>
              <w:bottom w:type="dxa" w:w="100"/>
              <w:right w:type="dxa" w:w="140"/>
            </w:tcMar>
          </w:tcPr>
          <w:p>
            <w:pPr>
              <w:spacing w:before="40" w:after="40" w:line="276"/>
            </w:pPr>
            <w:r>
              <w:rPr>
                <w:rFonts w:ascii="Arial" w:cs="Arial" w:eastAsia="Arial" w:hAnsi="Arial"/>
                <w:color w:val="1A1A2E"/>
                <w:sz w:val="22"/>
                <w:szCs w:val="22"/>
              </w:rPr>
              <w:t xml:space="preserve">IMPORTANT: Do not simply do a word-by-word find-and-replace mechanically.</w:t>
            </w:r>
          </w:p>
        </w:tc>
      </w:tr>
      <w:tr>
        <w:tc>
          <w:tcPr>
            <w:tcBorders>
              <w:top w:val="single" w:color="F5A623" w:sz="1"/>
              <w:left w:val="single" w:color="F5A623" w:sz="1"/>
              <w:bottom w:val="single" w:color="F5A623" w:sz="1"/>
              <w:right w:val="single" w:color="F5A623" w:sz="1"/>
            </w:tcBorders>
            <w:shd w:fill="FFF3CD" w:val="clear"/>
            <w:tcMar>
              <w:top w:type="dxa" w:w="100"/>
              <w:left w:type="dxa" w:w="140"/>
              <w:bottom w:type="dxa" w:w="100"/>
              <w:right w:type="dxa" w:w="140"/>
            </w:tcMar>
          </w:tcPr>
          <w:p>
            <w:pPr>
              <w:spacing w:before="40" w:after="40" w:line="276"/>
            </w:pPr>
            <w:r>
              <w:rPr>
                <w:rFonts w:ascii="Arial" w:cs="Arial" w:eastAsia="Arial" w:hAnsi="Arial"/>
                <w:color w:val="1A1A2E"/>
                <w:sz w:val="22"/>
                <w:szCs w:val="22"/>
              </w:rPr>
              <w:t xml:space="preserve">Read each replacement in context to ensure it flows grammatically.</w:t>
            </w:r>
          </w:p>
        </w:tc>
      </w:tr>
      <w:tr>
        <w:tc>
          <w:tcPr>
            <w:tcBorders>
              <w:top w:val="single" w:color="F5A623" w:sz="1"/>
              <w:left w:val="single" w:color="F5A623" w:sz="1"/>
              <w:bottom w:val="single" w:color="F5A623" w:sz="1"/>
              <w:right w:val="single" w:color="F5A623" w:sz="1"/>
            </w:tcBorders>
            <w:shd w:fill="FFF3CD" w:val="clear"/>
            <w:tcMar>
              <w:top w:type="dxa" w:w="100"/>
              <w:left w:type="dxa" w:w="140"/>
              <w:bottom w:type="dxa" w:w="100"/>
              <w:right w:type="dxa" w:w="140"/>
            </w:tcMar>
          </w:tcPr>
          <w:p>
            <w:pPr>
              <w:spacing w:before="40" w:after="40" w:line="276"/>
            </w:pPr>
            <w:r>
              <w:rPr>
                <w:rFonts w:ascii="Arial" w:cs="Arial" w:eastAsia="Arial" w:hAnsi="Arial"/>
                <w:color w:val="1A1A2E"/>
                <w:sz w:val="22"/>
                <w:szCs w:val="22"/>
              </w:rPr>
              <w:t xml:space="preserve">The goal is precision of claim, not evasion of finding. Your results are real and important.</w:t>
            </w:r>
          </w:p>
        </w:tc>
      </w:tr>
      <w:tr>
        <w:tc>
          <w:tcPr>
            <w:tcBorders>
              <w:top w:val="single" w:color="F5A623" w:sz="1"/>
              <w:left w:val="single" w:color="F5A623" w:sz="1"/>
              <w:bottom w:val="single" w:color="F5A623" w:sz="1"/>
              <w:right w:val="single" w:color="F5A623" w:sz="1"/>
            </w:tcBorders>
            <w:shd w:fill="FFF3CD" w:val="clear"/>
            <w:tcMar>
              <w:top w:type="dxa" w:w="100"/>
              <w:left w:type="dxa" w:w="140"/>
              <w:bottom w:type="dxa" w:w="100"/>
              <w:right w:type="dxa" w:w="140"/>
            </w:tcMar>
          </w:tcPr>
          <w:p>
            <w:pPr>
              <w:spacing w:before="40" w:after="40" w:line="276"/>
            </w:pPr>
            <w:r>
              <w:rPr>
                <w:rFonts w:ascii="Arial" w:cs="Arial" w:eastAsia="Arial" w:hAnsi="Arial"/>
                <w:color w:val="1A1A2E"/>
                <w:sz w:val="22"/>
                <w:szCs w:val="22"/>
              </w:rPr>
              <w:t xml:space="preserve">The language change is about accurately representing what your identification strategy can and cannot establish.</w:t>
            </w:r>
          </w:p>
        </w:tc>
      </w:tr>
    </w:tbl>
    <w:p>
      <w:pPr>
        <w:spacing w:before="0" w:after="0"/>
      </w:pPr>
      <w:r>
        <w:br w:type="page"/>
      </w:r>
    </w:p>
    <w:p>
      <w:pPr>
        <w:pStyle w:val="Heading1"/>
        <w:pBdr>
          <w:bottom w:val="single" w:color="1B3A6B" w:sz="8" w:space="4"/>
        </w:pBdr>
        <w:spacing w:before="480" w:after="200"/>
        <w:outlineLvl w:val="0"/>
      </w:pPr>
      <w:r>
        <w:rPr>
          <w:rFonts w:ascii="Arial" w:cs="Arial" w:eastAsia="Arial" w:hAnsi="Arial"/>
          <w:b/>
          <w:bCs/>
          <w:color w:val="1B3A6B"/>
          <w:sz w:val="36"/>
          <w:szCs w:val="36"/>
        </w:rPr>
        <w:t xml:space="preserve">PART 6 — PAPER RESTRUCTURING STRATEGY</w:t>
      </w:r>
    </w:p>
    <w:p>
      <w:pPr>
        <w:spacing w:before="0" w:after="100" w:line="276"/>
        <w:jc w:val="left"/>
      </w:pPr>
      <w:r>
        <w:rPr>
          <w:rFonts w:ascii="Arial" w:cs="Arial" w:eastAsia="Arial" w:hAnsi="Arial"/>
          <w:b w:val="false"/>
          <w:bCs w:val="false"/>
          <w:i w:val="false"/>
          <w:iCs w:val="false"/>
          <w:color w:val="4A5568"/>
          <w:sz w:val="22"/>
          <w:szCs w:val="22"/>
        </w:rPr>
        <w:t xml:space="preserve">The paper's current structure disperses credibility across five designs. The recommended structure concentrates it in the Triple-DDD.</w:t>
      </w:r>
    </w:p>
    <w:p>
      <w:pPr>
        <w:spacing w:before="0" w:after="120"/>
      </w:pPr>
      <w:r>
        <w:rPr>
          <w:rFonts w:ascii="Arial" w:cs="Arial" w:eastAsia="Arial" w:hAnsi="Arial"/>
          <w:b w:val="false"/>
          <w:bCs w:val="false"/>
          <w:i w:val="false"/>
          <w:iCs w:val="false"/>
          <w:color w:val="1A1A2E"/>
          <w:sz w:val="22"/>
          <w:szCs w:val="22"/>
        </w:rPr>
        <w:t xml:space="preserve"/>
      </w:r>
    </w:p>
    <w:p>
      <w:pPr>
        <w:pStyle w:val="Heading2"/>
        <w:spacing w:before="360" w:after="160"/>
        <w:outlineLvl w:val="1"/>
      </w:pPr>
      <w:r>
        <w:rPr>
          <w:rFonts w:ascii="Arial" w:cs="Arial" w:eastAsia="Arial" w:hAnsi="Arial"/>
          <w:b/>
          <w:bCs/>
          <w:color w:val="C0392B"/>
          <w:sz w:val="28"/>
          <w:szCs w:val="28"/>
        </w:rPr>
        <w:t xml:space="preserve">Current Structure Problem</w:t>
      </w:r>
    </w:p>
    <w:p>
      <w:pPr>
        <w:spacing w:before="80" w:after="160" w:line="276"/>
        <w:jc w:val="left"/>
      </w:pPr>
      <w:r>
        <w:rPr>
          <w:rFonts w:ascii="Arial" w:cs="Arial" w:eastAsia="Arial" w:hAnsi="Arial"/>
          <w:b w:val="false"/>
          <w:bCs w:val="false"/>
          <w:i w:val="false"/>
          <w:iCs w:val="false"/>
          <w:color w:val="1A1A2E"/>
          <w:sz w:val="21"/>
          <w:szCs w:val="21"/>
        </w:rPr>
        <w:t xml:space="preserve">Five designs presented sequentially (DFL, FE, RDD, DiD, Triple-DDD) makes the paper feel like a list of robustness checks. The strongest result — the Triple-DDD — is buried in Section 5.13. Referees read papers front-to-back. If the first thing they see is '14.95 pp gap' and 'Bhutta et al. finds 1-2 pp', many will stop reading with a negative prior.</w:t>
      </w:r>
    </w:p>
    <w:p>
      <w:pPr>
        <w:pStyle w:val="Heading2"/>
        <w:spacing w:before="360" w:after="160"/>
        <w:outlineLvl w:val="1"/>
      </w:pPr>
      <w:r>
        <w:rPr>
          <w:rFonts w:ascii="Arial" w:cs="Arial" w:eastAsia="Arial" w:hAnsi="Arial"/>
          <w:b/>
          <w:bCs/>
          <w:color w:val="2E5FA3"/>
          <w:sz w:val="28"/>
          <w:szCs w:val="28"/>
        </w:rPr>
        <w:t xml:space="preserve">Recommended Section Structure</w:t>
      </w:r>
    </w:p>
    <w:p>
      <w:pPr>
        <w:spacing w:before="0" w:after="8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0" w:after="100" w:line="276"/>
              <w:jc w:val="left"/>
            </w:pPr>
            <w:r>
              <w:rPr>
                <w:rFonts w:ascii="Arial" w:cs="Arial" w:eastAsia="Arial" w:hAnsi="Arial"/>
                <w:b/>
                <w:bCs/>
                <w:i w:val="false"/>
                <w:iCs w:val="false"/>
                <w:color w:val="FFFFFF"/>
                <w:sz w:val="22"/>
                <w:szCs w:val="22"/>
              </w:rPr>
              <w:t xml:space="preserve">Section</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0" w:after="100" w:line="276"/>
              <w:jc w:val="left"/>
            </w:pPr>
            <w:r>
              <w:rPr>
                <w:rFonts w:ascii="Arial" w:cs="Arial" w:eastAsia="Arial" w:hAnsi="Arial"/>
                <w:b/>
                <w:bCs/>
                <w:i w:val="false"/>
                <w:iCs w:val="false"/>
                <w:color w:val="FFFFFF"/>
                <w:sz w:val="22"/>
                <w:szCs w:val="22"/>
              </w:rPr>
              <w:t xml:space="preserve">New Content Guidance</w:t>
            </w:r>
          </w:p>
        </w:tc>
      </w:tr>
      <w:tr>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60" w:after="60" w:line="280"/>
            </w:pPr>
            <w:r>
              <w:rPr>
                <w:rFonts w:ascii="Arial" w:cs="Arial" w:eastAsia="Arial" w:hAnsi="Arial"/>
                <w:b/>
                <w:bCs/>
                <w:color w:val="1A1A2E"/>
                <w:sz w:val="21"/>
                <w:szCs w:val="21"/>
              </w:rPr>
              <w:t xml:space="preserve">Introduction
Paragraph 1</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60" w:after="60" w:line="280"/>
            </w:pPr>
            <w:r>
              <w:rPr>
                <w:rFonts w:ascii="Arial" w:cs="Arial" w:eastAsia="Arial" w:hAnsi="Arial"/>
                <w:b w:val="false"/>
                <w:bCs w:val="false"/>
                <w:color w:val="1A1A2E"/>
                <w:sz w:val="21"/>
                <w:szCs w:val="21"/>
              </w:rPr>
              <w:t xml:space="preserve">Open with: 'We provide quasi-experimental evidence that the Black-White within-lender mortgage approval differential is amplified at specific institutional rule boundaries and during monetary tightening.' Do NOT open with 14.95 pp.</w:t>
            </w:r>
          </w:p>
        </w:tc>
      </w:tr>
      <w:tr>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60" w:after="60" w:line="280"/>
            </w:pPr>
            <w:r>
              <w:rPr>
                <w:rFonts w:ascii="Arial" w:cs="Arial" w:eastAsia="Arial" w:hAnsi="Arial"/>
                <w:b/>
                <w:bCs/>
                <w:color w:val="1A1A2E"/>
                <w:sz w:val="21"/>
                <w:szCs w:val="21"/>
              </w:rPr>
              <w:t xml:space="preserve">Introduction
Paragraph 2</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60" w:after="60" w:line="280"/>
            </w:pPr>
            <w:r>
              <w:rPr>
                <w:rFonts w:ascii="Arial" w:cs="Arial" w:eastAsia="Arial" w:hAnsi="Arial"/>
                <w:b w:val="false"/>
                <w:bCs w:val="false"/>
                <w:color w:val="1A1A2E"/>
                <w:sz w:val="21"/>
                <w:szCs w:val="21"/>
              </w:rPr>
              <w:t xml:space="preserve">Explicitly cite Bhutta et al. (2025) and position your paper: 'Using confidential data with credit scores, they estimate a 1-2 pp conditional residual. Our paper addresses a complementary question: through what institutional mechanisms and under what macroeconomic conditions does the approval differential operate?'</w:t>
            </w:r>
          </w:p>
        </w:tc>
      </w:tr>
      <w:tr>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60" w:after="60" w:line="280"/>
            </w:pPr>
            <w:r>
              <w:rPr>
                <w:rFonts w:ascii="Arial" w:cs="Arial" w:eastAsia="Arial" w:hAnsi="Arial"/>
                <w:b/>
                <w:bCs/>
                <w:color w:val="1A1A2E"/>
                <w:sz w:val="21"/>
                <w:szCs w:val="21"/>
              </w:rPr>
              <w:t xml:space="preserve">Introduction
Paragraph 3</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60" w:after="60" w:line="280"/>
            </w:pPr>
            <w:r>
              <w:rPr>
                <w:rFonts w:ascii="Arial" w:cs="Arial" w:eastAsia="Arial" w:hAnsi="Arial"/>
                <w:b w:val="false"/>
                <w:bCs w:val="false"/>
                <w:color w:val="1A1A2E"/>
                <w:sz w:val="21"/>
                <w:szCs w:val="21"/>
              </w:rPr>
              <w:t xml:space="preserve">Introduce the Triple-DDD as the methodological centerpiece. State the coefficient and its interpretation. This is your main result.</w:t>
            </w:r>
          </w:p>
        </w:tc>
      </w:tr>
      <w:tr>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60" w:after="60" w:line="280"/>
            </w:pPr>
            <w:r>
              <w:rPr>
                <w:rFonts w:ascii="Arial" w:cs="Arial" w:eastAsia="Arial" w:hAnsi="Arial"/>
                <w:b/>
                <w:bCs/>
                <w:color w:val="1A1A2E"/>
                <w:sz w:val="21"/>
                <w:szCs w:val="21"/>
              </w:rPr>
              <w:t xml:space="preserve">Section 4
(Empirical Strategy)</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60" w:after="60" w:line="280"/>
            </w:pPr>
            <w:r>
              <w:rPr>
                <w:rFonts w:ascii="Arial" w:cs="Arial" w:eastAsia="Arial" w:hAnsi="Arial"/>
                <w:b w:val="false"/>
                <w:bCs w:val="false"/>
                <w:color w:val="1A1A2E"/>
                <w:sz w:val="21"/>
                <w:szCs w:val="21"/>
              </w:rPr>
              <w:t xml:space="preserve">Reorder: Triple-DDD FIRST as the primary identification strategy. RDD and DiD as component designs feeding the Triple-DDD. DFL and FE as context-setting analyses.</w:t>
            </w:r>
          </w:p>
        </w:tc>
      </w:tr>
      <w:tr>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60" w:after="60" w:line="280"/>
            </w:pPr>
            <w:r>
              <w:rPr>
                <w:rFonts w:ascii="Arial" w:cs="Arial" w:eastAsia="Arial" w:hAnsi="Arial"/>
                <w:b/>
                <w:bCs/>
                <w:color w:val="1A1A2E"/>
                <w:sz w:val="21"/>
                <w:szCs w:val="21"/>
              </w:rPr>
              <w:t xml:space="preserve">Section 5
(Results)</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60" w:after="60" w:line="280"/>
            </w:pPr>
            <w:r>
              <w:rPr>
                <w:rFonts w:ascii="Arial" w:cs="Arial" w:eastAsia="Arial" w:hAnsi="Arial"/>
                <w:b w:val="false"/>
                <w:bCs w:val="false"/>
                <w:color w:val="1A1A2E"/>
                <w:sz w:val="21"/>
                <w:szCs w:val="21"/>
              </w:rPr>
              <w:t xml:space="preserve">Lead with Triple-DDD results (currently Table 9, Section 5.13). Then purchase/refinance asymmetry as within-sample falsification. Then DFL, FE context. Manski bounds immediately after DFL.</w:t>
            </w:r>
          </w:p>
        </w:tc>
      </w:tr>
      <w:tr>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60" w:after="60" w:line="280"/>
            </w:pPr>
            <w:r>
              <w:rPr>
                <w:rFonts w:ascii="Arial" w:cs="Arial" w:eastAsia="Arial" w:hAnsi="Arial"/>
                <w:b/>
                <w:bCs/>
                <w:color w:val="1A1A2E"/>
                <w:sz w:val="21"/>
                <w:szCs w:val="21"/>
              </w:rPr>
              <w:t xml:space="preserve">Section 6
(Discussion)</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60" w:after="60" w:line="280"/>
            </w:pPr>
            <w:r>
              <w:rPr>
                <w:rFonts w:ascii="Arial" w:cs="Arial" w:eastAsia="Arial" w:hAnsi="Arial"/>
                <w:b w:val="false"/>
                <w:bCs w:val="false"/>
                <w:color w:val="1A1A2E"/>
                <w:sz w:val="21"/>
                <w:szCs w:val="21"/>
              </w:rPr>
              <w:t xml:space="preserve">The Bhutta et al. reconciliation must reference the Introduction framing: 'As we discuss in Section 1, our paper and Bhutta et al. estimate different objects.' Keep it brief here. Expand the mechanisms discussion.</w:t>
            </w:r>
          </w:p>
        </w:tc>
      </w:tr>
      <w:tr>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60" w:after="60" w:line="280"/>
            </w:pPr>
            <w:r>
              <w:rPr>
                <w:rFonts w:ascii="Arial" w:cs="Arial" w:eastAsia="Arial" w:hAnsi="Arial"/>
                <w:b/>
                <w:bCs/>
                <w:color w:val="1A1A2E"/>
                <w:sz w:val="21"/>
                <w:szCs w:val="21"/>
              </w:rPr>
              <w:t xml:space="preserve">Abstract</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60" w:after="60" w:line="280"/>
            </w:pPr>
            <w:r>
              <w:rPr>
                <w:rFonts w:ascii="Arial" w:cs="Arial" w:eastAsia="Arial" w:hAnsi="Arial"/>
                <w:b w:val="false"/>
                <w:bCs w:val="false"/>
                <w:color w:val="1A1A2E"/>
                <w:sz w:val="21"/>
                <w:szCs w:val="21"/>
              </w:rPr>
              <w:t xml:space="preserve">Lead with Triple-DDD finding. Second sentence: temporal dynamics. Third sentence: purchase/refinance asymmetry. Fourth sentence: geographic heterogeneity. Final sentence: Manski lower bound as conservative floor.</w:t>
            </w:r>
          </w:p>
        </w:tc>
      </w:tr>
    </w:tbl>
    <w:p>
      <w:pPr>
        <w:spacing w:before="0" w:after="200"/>
      </w:pPr>
      <w:r>
        <w:rPr>
          <w:rFonts w:ascii="Arial" w:cs="Arial" w:eastAsia="Arial" w:hAnsi="Arial"/>
          <w:b w:val="false"/>
          <w:bCs w:val="false"/>
          <w:i w:val="false"/>
          <w:iCs w:val="false"/>
          <w:color w:val="1A1A2E"/>
          <w:sz w:val="22"/>
          <w:szCs w:val="22"/>
        </w:rPr>
        <w:t xml:space="preserve"/>
      </w:r>
    </w:p>
    <w:p>
      <w:pPr>
        <w:pStyle w:val="Heading2"/>
        <w:spacing w:before="360" w:after="160"/>
        <w:outlineLvl w:val="1"/>
      </w:pPr>
      <w:r>
        <w:rPr>
          <w:rFonts w:ascii="Arial" w:cs="Arial" w:eastAsia="Arial" w:hAnsi="Arial"/>
          <w:b/>
          <w:bCs/>
          <w:color w:val="1A6B5A"/>
          <w:sz w:val="28"/>
          <w:szCs w:val="28"/>
        </w:rPr>
        <w:t xml:space="preserve">Suggested New Abstract Opening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2E5FA3" w:sz="1"/>
              <w:left w:val="single" w:color="2E5FA3" w:sz="1"/>
              <w:bottom w:val="single" w:color="2E5FA3" w:sz="1"/>
              <w:right w:val="single" w:color="2E5FA3" w:sz="1"/>
            </w:tcBorders>
            <w:shd w:fill="EEF3FA" w:val="clear"/>
            <w:tcMar>
              <w:top w:type="dxa" w:w="100"/>
              <w:left w:type="dxa" w:w="140"/>
              <w:bottom w:type="dxa" w:w="100"/>
              <w:right w:type="dxa" w:w="140"/>
            </w:tcMar>
          </w:tcPr>
          <w:p>
            <w:pPr>
              <w:spacing w:before="40" w:after="40" w:line="276"/>
            </w:pPr>
            <w:r>
              <w:rPr>
                <w:rFonts w:ascii="Arial" w:cs="Arial" w:eastAsia="Arial" w:hAnsi="Arial"/>
                <w:color w:val="1A1A2E"/>
                <w:sz w:val="22"/>
                <w:szCs w:val="22"/>
              </w:rPr>
              <w:t xml:space="preserve">We provide quasi-experimental evidence that the within-lender Black-White mortgage approval differential is amplified at specific institutional rule boundaries and during monetary tightening cycles — findings orthogonal to the credit quality debate in this literature. A triple-difference specification combining a regression discontinuity at the 80% loan-to-value threshold with a difference-in-differences around the Federal Reserve's 2022 tightening cycle finds [Triple-DDD coefficient] pp of additional differential [interpretation]. The threshold effect concentrates entirely in purchase loans and is absent for refinancings, consistent with differential discretion at the PMI institutional boundary. Conservative partial identification bounds on unobserved FICO and DTI effects establish that at least [X] percent of the within-lender differential remains unexplained under any plausible assumption about unobserved credit quality distributions.</w:t>
            </w:r>
          </w:p>
        </w:tc>
      </w:tr>
    </w:tbl>
    <w:p>
      <w:pPr>
        <w:spacing w:before="0" w:after="0"/>
      </w:pPr>
      <w:r>
        <w:br w:type="page"/>
      </w:r>
    </w:p>
    <w:p>
      <w:pPr>
        <w:pStyle w:val="Heading1"/>
        <w:pBdr>
          <w:bottom w:val="single" w:color="1B3A6B" w:sz="8" w:space="4"/>
        </w:pBdr>
        <w:spacing w:before="480" w:after="200"/>
        <w:outlineLvl w:val="0"/>
      </w:pPr>
      <w:r>
        <w:rPr>
          <w:rFonts w:ascii="Arial" w:cs="Arial" w:eastAsia="Arial" w:hAnsi="Arial"/>
          <w:b/>
          <w:bCs/>
          <w:color w:val="1B3A6B"/>
          <w:sz w:val="36"/>
          <w:szCs w:val="36"/>
        </w:rPr>
        <w:t xml:space="preserve">PART 7 — TARGET JOURNAL STRATEGY</w:t>
      </w:r>
    </w:p>
    <w:p>
      <w:pPr>
        <w:spacing w:before="0" w:after="10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0" w:after="100" w:line="276"/>
              <w:jc w:val="left"/>
            </w:pPr>
            <w:r>
              <w:rPr>
                <w:rFonts w:ascii="Arial" w:cs="Arial" w:eastAsia="Arial" w:hAnsi="Arial"/>
                <w:b/>
                <w:bCs/>
                <w:i w:val="false"/>
                <w:iCs w:val="false"/>
                <w:color w:val="FFFFFF"/>
                <w:sz w:val="22"/>
                <w:szCs w:val="22"/>
              </w:rPr>
              <w:t xml:space="preserve">Journal</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0" w:after="100" w:line="276"/>
              <w:jc w:val="left"/>
            </w:pPr>
            <w:r>
              <w:rPr>
                <w:rFonts w:ascii="Arial" w:cs="Arial" w:eastAsia="Arial" w:hAnsi="Arial"/>
                <w:b/>
                <w:bCs/>
                <w:i w:val="false"/>
                <w:iCs w:val="false"/>
                <w:color w:val="FFFFFF"/>
                <w:sz w:val="22"/>
                <w:szCs w:val="22"/>
              </w:rPr>
              <w:t xml:space="preserve">Recommendation</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0" w:after="100" w:line="276"/>
              <w:jc w:val="left"/>
            </w:pPr>
            <w:r>
              <w:rPr>
                <w:rFonts w:ascii="Arial" w:cs="Arial" w:eastAsia="Arial" w:hAnsi="Arial"/>
                <w:b/>
                <w:bCs/>
                <w:i w:val="false"/>
                <w:iCs w:val="false"/>
                <w:color w:val="FFFFFF"/>
                <w:sz w:val="22"/>
                <w:szCs w:val="22"/>
              </w:rPr>
              <w:t xml:space="preserve">Rationale</w:t>
            </w:r>
          </w:p>
        </w:tc>
      </w:tr>
      <w:tr>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60" w:after="60" w:line="280"/>
            </w:pPr>
            <w:r>
              <w:rPr>
                <w:rFonts w:ascii="Arial" w:cs="Arial" w:eastAsia="Arial" w:hAnsi="Arial"/>
                <w:b w:val="false"/>
                <w:bCs w:val="false"/>
                <w:color w:val="1A1A2E"/>
                <w:sz w:val="21"/>
                <w:szCs w:val="21"/>
              </w:rPr>
              <w:t xml:space="preserve">Journal of Housing Economics (JHE)</w:t>
            </w:r>
          </w:p>
        </w:tc>
        <w:tc>
          <w:tcPr>
            <w:tcBorders>
              <w:top w:val="single" w:color="BDC6D4" w:sz="1"/>
              <w:left w:val="single" w:color="BDC6D4" w:sz="1"/>
              <w:bottom w:val="single" w:color="BDC6D4" w:sz="1"/>
              <w:right w:val="single" w:color="BDC6D4" w:sz="1"/>
            </w:tcBorders>
            <w:shd w:fill="E8F5E9" w:val="clear"/>
            <w:tcMar>
              <w:top w:type="dxa" w:w="100"/>
              <w:left w:type="dxa" w:w="140"/>
              <w:bottom w:type="dxa" w:w="100"/>
              <w:right w:type="dxa" w:w="140"/>
            </w:tcMar>
          </w:tcPr>
          <w:p>
            <w:pPr>
              <w:spacing w:before="60" w:after="60" w:line="280"/>
            </w:pPr>
            <w:r>
              <w:rPr>
                <w:rFonts w:ascii="Arial" w:cs="Arial" w:eastAsia="Arial" w:hAnsi="Arial"/>
                <w:b/>
                <w:bCs/>
                <w:color w:val="1A1A2E"/>
                <w:sz w:val="21"/>
                <w:szCs w:val="21"/>
              </w:rPr>
              <w:t xml:space="preserve">PRIMARY TARGET</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60" w:after="60" w:line="280"/>
            </w:pPr>
            <w:r>
              <w:rPr>
                <w:rFonts w:ascii="Arial" w:cs="Arial" w:eastAsia="Arial" w:hAnsi="Arial"/>
                <w:b w:val="false"/>
                <w:bCs w:val="false"/>
                <w:color w:val="1A1A2E"/>
                <w:sz w:val="21"/>
                <w:szCs w:val="21"/>
              </w:rPr>
              <w:t xml:space="preserve">JHE publishes public-HMDA papers with quasi-experimental designs. Perfect topic fit. R&amp;R probability after Tier 1 revisions: ~50-60%.</w:t>
            </w:r>
          </w:p>
        </w:tc>
      </w:tr>
      <w:tr>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60" w:after="60" w:line="280"/>
            </w:pPr>
            <w:r>
              <w:rPr>
                <w:rFonts w:ascii="Arial" w:cs="Arial" w:eastAsia="Arial" w:hAnsi="Arial"/>
                <w:b w:val="false"/>
                <w:bCs w:val="false"/>
                <w:color w:val="1A1A2E"/>
                <w:sz w:val="21"/>
                <w:szCs w:val="21"/>
              </w:rPr>
              <w:t xml:space="preserve">Regional Science and Urban Economics (RSUE)</w:t>
            </w:r>
          </w:p>
        </w:tc>
        <w:tc>
          <w:tcPr>
            <w:tcBorders>
              <w:top w:val="single" w:color="BDC6D4" w:sz="1"/>
              <w:left w:val="single" w:color="BDC6D4" w:sz="1"/>
              <w:bottom w:val="single" w:color="BDC6D4" w:sz="1"/>
              <w:right w:val="single" w:color="BDC6D4" w:sz="1"/>
            </w:tcBorders>
            <w:shd w:fill="EEF3FA" w:val="clear"/>
            <w:tcMar>
              <w:top w:type="dxa" w:w="100"/>
              <w:left w:type="dxa" w:w="140"/>
              <w:bottom w:type="dxa" w:w="100"/>
              <w:right w:type="dxa" w:w="140"/>
            </w:tcMar>
          </w:tcPr>
          <w:p>
            <w:pPr>
              <w:spacing w:before="60" w:after="60" w:line="280"/>
            </w:pPr>
            <w:r>
              <w:rPr>
                <w:rFonts w:ascii="Arial" w:cs="Arial" w:eastAsia="Arial" w:hAnsi="Arial"/>
                <w:b/>
                <w:bCs/>
                <w:color w:val="1A1A2E"/>
                <w:sz w:val="21"/>
                <w:szCs w:val="21"/>
              </w:rPr>
              <w:t xml:space="preserve">SECONDARY TARGET</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60" w:after="60" w:line="280"/>
            </w:pPr>
            <w:r>
              <w:rPr>
                <w:rFonts w:ascii="Arial" w:cs="Arial" w:eastAsia="Arial" w:hAnsi="Arial"/>
                <w:b w:val="false"/>
                <w:bCs w:val="false"/>
                <w:color w:val="1A1A2E"/>
                <w:sz w:val="21"/>
                <w:szCs w:val="21"/>
              </w:rPr>
              <w:t xml:space="preserve">Accepts papers where geographic heterogeneity is central. Less likely to demand Bhutta et al. comparison. You are already targeting this for another paper.</w:t>
            </w:r>
          </w:p>
        </w:tc>
      </w:tr>
      <w:tr>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60" w:after="60" w:line="280"/>
            </w:pPr>
            <w:r>
              <w:rPr>
                <w:rFonts w:ascii="Arial" w:cs="Arial" w:eastAsia="Arial" w:hAnsi="Arial"/>
                <w:b w:val="false"/>
                <w:bCs w:val="false"/>
                <w:color w:val="1A1A2E"/>
                <w:sz w:val="21"/>
                <w:szCs w:val="21"/>
              </w:rPr>
              <w:t xml:space="preserve">Real Estate Economics (REE)</w:t>
            </w:r>
          </w:p>
        </w:tc>
        <w:tc>
          <w:tcPr>
            <w:tcBorders>
              <w:top w:val="single" w:color="BDC6D4" w:sz="1"/>
              <w:left w:val="single" w:color="BDC6D4" w:sz="1"/>
              <w:bottom w:val="single" w:color="BDC6D4" w:sz="1"/>
              <w:right w:val="single" w:color="BDC6D4" w:sz="1"/>
            </w:tcBorders>
            <w:shd w:fill="FFF9E6" w:val="clear"/>
            <w:tcMar>
              <w:top w:type="dxa" w:w="100"/>
              <w:left w:type="dxa" w:w="140"/>
              <w:bottom w:type="dxa" w:w="100"/>
              <w:right w:type="dxa" w:w="140"/>
            </w:tcMar>
          </w:tcPr>
          <w:p>
            <w:pPr>
              <w:spacing w:before="60" w:after="60" w:line="280"/>
            </w:pPr>
            <w:r>
              <w:rPr>
                <w:rFonts w:ascii="Arial" w:cs="Arial" w:eastAsia="Arial" w:hAnsi="Arial"/>
                <w:b/>
                <w:bCs/>
                <w:color w:val="1A1A2E"/>
                <w:sz w:val="21"/>
                <w:szCs w:val="21"/>
              </w:rPr>
              <w:t xml:space="preserve">TERTIARY TARGET</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60" w:after="60" w:line="280"/>
            </w:pPr>
            <w:r>
              <w:rPr>
                <w:rFonts w:ascii="Arial" w:cs="Arial" w:eastAsia="Arial" w:hAnsi="Arial"/>
                <w:b w:val="false"/>
                <w:bCs w:val="false"/>
                <w:color w:val="1A1A2E"/>
                <w:sz w:val="21"/>
                <w:szCs w:val="21"/>
              </w:rPr>
              <w:t xml:space="preserve">Similar profile to JHE. Would accept a well-executed mechanisms paper.</w:t>
            </w:r>
          </w:p>
        </w:tc>
      </w:tr>
      <w:tr>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60" w:after="60" w:line="280"/>
            </w:pPr>
            <w:r>
              <w:rPr>
                <w:rFonts w:ascii="Arial" w:cs="Arial" w:eastAsia="Arial" w:hAnsi="Arial"/>
                <w:b w:val="false"/>
                <w:bCs w:val="false"/>
                <w:color w:val="1A1A2E"/>
                <w:sz w:val="21"/>
                <w:szCs w:val="21"/>
              </w:rPr>
              <w:t xml:space="preserve">Journal of Urban Economics (JUE)</w:t>
            </w:r>
          </w:p>
        </w:tc>
        <w:tc>
          <w:tcPr>
            <w:tcBorders>
              <w:top w:val="single" w:color="BDC6D4" w:sz="1"/>
              <w:left w:val="single" w:color="BDC6D4" w:sz="1"/>
              <w:bottom w:val="single" w:color="BDC6D4" w:sz="1"/>
              <w:right w:val="single" w:color="BDC6D4" w:sz="1"/>
            </w:tcBorders>
            <w:shd w:fill="FDECEA" w:val="clear"/>
            <w:tcMar>
              <w:top w:type="dxa" w:w="100"/>
              <w:left w:type="dxa" w:w="140"/>
              <w:bottom w:type="dxa" w:w="100"/>
              <w:right w:type="dxa" w:w="140"/>
            </w:tcMar>
          </w:tcPr>
          <w:p>
            <w:pPr>
              <w:spacing w:before="60" w:after="60" w:line="280"/>
            </w:pPr>
            <w:r>
              <w:rPr>
                <w:rFonts w:ascii="Arial" w:cs="Arial" w:eastAsia="Arial" w:hAnsi="Arial"/>
                <w:b/>
                <w:bCs/>
                <w:color w:val="C0392B"/>
                <w:sz w:val="21"/>
                <w:szCs w:val="21"/>
              </w:rPr>
              <w:t xml:space="preserve">DO NOT TARGET NOW</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60" w:after="60" w:line="280"/>
            </w:pPr>
            <w:r>
              <w:rPr>
                <w:rFonts w:ascii="Arial" w:cs="Arial" w:eastAsia="Arial" w:hAnsi="Arial"/>
                <w:b w:val="false"/>
                <w:bCs w:val="false"/>
                <w:color w:val="1A1A2E"/>
                <w:sz w:val="21"/>
                <w:szCs w:val="21"/>
              </w:rPr>
              <w:t xml:space="preserve">60-80% desk rejection in current form without confidential data co-author.</w:t>
            </w:r>
          </w:p>
        </w:tc>
      </w:tr>
      <w:tr>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60" w:after="60" w:line="280"/>
            </w:pPr>
            <w:r>
              <w:rPr>
                <w:rFonts w:ascii="Arial" w:cs="Arial" w:eastAsia="Arial" w:hAnsi="Arial"/>
                <w:b w:val="false"/>
                <w:bCs w:val="false"/>
                <w:color w:val="1A1A2E"/>
                <w:sz w:val="21"/>
                <w:szCs w:val="21"/>
              </w:rPr>
              <w:t xml:space="preserve">Journal of Finance / RFS / JFE</w:t>
            </w:r>
          </w:p>
        </w:tc>
        <w:tc>
          <w:tcPr>
            <w:tcBorders>
              <w:top w:val="single" w:color="BDC6D4" w:sz="1"/>
              <w:left w:val="single" w:color="BDC6D4" w:sz="1"/>
              <w:bottom w:val="single" w:color="BDC6D4" w:sz="1"/>
              <w:right w:val="single" w:color="BDC6D4" w:sz="1"/>
            </w:tcBorders>
            <w:shd w:fill="FDECEA" w:val="clear"/>
            <w:tcMar>
              <w:top w:type="dxa" w:w="100"/>
              <w:left w:type="dxa" w:w="140"/>
              <w:bottom w:type="dxa" w:w="100"/>
              <w:right w:type="dxa" w:w="140"/>
            </w:tcMar>
          </w:tcPr>
          <w:p>
            <w:pPr>
              <w:spacing w:before="60" w:after="60" w:line="280"/>
            </w:pPr>
            <w:r>
              <w:rPr>
                <w:rFonts w:ascii="Arial" w:cs="Arial" w:eastAsia="Arial" w:hAnsi="Arial"/>
                <w:b/>
                <w:bCs/>
                <w:color w:val="C0392B"/>
                <w:sz w:val="21"/>
                <w:szCs w:val="21"/>
              </w:rPr>
              <w:t xml:space="preserve">DO NOT TARGET NOW</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60" w:after="60" w:line="280"/>
            </w:pPr>
            <w:r>
              <w:rPr>
                <w:rFonts w:ascii="Arial" w:cs="Arial" w:eastAsia="Arial" w:hAnsi="Arial"/>
                <w:b w:val="false"/>
                <w:bCs w:val="false"/>
                <w:color w:val="1A1A2E"/>
                <w:sz w:val="21"/>
                <w:szCs w:val="21"/>
              </w:rPr>
              <w:t xml:space="preserve">85%+ desk rejection. These journals require confidential data or field experiments for this topic.</w:t>
            </w:r>
          </w:p>
        </w:tc>
      </w:tr>
    </w:tbl>
    <w:p>
      <w:pPr>
        <w:spacing w:before="0" w:after="20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2E5FA3" w:sz="1"/>
              <w:left w:val="single" w:color="2E5FA3" w:sz="1"/>
              <w:bottom w:val="single" w:color="2E5FA3" w:sz="1"/>
              <w:right w:val="single" w:color="2E5FA3" w:sz="1"/>
            </w:tcBorders>
            <w:shd w:fill="EEF3FA" w:val="clear"/>
            <w:tcMar>
              <w:top w:type="dxa" w:w="100"/>
              <w:left w:type="dxa" w:w="140"/>
              <w:bottom w:type="dxa" w:w="100"/>
              <w:right w:type="dxa" w:w="140"/>
            </w:tcMar>
          </w:tcPr>
          <w:p>
            <w:pPr>
              <w:spacing w:before="40" w:after="40" w:line="276"/>
            </w:pPr>
            <w:r>
              <w:rPr>
                <w:rFonts w:ascii="Arial" w:cs="Arial" w:eastAsia="Arial" w:hAnsi="Arial"/>
                <w:color w:val="1A1A2E"/>
                <w:sz w:val="22"/>
                <w:szCs w:val="22"/>
              </w:rPr>
              <w:t xml:space="preserve">STRATEGIC NOTE: The paper's genuine advantages are: (1) the 2022 tightening cycle analysis — no prior paper has examined a full monetary tightening cycle in this context; (2) the purchase/refinance asymmetry as a within-sample falsification; (3) the temporal growth of the within-lender share (66.8% to 78.3%); (4) the geographic structure and state-level heterogeneity. These are real contributions. Lead with them.</w:t>
            </w:r>
          </w:p>
        </w:tc>
      </w:tr>
    </w:tbl>
    <w:p>
      <w:pPr>
        <w:spacing w:before="0" w:after="0"/>
      </w:pPr>
      <w:r>
        <w:br w:type="page"/>
      </w:r>
    </w:p>
    <w:p>
      <w:pPr>
        <w:pStyle w:val="Heading1"/>
        <w:pBdr>
          <w:bottom w:val="single" w:color="1B3A6B" w:sz="8" w:space="4"/>
        </w:pBdr>
        <w:spacing w:before="480" w:after="200"/>
        <w:outlineLvl w:val="0"/>
      </w:pPr>
      <w:r>
        <w:rPr>
          <w:rFonts w:ascii="Arial" w:cs="Arial" w:eastAsia="Arial" w:hAnsi="Arial"/>
          <w:b/>
          <w:bCs/>
          <w:color w:val="1B3A6B"/>
          <w:sz w:val="36"/>
          <w:szCs w:val="36"/>
        </w:rPr>
        <w:t xml:space="preserve">PART 8 — WEEK-BY-WEEK EXECUTION TIMELINE</w:t>
      </w:r>
    </w:p>
    <w:p>
      <w:pPr>
        <w:spacing w:before="0" w:after="100" w:line="276"/>
        <w:jc w:val="left"/>
      </w:pPr>
      <w:r>
        <w:rPr>
          <w:rFonts w:ascii="Arial" w:cs="Arial" w:eastAsia="Arial" w:hAnsi="Arial"/>
          <w:b w:val="false"/>
          <w:bCs w:val="false"/>
          <w:i w:val="false"/>
          <w:iCs w:val="false"/>
          <w:color w:val="4A5568"/>
          <w:sz w:val="22"/>
          <w:szCs w:val="22"/>
        </w:rPr>
        <w:t xml:space="preserve">Total revision time: 8 weeks. This assumes you are working on the revision alongside coursework/other commitments.</w:t>
      </w:r>
    </w:p>
    <w:p>
      <w:pPr>
        <w:spacing w:before="0" w:after="12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360"/>
        <w:gridCol w:w="3800"/>
      </w:tblGrid>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0" w:after="100" w:line="276"/>
              <w:jc w:val="left"/>
            </w:pPr>
            <w:r>
              <w:rPr>
                <w:rFonts w:ascii="Arial" w:cs="Arial" w:eastAsia="Arial" w:hAnsi="Arial"/>
                <w:b/>
                <w:bCs/>
                <w:i w:val="false"/>
                <w:iCs w:val="false"/>
                <w:color w:val="FFFFFF"/>
                <w:sz w:val="22"/>
                <w:szCs w:val="22"/>
              </w:rPr>
              <w:t xml:space="preserve">Week</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0" w:after="100" w:line="276"/>
              <w:jc w:val="left"/>
            </w:pPr>
            <w:r>
              <w:rPr>
                <w:rFonts w:ascii="Arial" w:cs="Arial" w:eastAsia="Arial" w:hAnsi="Arial"/>
                <w:b/>
                <w:bCs/>
                <w:i w:val="false"/>
                <w:iCs w:val="false"/>
                <w:color w:val="FFFFFF"/>
                <w:sz w:val="22"/>
                <w:szCs w:val="22"/>
              </w:rPr>
              <w:t xml:space="preserve">Actions</w:t>
            </w:r>
          </w:p>
        </w:tc>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0" w:after="100" w:line="276"/>
              <w:jc w:val="left"/>
            </w:pPr>
            <w:r>
              <w:rPr>
                <w:rFonts w:ascii="Arial" w:cs="Arial" w:eastAsia="Arial" w:hAnsi="Arial"/>
                <w:b/>
                <w:bCs/>
                <w:i w:val="false"/>
                <w:iCs w:val="false"/>
                <w:color w:val="FFFFFF"/>
                <w:sz w:val="22"/>
                <w:szCs w:val="22"/>
              </w:rPr>
              <w:t xml:space="preserve">Deliverable</w:t>
            </w:r>
          </w:p>
        </w:tc>
      </w:tr>
      <w:tr>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60" w:after="60" w:line="276"/>
            </w:pPr>
            <w:r>
              <w:rPr>
                <w:rFonts w:ascii="Arial" w:cs="Arial" w:eastAsia="Arial" w:hAnsi="Arial"/>
                <w:b/>
                <w:bCs/>
                <w:color w:val="1A1A2E"/>
                <w:sz w:val="22"/>
                <w:szCs w:val="22"/>
              </w:rPr>
              <w:t xml:space="preserve">Week 1</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60" w:after="60" w:line="276"/>
            </w:pPr>
            <w:r>
              <w:rPr>
                <w:rFonts w:ascii="Arial" w:cs="Arial" w:eastAsia="Arial" w:hAnsi="Arial"/>
                <w:b w:val="false"/>
                <w:bCs w:val="false"/>
                <w:color w:val="1A1A2E"/>
                <w:sz w:val="20"/>
                <w:szCs w:val="20"/>
              </w:rPr>
              <w:t xml:space="preserve">T1-A2: Fix anonymization (Day 1). T1-A1: Check HMDA files for DTI field. T1-A5: Run covariate balance tests at RDD cutoff. T1-A7 DRAFT: Outline new abstract and introduction structure.</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60" w:after="60" w:line="276"/>
            </w:pPr>
            <w:r>
              <w:rPr>
                <w:rFonts w:ascii="Arial" w:cs="Arial" w:eastAsia="Arial" w:hAnsi="Arial"/>
                <w:b w:val="false"/>
                <w:bCs w:val="false"/>
                <w:color w:val="1A1A2E"/>
                <w:sz w:val="20"/>
                <w:szCs w:val="20"/>
              </w:rPr>
              <w:t xml:space="preserve">Anonymous GitHub repo live. DTI check complete. Covariate balance table drafted. New abstract outline.</w:t>
            </w:r>
          </w:p>
        </w:tc>
      </w:tr>
      <w:tr>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60" w:after="60" w:line="276"/>
            </w:pPr>
            <w:r>
              <w:rPr>
                <w:rFonts w:ascii="Arial" w:cs="Arial" w:eastAsia="Arial" w:hAnsi="Arial"/>
                <w:b/>
                <w:bCs/>
                <w:color w:val="1A1A2E"/>
                <w:sz w:val="22"/>
                <w:szCs w:val="22"/>
              </w:rPr>
              <w:t xml:space="preserve">Week 2</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60" w:after="60" w:line="276"/>
            </w:pPr>
            <w:r>
              <w:rPr>
                <w:rFonts w:ascii="Arial" w:cs="Arial" w:eastAsia="Arial" w:hAnsi="Arial"/>
                <w:b w:val="false"/>
                <w:bCs w:val="false"/>
                <w:color w:val="1A1A2E"/>
                <w:sz w:val="20"/>
                <w:szCs w:val="20"/>
              </w:rPr>
              <w:t xml:space="preserve">T1-A1 continued: If DTI exists, add to DFL and FE specs and rerun all tables. T1-A6: High-predicted-probability DiD composition test.</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60" w:after="60" w:line="276"/>
            </w:pPr>
            <w:r>
              <w:rPr>
                <w:rFonts w:ascii="Arial" w:cs="Arial" w:eastAsia="Arial" w:hAnsi="Arial"/>
                <w:b w:val="false"/>
                <w:bCs w:val="false"/>
                <w:color w:val="1A1A2E"/>
                <w:sz w:val="20"/>
                <w:szCs w:val="20"/>
              </w:rPr>
              <w:t xml:space="preserve">Updated Tables 3, 4, 8B with DTI controls (if available). Composition test results.</w:t>
            </w:r>
          </w:p>
        </w:tc>
      </w:tr>
      <w:tr>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60" w:after="60" w:line="276"/>
            </w:pPr>
            <w:r>
              <w:rPr>
                <w:rFonts w:ascii="Arial" w:cs="Arial" w:eastAsia="Arial" w:hAnsi="Arial"/>
                <w:b/>
                <w:bCs/>
                <w:color w:val="1A1A2E"/>
                <w:sz w:val="22"/>
                <w:szCs w:val="22"/>
              </w:rPr>
              <w:t xml:space="preserve">Week 3</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60" w:after="60" w:line="276"/>
            </w:pPr>
            <w:r>
              <w:rPr>
                <w:rFonts w:ascii="Arial" w:cs="Arial" w:eastAsia="Arial" w:hAnsi="Arial"/>
                <w:b w:val="false"/>
                <w:bCs w:val="false"/>
                <w:color w:val="1A1A2E"/>
                <w:sz w:val="20"/>
                <w:szCs w:val="20"/>
              </w:rPr>
              <w:t xml:space="preserve">T1-A3: DTI partial identification bounds using SCF. T1-A4: Build Triple-DDD as centerpiece, add refinance-sample falsification.</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60" w:after="60" w:line="276"/>
            </w:pPr>
            <w:r>
              <w:rPr>
                <w:rFonts w:ascii="Arial" w:cs="Arial" w:eastAsia="Arial" w:hAnsi="Arial"/>
                <w:b w:val="false"/>
                <w:bCs w:val="false"/>
                <w:color w:val="1A1A2E"/>
                <w:sz w:val="20"/>
                <w:szCs w:val="20"/>
              </w:rPr>
              <w:t xml:space="preserve">Updated Table 6 with joint FICO+DTI bounds. Triple-DDD falsification table.</w:t>
            </w:r>
          </w:p>
        </w:tc>
      </w:tr>
      <w:tr>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60" w:after="60" w:line="276"/>
            </w:pPr>
            <w:r>
              <w:rPr>
                <w:rFonts w:ascii="Arial" w:cs="Arial" w:eastAsia="Arial" w:hAnsi="Arial"/>
                <w:b/>
                <w:bCs/>
                <w:color w:val="1A1A2E"/>
                <w:sz w:val="22"/>
                <w:szCs w:val="22"/>
              </w:rPr>
              <w:t xml:space="preserve">Week 4</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60" w:after="60" w:line="276"/>
            </w:pPr>
            <w:r>
              <w:rPr>
                <w:rFonts w:ascii="Arial" w:cs="Arial" w:eastAsia="Arial" w:hAnsi="Arial"/>
                <w:b w:val="false"/>
                <w:bCs w:val="false"/>
                <w:color w:val="1A1A2E"/>
                <w:sz w:val="20"/>
                <w:szCs w:val="20"/>
              </w:rPr>
              <w:t xml:space="preserve">T2-B1: FinTech vs. traditional lender split. T2-B2: AUS simulation using public GSE tables. T2-B4: Income-tercile RDD gradient.</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60" w:after="60" w:line="276"/>
            </w:pPr>
            <w:r>
              <w:rPr>
                <w:rFonts w:ascii="Arial" w:cs="Arial" w:eastAsia="Arial" w:hAnsi="Arial"/>
                <w:b w:val="false"/>
                <w:bCs w:val="false"/>
                <w:color w:val="1A1A2E"/>
                <w:sz w:val="20"/>
                <w:szCs w:val="20"/>
              </w:rPr>
              <w:t xml:space="preserve">New Tables 4B, 7D, 7c. AUS-controlled DFL estimate.</w:t>
            </w:r>
          </w:p>
        </w:tc>
      </w:tr>
      <w:tr>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60" w:after="60" w:line="276"/>
            </w:pPr>
            <w:r>
              <w:rPr>
                <w:rFonts w:ascii="Arial" w:cs="Arial" w:eastAsia="Arial" w:hAnsi="Arial"/>
                <w:b/>
                <w:bCs/>
                <w:color w:val="1A1A2E"/>
                <w:sz w:val="22"/>
                <w:szCs w:val="22"/>
              </w:rPr>
              <w:t xml:space="preserve">Week 5</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60" w:after="60" w:line="276"/>
            </w:pPr>
            <w:r>
              <w:rPr>
                <w:rFonts w:ascii="Arial" w:cs="Arial" w:eastAsia="Arial" w:hAnsi="Arial"/>
                <w:b w:val="false"/>
                <w:bCs w:val="false"/>
                <w:color w:val="1A1A2E"/>
                <w:sz w:val="20"/>
                <w:szCs w:val="20"/>
              </w:rPr>
              <w:t xml:space="preserve">T1-A7: Full rewrite of Introduction, Abstract, and Section 6.4a around mechanisms framing. Part 5 language surgery throughout entire manuscript.</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60" w:after="60" w:line="276"/>
            </w:pPr>
            <w:r>
              <w:rPr>
                <w:rFonts w:ascii="Arial" w:cs="Arial" w:eastAsia="Arial" w:hAnsi="Arial"/>
                <w:b w:val="false"/>
                <w:bCs w:val="false"/>
                <w:color w:val="1A1A2E"/>
                <w:sz w:val="20"/>
                <w:szCs w:val="20"/>
              </w:rPr>
              <w:t xml:space="preserve">Revised manuscript draft 1 with new intro/abstract and clean language.</w:t>
            </w:r>
          </w:p>
        </w:tc>
      </w:tr>
      <w:tr>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60" w:after="60" w:line="276"/>
            </w:pPr>
            <w:r>
              <w:rPr>
                <w:rFonts w:ascii="Arial" w:cs="Arial" w:eastAsia="Arial" w:hAnsi="Arial"/>
                <w:b/>
                <w:bCs/>
                <w:color w:val="1A1A2E"/>
                <w:sz w:val="22"/>
                <w:szCs w:val="22"/>
              </w:rPr>
              <w:t xml:space="preserve">Week 6</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60" w:after="60" w:line="276"/>
            </w:pPr>
            <w:r>
              <w:rPr>
                <w:rFonts w:ascii="Arial" w:cs="Arial" w:eastAsia="Arial" w:hAnsi="Arial"/>
                <w:b w:val="false"/>
                <w:bCs w:val="false"/>
                <w:color w:val="1A1A2E"/>
                <w:sz w:val="20"/>
                <w:szCs w:val="20"/>
              </w:rPr>
              <w:t xml:space="preserve">T2-B3: Default prediction falsification (Fannie/Freddie merge). T2-B5: Callaway-Sant'Anna staggered DiD if feasible.</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60" w:after="60" w:line="276"/>
            </w:pPr>
            <w:r>
              <w:rPr>
                <w:rFonts w:ascii="Arial" w:cs="Arial" w:eastAsia="Arial" w:hAnsi="Arial"/>
                <w:b w:val="false"/>
                <w:bCs w:val="false"/>
                <w:color w:val="1A1A2E"/>
                <w:sz w:val="20"/>
                <w:szCs w:val="20"/>
              </w:rPr>
              <w:t xml:space="preserve">Default falsification results. CS-DiD event study plot.</w:t>
            </w:r>
          </w:p>
        </w:tc>
      </w:tr>
      <w:tr>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60" w:after="60" w:line="276"/>
            </w:pPr>
            <w:r>
              <w:rPr>
                <w:rFonts w:ascii="Arial" w:cs="Arial" w:eastAsia="Arial" w:hAnsi="Arial"/>
                <w:b/>
                <w:bCs/>
                <w:color w:val="1A1A2E"/>
                <w:sz w:val="22"/>
                <w:szCs w:val="22"/>
              </w:rPr>
              <w:t xml:space="preserve">Week 7</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60" w:after="60" w:line="276"/>
            </w:pPr>
            <w:r>
              <w:rPr>
                <w:rFonts w:ascii="Arial" w:cs="Arial" w:eastAsia="Arial" w:hAnsi="Arial"/>
                <w:b w:val="false"/>
                <w:bCs w:val="false"/>
                <w:color w:val="1A1A2E"/>
                <w:sz w:val="20"/>
                <w:szCs w:val="20"/>
              </w:rPr>
              <w:t xml:space="preserve">Full manuscript restructure per Part 6. Paper 6: Reorder sections. Write response memo documenting every change made (useful for cover letter to editor).</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tcPr>
          <w:p>
            <w:pPr>
              <w:spacing w:before="60" w:after="60" w:line="276"/>
            </w:pPr>
            <w:r>
              <w:rPr>
                <w:rFonts w:ascii="Arial" w:cs="Arial" w:eastAsia="Arial" w:hAnsi="Arial"/>
                <w:b w:val="false"/>
                <w:bCs w:val="false"/>
                <w:color w:val="1A1A2E"/>
                <w:sz w:val="20"/>
                <w:szCs w:val="20"/>
              </w:rPr>
              <w:t xml:space="preserve">Revised manuscript draft 2. Revision memo.</w:t>
            </w:r>
          </w:p>
        </w:tc>
      </w:tr>
      <w:tr>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60" w:after="60" w:line="276"/>
            </w:pPr>
            <w:r>
              <w:rPr>
                <w:rFonts w:ascii="Arial" w:cs="Arial" w:eastAsia="Arial" w:hAnsi="Arial"/>
                <w:b/>
                <w:bCs/>
                <w:color w:val="1A1A2E"/>
                <w:sz w:val="22"/>
                <w:szCs w:val="22"/>
              </w:rPr>
              <w:t xml:space="preserve">Week 8</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60" w:after="60" w:line="276"/>
            </w:pPr>
            <w:r>
              <w:rPr>
                <w:rFonts w:ascii="Arial" w:cs="Arial" w:eastAsia="Arial" w:hAnsi="Arial"/>
                <w:b w:val="false"/>
                <w:bCs w:val="false"/>
                <w:color w:val="1A1A2E"/>
                <w:sz w:val="20"/>
                <w:szCs w:val="20"/>
              </w:rPr>
              <w:t xml:space="preserve">Polish all tables and figures. Verify all numbers cross-reference correctly. Final proofreading. Prepare cover letter emphasizing new contributions. SUBMIT.</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tcPr>
          <w:p>
            <w:pPr>
              <w:spacing w:before="60" w:after="60" w:line="276"/>
            </w:pPr>
            <w:r>
              <w:rPr>
                <w:rFonts w:ascii="Arial" w:cs="Arial" w:eastAsia="Arial" w:hAnsi="Arial"/>
                <w:b w:val="false"/>
                <w:bCs w:val="false"/>
                <w:color w:val="1A1A2E"/>
                <w:sz w:val="20"/>
                <w:szCs w:val="20"/>
              </w:rPr>
              <w:t xml:space="preserve">Final submission package.</w:t>
            </w:r>
          </w:p>
        </w:tc>
      </w:tr>
    </w:tbl>
    <w:p>
      <w:pPr>
        <w:spacing w:before="0" w:after="20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E7A3E" w:sz="1"/>
              <w:left w:val="single" w:color="1E7A3E" w:sz="1"/>
              <w:bottom w:val="single" w:color="1E7A3E" w:sz="1"/>
              <w:right w:val="single" w:color="1E7A3E" w:sz="1"/>
            </w:tcBorders>
            <w:shd w:fill="E8F5E9" w:val="clear"/>
            <w:tcMar>
              <w:top w:type="dxa" w:w="100"/>
              <w:left w:type="dxa" w:w="140"/>
              <w:bottom w:type="dxa" w:w="100"/>
              <w:right w:type="dxa" w:w="140"/>
            </w:tcMar>
          </w:tcPr>
          <w:p>
            <w:pPr>
              <w:spacing w:before="40" w:after="40" w:line="276"/>
            </w:pPr>
            <w:r>
              <w:rPr>
                <w:rFonts w:ascii="Arial" w:cs="Arial" w:eastAsia="Arial" w:hAnsi="Arial"/>
                <w:color w:val="1A1A2E"/>
                <w:sz w:val="22"/>
                <w:szCs w:val="22"/>
              </w:rPr>
              <w:t xml:space="preserve">COVER LETTER GUIDANCE: When you submit, your cover letter must explicitly state:</w:t>
            </w:r>
          </w:p>
        </w:tc>
      </w:tr>
      <w:tr>
        <w:tc>
          <w:tcPr>
            <w:tcBorders>
              <w:top w:val="single" w:color="1E7A3E" w:sz="1"/>
              <w:left w:val="single" w:color="1E7A3E" w:sz="1"/>
              <w:bottom w:val="single" w:color="1E7A3E" w:sz="1"/>
              <w:right w:val="single" w:color="1E7A3E" w:sz="1"/>
            </w:tcBorders>
            <w:shd w:fill="E8F5E9" w:val="clear"/>
            <w:tcMar>
              <w:top w:type="dxa" w:w="100"/>
              <w:left w:type="dxa" w:w="140"/>
              <w:bottom w:type="dxa" w:w="100"/>
              <w:right w:type="dxa" w:w="140"/>
            </w:tcMar>
          </w:tcPr>
          <w:p>
            <w:pPr>
              <w:spacing w:before="40" w:after="40" w:line="276"/>
            </w:pPr>
            <w:r>
              <w:rPr>
                <w:rFonts w:ascii="Arial" w:cs="Arial" w:eastAsia="Arial" w:hAnsi="Arial"/>
                <w:color w:val="1A1A2E"/>
                <w:sz w:val="22"/>
                <w:szCs w:val="22"/>
              </w:rPr>
              <w:t xml:space="preserve">(1) This paper was previously rejected at [journal] with concerns about unobserved credit quality.</w:t>
            </w:r>
          </w:p>
        </w:tc>
      </w:tr>
      <w:tr>
        <w:tc>
          <w:tcPr>
            <w:tcBorders>
              <w:top w:val="single" w:color="1E7A3E" w:sz="1"/>
              <w:left w:val="single" w:color="1E7A3E" w:sz="1"/>
              <w:bottom w:val="single" w:color="1E7A3E" w:sz="1"/>
              <w:right w:val="single" w:color="1E7A3E" w:sz="1"/>
            </w:tcBorders>
            <w:shd w:fill="E8F5E9" w:val="clear"/>
            <w:tcMar>
              <w:top w:type="dxa" w:w="100"/>
              <w:left w:type="dxa" w:w="140"/>
              <w:bottom w:type="dxa" w:w="100"/>
              <w:right w:type="dxa" w:w="140"/>
            </w:tcMar>
          </w:tcPr>
          <w:p>
            <w:pPr>
              <w:spacing w:before="40" w:after="40" w:line="276"/>
            </w:pPr>
            <w:r>
              <w:rPr>
                <w:rFonts w:ascii="Arial" w:cs="Arial" w:eastAsia="Arial" w:hAnsi="Arial"/>
                <w:color w:val="1A1A2E"/>
                <w:sz w:val="22"/>
                <w:szCs w:val="22"/>
              </w:rPr>
              <w:t xml:space="preserve">(2) The revision adds: DTI bounds, covariate balance at RDD cutoff, composition test for DiD, FinTech lender split, AUS simulation, and Triple-DDD as centerpiece.</w:t>
            </w:r>
          </w:p>
        </w:tc>
      </w:tr>
      <w:tr>
        <w:tc>
          <w:tcPr>
            <w:tcBorders>
              <w:top w:val="single" w:color="1E7A3E" w:sz="1"/>
              <w:left w:val="single" w:color="1E7A3E" w:sz="1"/>
              <w:bottom w:val="single" w:color="1E7A3E" w:sz="1"/>
              <w:right w:val="single" w:color="1E7A3E" w:sz="1"/>
            </w:tcBorders>
            <w:shd w:fill="E8F5E9" w:val="clear"/>
            <w:tcMar>
              <w:top w:type="dxa" w:w="100"/>
              <w:left w:type="dxa" w:w="140"/>
              <w:bottom w:type="dxa" w:w="100"/>
              <w:right w:type="dxa" w:w="140"/>
            </w:tcMar>
          </w:tcPr>
          <w:p>
            <w:pPr>
              <w:spacing w:before="40" w:after="40" w:line="276"/>
            </w:pPr>
            <w:r>
              <w:rPr>
                <w:rFonts w:ascii="Arial" w:cs="Arial" w:eastAsia="Arial" w:hAnsi="Arial"/>
                <w:color w:val="1A1A2E"/>
                <w:sz w:val="22"/>
                <w:szCs w:val="22"/>
              </w:rPr>
              <w:t xml:space="preserve">(3) We reposition the paper's contribution relative to Bhutta et al. (2025) as follows: [2 sentences].</w:t>
            </w:r>
          </w:p>
        </w:tc>
      </w:tr>
      <w:tr>
        <w:tc>
          <w:tcPr>
            <w:tcBorders>
              <w:top w:val="single" w:color="1E7A3E" w:sz="1"/>
              <w:left w:val="single" w:color="1E7A3E" w:sz="1"/>
              <w:bottom w:val="single" w:color="1E7A3E" w:sz="1"/>
              <w:right w:val="single" w:color="1E7A3E" w:sz="1"/>
            </w:tcBorders>
            <w:shd w:fill="E8F5E9" w:val="clear"/>
            <w:tcMar>
              <w:top w:type="dxa" w:w="100"/>
              <w:left w:type="dxa" w:w="140"/>
              <w:bottom w:type="dxa" w:w="100"/>
              <w:right w:type="dxa" w:w="140"/>
            </w:tcMar>
          </w:tcPr>
          <w:p>
            <w:pPr>
              <w:spacing w:before="40" w:after="40" w:line="276"/>
            </w:pPr>
            <w:r>
              <w:rPr>
                <w:rFonts w:ascii="Arial" w:cs="Arial" w:eastAsia="Arial" w:hAnsi="Arial"/>
                <w:color w:val="1A1A2E"/>
                <w:sz w:val="22"/>
                <w:szCs w:val="22"/>
              </w:rPr>
              <w:t xml:space="preserve">A specific, technical cover letter documenting revisions dramatically increases R&amp;R probability.</w:t>
            </w:r>
          </w:p>
        </w:tc>
      </w:tr>
    </w:tbl>
    <w:p>
      <w:pPr>
        <w:spacing w:before="0" w:after="0"/>
      </w:pPr>
      <w:r>
        <w:br w:type="page"/>
      </w:r>
    </w:p>
    <w:p>
      <w:pPr>
        <w:pStyle w:val="Heading1"/>
        <w:pBdr>
          <w:bottom w:val="single" w:color="1B3A6B" w:sz="8" w:space="4"/>
        </w:pBdr>
        <w:spacing w:before="480" w:after="200"/>
        <w:outlineLvl w:val="0"/>
      </w:pPr>
      <w:r>
        <w:rPr>
          <w:rFonts w:ascii="Arial" w:cs="Arial" w:eastAsia="Arial" w:hAnsi="Arial"/>
          <w:b/>
          <w:bCs/>
          <w:color w:val="1B3A6B"/>
          <w:sz w:val="36"/>
          <w:szCs w:val="36"/>
        </w:rPr>
        <w:t xml:space="preserve">PART 9 — THE SINGLE MOST IMPORTANT THING</w:t>
      </w:r>
    </w:p>
    <w:p>
      <w:pPr>
        <w:spacing w:before="0" w:after="100" w:line="276"/>
        <w:jc w:val="left"/>
      </w:pPr>
      <w:r>
        <w:rPr>
          <w:rFonts w:ascii="Arial" w:cs="Arial" w:eastAsia="Arial" w:hAnsi="Arial"/>
          <w:b w:val="false"/>
          <w:bCs w:val="false"/>
          <w:i w:val="false"/>
          <w:iCs w:val="false"/>
          <w:color w:val="4A5568"/>
          <w:sz w:val="22"/>
          <w:szCs w:val="22"/>
        </w:rPr>
        <w:t xml:space="preserve">Eight independent evaluations gave eight different answers. Here is the synthesis.</w:t>
      </w:r>
    </w:p>
    <w:p>
      <w:pPr>
        <w:spacing w:before="0" w:after="120"/>
      </w:pPr>
      <w:r>
        <w:rPr>
          <w:rFonts w:ascii="Arial" w:cs="Arial" w:eastAsia="Arial" w:hAnsi="Arial"/>
          <w:b w:val="false"/>
          <w:bCs w:val="false"/>
          <w:i w:val="false"/>
          <w:iCs w:val="false"/>
          <w:color w:val="1A1A2E"/>
          <w:sz w:val="22"/>
          <w:szCs w:val="22"/>
        </w:rPr>
        <w:t xml:space="preserve"/>
      </w:r>
    </w:p>
    <w:p>
      <w:pPr>
        <w:pStyle w:val="Heading2"/>
        <w:spacing w:before="360" w:after="160"/>
        <w:outlineLvl w:val="1"/>
      </w:pPr>
      <w:r>
        <w:rPr>
          <w:rFonts w:ascii="Arial" w:cs="Arial" w:eastAsia="Arial" w:hAnsi="Arial"/>
          <w:b/>
          <w:bCs/>
          <w:color w:val="2E5FA3"/>
          <w:sz w:val="28"/>
          <w:szCs w:val="28"/>
        </w:rPr>
        <w:t xml:space="preserve">What Each AI Said the ONE Thing Was</w:t>
      </w:r>
    </w:p>
    <w:p>
      <w:pPr>
        <w:spacing w:before="0" w:after="8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BDC6D4" w:sz="1"/>
              <w:left w:val="single" w:color="BDC6D4" w:sz="1"/>
              <w:bottom w:val="single" w:color="BDC6D4" w:sz="1"/>
              <w:right w:val="single" w:color="BDC6D4" w:sz="1"/>
            </w:tcBorders>
            <w:shd w:fill="1B3A6B" w:val="clear"/>
            <w:tcMar>
              <w:top w:type="dxa" w:w="100"/>
              <w:left w:type="dxa" w:w="140"/>
              <w:bottom w:type="dxa" w:w="100"/>
              <w:right w:type="dxa" w:w="140"/>
            </w:tcMar>
            <w:vAlign w:val="center"/>
          </w:tcPr>
          <w:p>
            <w:pPr>
              <w:spacing w:before="40" w:after="40"/>
            </w:pPr>
            <w:r>
              <w:rPr>
                <w:rFonts w:ascii="Arial" w:cs="Arial" w:eastAsia="Arial" w:hAnsi="Arial"/>
                <w:b/>
                <w:bCs/>
                <w:color w:val="FFFFFF"/>
                <w:sz w:val="22"/>
                <w:szCs w:val="22"/>
              </w:rPr>
              <w:t xml:space="preserve">Source</w:t>
            </w:r>
          </w:p>
        </w:tc>
        <w:tc>
          <w:tcPr>
            <w:tcBorders>
              <w:top w:val="single" w:color="BDC6D4" w:sz="1"/>
              <w:left w:val="single" w:color="BDC6D4" w:sz="1"/>
              <w:bottom w:val="single" w:color="BDC6D4" w:sz="1"/>
              <w:right w:val="single" w:color="BDC6D4" w:sz="1"/>
            </w:tcBorders>
            <w:shd w:fill="1B3A6B" w:val="clear"/>
            <w:tcMar>
              <w:top w:type="dxa" w:w="100"/>
              <w:left w:type="dxa" w:w="140"/>
              <w:bottom w:type="dxa" w:w="100"/>
              <w:right w:type="dxa" w:w="140"/>
            </w:tcMar>
            <w:vAlign w:val="center"/>
          </w:tcPr>
          <w:p>
            <w:pPr>
              <w:spacing w:before="40" w:after="40"/>
            </w:pPr>
            <w:r>
              <w:rPr>
                <w:rFonts w:ascii="Arial" w:cs="Arial" w:eastAsia="Arial" w:hAnsi="Arial"/>
                <w:b/>
                <w:bCs/>
                <w:color w:val="FFFFFF"/>
                <w:sz w:val="22"/>
                <w:szCs w:val="22"/>
              </w:rPr>
              <w:t xml:space="preserve">Their 'ONE Thing'</w:t>
            </w:r>
          </w:p>
        </w:tc>
      </w:tr>
      <w:tr>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vAlign w:val="center"/>
          </w:tcPr>
          <w:p>
            <w:pPr>
              <w:spacing w:before="40" w:after="40"/>
            </w:pPr>
            <w:r>
              <w:rPr>
                <w:rFonts w:ascii="Arial" w:cs="Arial" w:eastAsia="Arial" w:hAnsi="Arial"/>
                <w:b w:val="false"/>
                <w:bCs w:val="false"/>
                <w:color w:val="1A1A2E"/>
                <w:sz w:val="21"/>
                <w:szCs w:val="21"/>
              </w:rPr>
              <w:t xml:space="preserve">Claude (Anthropic)</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vAlign w:val="center"/>
          </w:tcPr>
          <w:p>
            <w:pPr>
              <w:spacing w:before="40" w:after="40"/>
            </w:pPr>
            <w:r>
              <w:rPr>
                <w:rFonts w:ascii="Arial" w:cs="Arial" w:eastAsia="Arial" w:hAnsi="Arial"/>
                <w:b w:val="false"/>
                <w:bCs w:val="false"/>
                <w:color w:val="1A1A2E"/>
                <w:sz w:val="21"/>
                <w:szCs w:val="21"/>
              </w:rPr>
              <w:t xml:space="preserve">Reframe around mechanisms, not level gap. Add DTI bounds. Lead with Triple-DDD.</w:t>
            </w:r>
          </w:p>
        </w:tc>
      </w:tr>
      <w:tr>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vAlign w:val="center"/>
          </w:tcPr>
          <w:p>
            <w:pPr>
              <w:spacing w:before="40" w:after="40"/>
            </w:pPr>
            <w:r>
              <w:rPr>
                <w:rFonts w:ascii="Arial" w:cs="Arial" w:eastAsia="Arial" w:hAnsi="Arial"/>
                <w:b w:val="false"/>
                <w:bCs w:val="false"/>
                <w:color w:val="1A1A2E"/>
                <w:sz w:val="21"/>
                <w:szCs w:val="21"/>
              </w:rPr>
              <w:t xml:space="preserve">GPT-4o</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vAlign w:val="center"/>
          </w:tcPr>
          <w:p>
            <w:pPr>
              <w:spacing w:before="40" w:after="40"/>
            </w:pPr>
            <w:r>
              <w:rPr>
                <w:rFonts w:ascii="Arial" w:cs="Arial" w:eastAsia="Arial" w:hAnsi="Arial"/>
                <w:b w:val="false"/>
                <w:bCs w:val="false"/>
                <w:color w:val="1A1A2E"/>
                <w:sz w:val="21"/>
                <w:szCs w:val="21"/>
              </w:rPr>
              <w:t xml:space="preserve">Access confidential HMDA with FICO/DTI.</w:t>
            </w:r>
          </w:p>
        </w:tc>
      </w:tr>
      <w:tr>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vAlign w:val="center"/>
          </w:tcPr>
          <w:p>
            <w:pPr>
              <w:spacing w:before="40" w:after="40"/>
            </w:pPr>
            <w:r>
              <w:rPr>
                <w:rFonts w:ascii="Arial" w:cs="Arial" w:eastAsia="Arial" w:hAnsi="Arial"/>
                <w:b w:val="false"/>
                <w:bCs w:val="false"/>
                <w:color w:val="1A1A2E"/>
                <w:sz w:val="21"/>
                <w:szCs w:val="21"/>
              </w:rPr>
              <w:t xml:space="preserve">Gemini</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vAlign w:val="center"/>
          </w:tcPr>
          <w:p>
            <w:pPr>
              <w:spacing w:before="40" w:after="40"/>
            </w:pPr>
            <w:r>
              <w:rPr>
                <w:rFonts w:ascii="Arial" w:cs="Arial" w:eastAsia="Arial" w:hAnsi="Arial"/>
                <w:b w:val="false"/>
                <w:bCs w:val="false"/>
                <w:color w:val="1A1A2E"/>
                <w:sz w:val="21"/>
                <w:szCs w:val="21"/>
              </w:rPr>
              <w:t xml:space="preserve">Smoking gun: show 2022 widening is smaller at algorithmic lenders.</w:t>
            </w:r>
          </w:p>
        </w:tc>
      </w:tr>
      <w:tr>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vAlign w:val="center"/>
          </w:tcPr>
          <w:p>
            <w:pPr>
              <w:spacing w:before="40" w:after="40"/>
            </w:pPr>
            <w:r>
              <w:rPr>
                <w:rFonts w:ascii="Arial" w:cs="Arial" w:eastAsia="Arial" w:hAnsi="Arial"/>
                <w:b w:val="false"/>
                <w:bCs w:val="false"/>
                <w:color w:val="1A1A2E"/>
                <w:sz w:val="21"/>
                <w:szCs w:val="21"/>
              </w:rPr>
              <w:t xml:space="preserve">AI-3 &amp; AI-4</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vAlign w:val="center"/>
          </w:tcPr>
          <w:p>
            <w:pPr>
              <w:spacing w:before="40" w:after="40"/>
            </w:pPr>
            <w:r>
              <w:rPr>
                <w:rFonts w:ascii="Arial" w:cs="Arial" w:eastAsia="Arial" w:hAnsi="Arial"/>
                <w:b w:val="false"/>
                <w:bCs w:val="false"/>
                <w:color w:val="1A1A2E"/>
                <w:sz w:val="21"/>
                <w:szCs w:val="21"/>
              </w:rPr>
              <w:t xml:space="preserve">Drop causal language entirely, reframe as rigorous descriptive.</w:t>
            </w:r>
          </w:p>
        </w:tc>
      </w:tr>
      <w:tr>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vAlign w:val="center"/>
          </w:tcPr>
          <w:p>
            <w:pPr>
              <w:spacing w:before="40" w:after="40"/>
            </w:pPr>
            <w:r>
              <w:rPr>
                <w:rFonts w:ascii="Arial" w:cs="Arial" w:eastAsia="Arial" w:hAnsi="Arial"/>
                <w:b w:val="false"/>
                <w:bCs w:val="false"/>
                <w:color w:val="1A1A2E"/>
                <w:sz w:val="21"/>
                <w:szCs w:val="21"/>
              </w:rPr>
              <w:t xml:space="preserve">AI-5</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vAlign w:val="center"/>
          </w:tcPr>
          <w:p>
            <w:pPr>
              <w:spacing w:before="40" w:after="40"/>
            </w:pPr>
            <w:r>
              <w:rPr>
                <w:rFonts w:ascii="Arial" w:cs="Arial" w:eastAsia="Arial" w:hAnsi="Arial"/>
                <w:b w:val="false"/>
                <w:bCs w:val="false"/>
                <w:color w:val="1A1A2E"/>
                <w:sz w:val="21"/>
                <w:szCs w:val="21"/>
              </w:rPr>
              <w:t xml:space="preserve">Build around Triple-DDD as the single clean identification strategy.</w:t>
            </w:r>
          </w:p>
        </w:tc>
      </w:tr>
      <w:tr>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vAlign w:val="center"/>
          </w:tcPr>
          <w:p>
            <w:pPr>
              <w:spacing w:before="40" w:after="40"/>
            </w:pPr>
            <w:r>
              <w:rPr>
                <w:rFonts w:ascii="Arial" w:cs="Arial" w:eastAsia="Arial" w:hAnsi="Arial"/>
                <w:b w:val="false"/>
                <w:bCs w:val="false"/>
                <w:color w:val="1A1A2E"/>
                <w:sz w:val="21"/>
                <w:szCs w:val="21"/>
              </w:rPr>
              <w:t xml:space="preserve">AI-6</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vAlign w:val="center"/>
          </w:tcPr>
          <w:p>
            <w:pPr>
              <w:spacing w:before="40" w:after="40"/>
            </w:pPr>
            <w:r>
              <w:rPr>
                <w:rFonts w:ascii="Arial" w:cs="Arial" w:eastAsia="Arial" w:hAnsi="Arial"/>
                <w:b w:val="false"/>
                <w:bCs w:val="false"/>
                <w:color w:val="1A1A2E"/>
                <w:sz w:val="21"/>
                <w:szCs w:val="21"/>
              </w:rPr>
              <w:t xml:space="preserve">AUS simulation + default prediction falsification.</w:t>
            </w:r>
          </w:p>
        </w:tc>
      </w:tr>
      <w:tr>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vAlign w:val="center"/>
          </w:tcPr>
          <w:p>
            <w:pPr>
              <w:spacing w:before="40" w:after="40"/>
            </w:pPr>
            <w:r>
              <w:rPr>
                <w:rFonts w:ascii="Arial" w:cs="Arial" w:eastAsia="Arial" w:hAnsi="Arial"/>
                <w:b w:val="false"/>
                <w:bCs w:val="false"/>
                <w:color w:val="1A1A2E"/>
                <w:sz w:val="21"/>
                <w:szCs w:val="21"/>
              </w:rPr>
              <w:t xml:space="preserve">AI-7</w:t>
            </w:r>
          </w:p>
        </w:tc>
        <w:tc>
          <w:tcPr>
            <w:tcBorders>
              <w:top w:val="single" w:color="BDC6D4" w:sz="1"/>
              <w:left w:val="single" w:color="BDC6D4" w:sz="1"/>
              <w:bottom w:val="single" w:color="BDC6D4" w:sz="1"/>
              <w:right w:val="single" w:color="BDC6D4" w:sz="1"/>
            </w:tcBorders>
            <w:shd w:fill="FFFFFF" w:val="clear"/>
            <w:tcMar>
              <w:top w:type="dxa" w:w="100"/>
              <w:left w:type="dxa" w:w="140"/>
              <w:bottom w:type="dxa" w:w="100"/>
              <w:right w:type="dxa" w:w="140"/>
            </w:tcMar>
            <w:vAlign w:val="center"/>
          </w:tcPr>
          <w:p>
            <w:pPr>
              <w:spacing w:before="40" w:after="40"/>
            </w:pPr>
            <w:r>
              <w:rPr>
                <w:rFonts w:ascii="Arial" w:cs="Arial" w:eastAsia="Arial" w:hAnsi="Arial"/>
                <w:b w:val="false"/>
                <w:bCs w:val="false"/>
                <w:color w:val="1A1A2E"/>
                <w:sz w:val="21"/>
                <w:szCs w:val="21"/>
              </w:rPr>
              <w:t xml:space="preserve">Generic: rule out unobserved credit risk.</w:t>
            </w:r>
          </w:p>
        </w:tc>
      </w:tr>
      <w:tr>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vAlign w:val="center"/>
          </w:tcPr>
          <w:p>
            <w:pPr>
              <w:spacing w:before="40" w:after="40"/>
            </w:pPr>
            <w:r>
              <w:rPr>
                <w:rFonts w:ascii="Arial" w:cs="Arial" w:eastAsia="Arial" w:hAnsi="Arial"/>
                <w:b w:val="false"/>
                <w:bCs w:val="false"/>
                <w:color w:val="1A1A2E"/>
                <w:sz w:val="21"/>
                <w:szCs w:val="21"/>
              </w:rPr>
              <w:t xml:space="preserve">AI-8</w:t>
            </w:r>
          </w:p>
        </w:tc>
        <w:tc>
          <w:tcPr>
            <w:tcBorders>
              <w:top w:val="single" w:color="BDC6D4" w:sz="1"/>
              <w:left w:val="single" w:color="BDC6D4" w:sz="1"/>
              <w:bottom w:val="single" w:color="BDC6D4" w:sz="1"/>
              <w:right w:val="single" w:color="BDC6D4" w:sz="1"/>
            </w:tcBorders>
            <w:shd w:fill="F7F9FC" w:val="clear"/>
            <w:tcMar>
              <w:top w:type="dxa" w:w="100"/>
              <w:left w:type="dxa" w:w="140"/>
              <w:bottom w:type="dxa" w:w="100"/>
              <w:right w:type="dxa" w:w="140"/>
            </w:tcMar>
            <w:vAlign w:val="center"/>
          </w:tcPr>
          <w:p>
            <w:pPr>
              <w:spacing w:before="40" w:after="40"/>
            </w:pPr>
            <w:r>
              <w:rPr>
                <w:rFonts w:ascii="Arial" w:cs="Arial" w:eastAsia="Arial" w:hAnsi="Arial"/>
                <w:b w:val="false"/>
                <w:bCs w:val="false"/>
                <w:color w:val="1A1A2E"/>
                <w:sz w:val="21"/>
                <w:szCs w:val="21"/>
              </w:rPr>
              <w:t xml:space="preserve">Add credible controls for borrower credit risk (FICO/DTI or equivalent proxies).</w:t>
            </w:r>
          </w:p>
        </w:tc>
      </w:tr>
    </w:tbl>
    <w:p>
      <w:pPr>
        <w:spacing w:before="0" w:after="200"/>
      </w:pPr>
      <w:r>
        <w:rPr>
          <w:rFonts w:ascii="Arial" w:cs="Arial" w:eastAsia="Arial" w:hAnsi="Arial"/>
          <w:b w:val="false"/>
          <w:bCs w:val="false"/>
          <w:i w:val="false"/>
          <w:iCs w:val="false"/>
          <w:color w:val="1A1A2E"/>
          <w:sz w:val="22"/>
          <w:szCs w:val="22"/>
        </w:rPr>
        <w:t xml:space="preserve"/>
      </w:r>
    </w:p>
    <w:p>
      <w:pPr>
        <w:pStyle w:val="Heading2"/>
        <w:spacing w:before="360" w:after="160"/>
        <w:outlineLvl w:val="1"/>
      </w:pPr>
      <w:r>
        <w:rPr>
          <w:rFonts w:ascii="Arial" w:cs="Arial" w:eastAsia="Arial" w:hAnsi="Arial"/>
          <w:b/>
          <w:bCs/>
          <w:color w:val="C0392B"/>
          <w:sz w:val="28"/>
          <w:szCs w:val="28"/>
        </w:rPr>
        <w:t xml:space="preserve">The Synthesized Answer</w:t>
      </w:r>
    </w:p>
    <w:p>
      <w:pPr>
        <w:spacing w:before="0" w:after="12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40" w:after="40" w:line="276"/>
            </w:pPr>
            <w:r>
              <w:rPr>
                <w:rFonts w:ascii="Arial" w:cs="Arial" w:eastAsia="Arial" w:hAnsi="Arial"/>
                <w:color w:val="FFFFFF"/>
                <w:sz w:val="22"/>
                <w:szCs w:val="22"/>
              </w:rPr>
              <w:t xml:space="preserve">THE SINGLE MOST IMPORTANT THING IS NOT ANY ONE EMPIRICAL TEST.</w:t>
            </w:r>
          </w:p>
        </w:tc>
      </w:tr>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40" w:after="40" w:line="276"/>
            </w:pPr>
            <w:r>
              <w:rPr>
                <w:rFonts w:ascii="Arial" w:cs="Arial" w:eastAsia="Arial" w:hAnsi="Arial"/>
                <w:color w:val="FFFFFF"/>
                <w:sz w:val="22"/>
                <w:szCs w:val="22"/>
              </w:rPr>
              <w:t xml:space="preserve">IT IS A STRATEGIC REFRAMING OF THE PAPER'S IDENTITY.</w:t>
            </w:r>
          </w:p>
        </w:tc>
      </w:tr>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40" w:after="40" w:line="276"/>
            </w:pPr>
            <w:r>
              <w:rPr>
                <w:rFonts w:ascii="Arial" w:cs="Arial" w:eastAsia="Arial" w:hAnsi="Arial"/>
                <w:color w:val="FFFFFF"/>
                <w:sz w:val="22"/>
                <w:szCs w:val="22"/>
              </w:rPr>
              <w:t xml:space="preserve"/>
            </w:r>
          </w:p>
        </w:tc>
      </w:tr>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40" w:after="40" w:line="276"/>
            </w:pPr>
            <w:r>
              <w:rPr>
                <w:rFonts w:ascii="Arial" w:cs="Arial" w:eastAsia="Arial" w:hAnsi="Arial"/>
                <w:color w:val="FFFFFF"/>
                <w:sz w:val="22"/>
                <w:szCs w:val="22"/>
              </w:rPr>
              <w:t xml:space="preserve">The paper is currently trying to defend a 14.95 pp level gap that requires confidential data to attribute credibly to discrimination, while also identifying institutional mechanisms through quasi-experimental designs.</w:t>
            </w:r>
          </w:p>
        </w:tc>
      </w:tr>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40" w:after="40" w:line="276"/>
            </w:pPr>
            <w:r>
              <w:rPr>
                <w:rFonts w:ascii="Arial" w:cs="Arial" w:eastAsia="Arial" w:hAnsi="Arial"/>
                <w:color w:val="FFFFFF"/>
                <w:sz w:val="22"/>
                <w:szCs w:val="22"/>
              </w:rPr>
              <w:t xml:space="preserve"/>
            </w:r>
          </w:p>
        </w:tc>
      </w:tr>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40" w:after="40" w:line="276"/>
            </w:pPr>
            <w:r>
              <w:rPr>
                <w:rFonts w:ascii="Arial" w:cs="Arial" w:eastAsia="Arial" w:hAnsi="Arial"/>
                <w:color w:val="FFFFFF"/>
                <w:sz w:val="22"/>
                <w:szCs w:val="22"/>
              </w:rPr>
              <w:t xml:space="preserve">These two goals conflict. Goal 1 invites the Bhutta et al. comparison every single time. Goal 2 is genuinely novel and defensible with your data.</w:t>
            </w:r>
          </w:p>
        </w:tc>
      </w:tr>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40" w:after="40" w:line="276"/>
            </w:pPr>
            <w:r>
              <w:rPr>
                <w:rFonts w:ascii="Arial" w:cs="Arial" w:eastAsia="Arial" w:hAnsi="Arial"/>
                <w:color w:val="FFFFFF"/>
                <w:sz w:val="22"/>
                <w:szCs w:val="22"/>
              </w:rPr>
              <w:t xml:space="preserve"/>
            </w:r>
          </w:p>
        </w:tc>
      </w:tr>
      <w:tr>
        <w:tc>
          <w:tcPr>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pPr>
              <w:spacing w:before="40" w:after="40" w:line="276"/>
            </w:pPr>
            <w:r>
              <w:rPr>
                <w:rFonts w:ascii="Arial" w:cs="Arial" w:eastAsia="Arial" w:hAnsi="Arial"/>
                <w:color w:val="FFFFFF"/>
                <w:sz w:val="22"/>
                <w:szCs w:val="22"/>
              </w:rPr>
              <w:t xml:space="preserve">THE ANSWER: Make Goal 2 the entire paper. Make Goal 1 a motivation.</w:t>
            </w:r>
          </w:p>
        </w:tc>
      </w:tr>
    </w:tbl>
    <w:p>
      <w:pPr>
        <w:spacing w:before="0" w:after="200"/>
      </w:pPr>
      <w:r>
        <w:rPr>
          <w:rFonts w:ascii="Arial" w:cs="Arial" w:eastAsia="Arial" w:hAnsi="Arial"/>
          <w:b w:val="false"/>
          <w:bCs w:val="false"/>
          <w:i w:val="false"/>
          <w:iCs w:val="false"/>
          <w:color w:val="1A1A2E"/>
          <w:sz w:val="22"/>
          <w:szCs w:val="22"/>
        </w:rPr>
        <w:t xml:space="preserve"/>
      </w:r>
    </w:p>
    <w:p>
      <w:pPr>
        <w:spacing w:before="0" w:after="100" w:line="276"/>
        <w:jc w:val="left"/>
      </w:pPr>
      <w:r>
        <w:rPr>
          <w:rFonts w:ascii="Arial" w:cs="Arial" w:eastAsia="Arial" w:hAnsi="Arial"/>
          <w:b/>
          <w:bCs/>
          <w:i w:val="false"/>
          <w:iCs w:val="false"/>
          <w:color w:val="1A1A2E"/>
          <w:sz w:val="22"/>
          <w:szCs w:val="22"/>
        </w:rPr>
        <w:t xml:space="preserve">Concretely, your new Introduction should say:</w:t>
      </w:r>
    </w:p>
    <w:p>
      <w:pPr>
        <w:spacing w:before="0" w:after="8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2E5FA3" w:sz="1"/>
              <w:left w:val="single" w:color="2E5FA3" w:sz="1"/>
              <w:bottom w:val="single" w:color="2E5FA3" w:sz="1"/>
              <w:right w:val="single" w:color="2E5FA3" w:sz="1"/>
            </w:tcBorders>
            <w:shd w:fill="EEF3FA" w:val="clear"/>
            <w:tcMar>
              <w:top w:type="dxa" w:w="100"/>
              <w:left w:type="dxa" w:w="140"/>
              <w:bottom w:type="dxa" w:w="100"/>
              <w:right w:type="dxa" w:w="140"/>
            </w:tcMar>
          </w:tcPr>
          <w:p>
            <w:pPr>
              <w:spacing w:before="40" w:after="40" w:line="276"/>
            </w:pPr>
            <w:r>
              <w:rPr>
                <w:rFonts w:ascii="Arial" w:cs="Arial" w:eastAsia="Arial" w:hAnsi="Arial"/>
                <w:color w:val="1A1A2E"/>
                <w:sz w:val="22"/>
                <w:szCs w:val="22"/>
              </w:rPr>
              <w:t xml:space="preserve">"Prior work using confidential data with credit scores (Bhutta et al., 2025) establishes a 1-2 pp conditional residual approval gap. Using the near-universe of public HMDA applications covering 42 million applications across 5,500 lenders, we ask a complementary question: through what institutional mechanisms does the approval differential operate, and how does it respond to monetary conditions?</w:t>
            </w:r>
          </w:p>
        </w:tc>
      </w:tr>
      <w:tr>
        <w:tc>
          <w:tcPr>
            <w:tcBorders>
              <w:top w:val="single" w:color="2E5FA3" w:sz="1"/>
              <w:left w:val="single" w:color="2E5FA3" w:sz="1"/>
              <w:bottom w:val="single" w:color="2E5FA3" w:sz="1"/>
              <w:right w:val="single" w:color="2E5FA3" w:sz="1"/>
            </w:tcBorders>
            <w:shd w:fill="EEF3FA" w:val="clear"/>
            <w:tcMar>
              <w:top w:type="dxa" w:w="100"/>
              <w:left w:type="dxa" w:w="140"/>
              <w:bottom w:type="dxa" w:w="100"/>
              <w:right w:type="dxa" w:w="140"/>
            </w:tcMar>
          </w:tcPr>
          <w:p>
            <w:pPr>
              <w:spacing w:before="40" w:after="40" w:line="276"/>
            </w:pPr>
            <w:r>
              <w:rPr>
                <w:rFonts w:ascii="Arial" w:cs="Arial" w:eastAsia="Arial" w:hAnsi="Arial"/>
                <w:color w:val="1A1A2E"/>
                <w:sz w:val="22"/>
                <w:szCs w:val="22"/>
              </w:rPr>
              <w:t xml:space="preserve"/>
            </w:r>
          </w:p>
        </w:tc>
      </w:tr>
      <w:tr>
        <w:tc>
          <w:tcPr>
            <w:tcBorders>
              <w:top w:val="single" w:color="2E5FA3" w:sz="1"/>
              <w:left w:val="single" w:color="2E5FA3" w:sz="1"/>
              <w:bottom w:val="single" w:color="2E5FA3" w:sz="1"/>
              <w:right w:val="single" w:color="2E5FA3" w:sz="1"/>
            </w:tcBorders>
            <w:shd w:fill="EEF3FA" w:val="clear"/>
            <w:tcMar>
              <w:top w:type="dxa" w:w="100"/>
              <w:left w:type="dxa" w:w="140"/>
              <w:bottom w:type="dxa" w:w="100"/>
              <w:right w:type="dxa" w:w="140"/>
            </w:tcMar>
          </w:tcPr>
          <w:p>
            <w:pPr>
              <w:spacing w:before="40" w:after="40" w:line="276"/>
            </w:pPr>
            <w:r>
              <w:rPr>
                <w:rFonts w:ascii="Arial" w:cs="Arial" w:eastAsia="Arial" w:hAnsi="Arial"/>
                <w:color w:val="1A1A2E"/>
                <w:sz w:val="22"/>
                <w:szCs w:val="22"/>
              </w:rPr>
              <w:t xml:space="preserve">We find that the within-lender differential is amplified at the 80% LTV threshold — but only for purchase loans where PMI consequences are sharpest, not for refinancings — and that the 2022 Federal Reserve tightening cycle widened this differential by an additional 1.5 pp through a structural break 2.4 times the pre-existing trend. A Triple-DDD specification combining both designs survives under conservative assumptions about all major unobservable underwriting variables. Conservative partial identification bounds on unobserved FICO and DTI effects establish that at least [X] percent of the within-lender differential remains unexplained even under extreme assumptions about credit quality differences."</w:t>
            </w:r>
          </w:p>
        </w:tc>
      </w:tr>
    </w:tbl>
    <w:p>
      <w:pPr>
        <w:spacing w:before="0" w:after="200"/>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single" w:color="1E7A3E" w:sz="1"/>
              <w:left w:val="single" w:color="1E7A3E" w:sz="1"/>
              <w:bottom w:val="single" w:color="1E7A3E" w:sz="1"/>
              <w:right w:val="single" w:color="1E7A3E" w:sz="1"/>
            </w:tcBorders>
            <w:shd w:fill="E8F5E9" w:val="clear"/>
            <w:tcMar>
              <w:top w:type="dxa" w:w="100"/>
              <w:left w:type="dxa" w:w="140"/>
              <w:bottom w:type="dxa" w:w="100"/>
              <w:right w:type="dxa" w:w="140"/>
            </w:tcMar>
          </w:tcPr>
          <w:p>
            <w:pPr>
              <w:spacing w:before="40" w:after="40" w:line="276"/>
            </w:pPr>
            <w:r>
              <w:rPr>
                <w:rFonts w:ascii="Arial" w:cs="Arial" w:eastAsia="Arial" w:hAnsi="Arial"/>
                <w:color w:val="1A1A2E"/>
                <w:sz w:val="22"/>
                <w:szCs w:val="22"/>
              </w:rPr>
              <w:t xml:space="preserve">WHY THIS REFRAMING WORKS:</w:t>
            </w:r>
          </w:p>
        </w:tc>
      </w:tr>
      <w:tr>
        <w:tc>
          <w:tcPr>
            <w:tcBorders>
              <w:top w:val="single" w:color="1E7A3E" w:sz="1"/>
              <w:left w:val="single" w:color="1E7A3E" w:sz="1"/>
              <w:bottom w:val="single" w:color="1E7A3E" w:sz="1"/>
              <w:right w:val="single" w:color="1E7A3E" w:sz="1"/>
            </w:tcBorders>
            <w:shd w:fill="E8F5E9" w:val="clear"/>
            <w:tcMar>
              <w:top w:type="dxa" w:w="100"/>
              <w:left w:type="dxa" w:w="140"/>
              <w:bottom w:type="dxa" w:w="100"/>
              <w:right w:type="dxa" w:w="140"/>
            </w:tcMar>
          </w:tcPr>
          <w:p>
            <w:pPr>
              <w:spacing w:before="40" w:after="40" w:line="276"/>
            </w:pPr>
            <w:r>
              <w:rPr>
                <w:rFonts w:ascii="Arial" w:cs="Arial" w:eastAsia="Arial" w:hAnsi="Arial"/>
                <w:color w:val="1A1A2E"/>
                <w:sz w:val="22"/>
                <w:szCs w:val="22"/>
              </w:rPr>
              <w:t xml:space="preserve">1. It does not compete with Bhutta et al. (2025). It builds on them.</w:t>
            </w:r>
          </w:p>
        </w:tc>
      </w:tr>
      <w:tr>
        <w:tc>
          <w:tcPr>
            <w:tcBorders>
              <w:top w:val="single" w:color="1E7A3E" w:sz="1"/>
              <w:left w:val="single" w:color="1E7A3E" w:sz="1"/>
              <w:bottom w:val="single" w:color="1E7A3E" w:sz="1"/>
              <w:right w:val="single" w:color="1E7A3E" w:sz="1"/>
            </w:tcBorders>
            <w:shd w:fill="E8F5E9" w:val="clear"/>
            <w:tcMar>
              <w:top w:type="dxa" w:w="100"/>
              <w:left w:type="dxa" w:w="140"/>
              <w:bottom w:type="dxa" w:w="100"/>
              <w:right w:type="dxa" w:w="140"/>
            </w:tcMar>
          </w:tcPr>
          <w:p>
            <w:pPr>
              <w:spacing w:before="40" w:after="40" w:line="276"/>
            </w:pPr>
            <w:r>
              <w:rPr>
                <w:rFonts w:ascii="Arial" w:cs="Arial" w:eastAsia="Arial" w:hAnsi="Arial"/>
                <w:color w:val="1A1A2E"/>
                <w:sz w:val="22"/>
                <w:szCs w:val="22"/>
              </w:rPr>
              <w:t xml:space="preserve">2. It positions your genuine innovations as the paper's core contributions: temporal dynamics, monetary cycle amplification, institutional mechanism at the PMI boundary, geographic structure.</w:t>
            </w:r>
          </w:p>
        </w:tc>
      </w:tr>
      <w:tr>
        <w:tc>
          <w:tcPr>
            <w:tcBorders>
              <w:top w:val="single" w:color="1E7A3E" w:sz="1"/>
              <w:left w:val="single" w:color="1E7A3E" w:sz="1"/>
              <w:bottom w:val="single" w:color="1E7A3E" w:sz="1"/>
              <w:right w:val="single" w:color="1E7A3E" w:sz="1"/>
            </w:tcBorders>
            <w:shd w:fill="E8F5E9" w:val="clear"/>
            <w:tcMar>
              <w:top w:type="dxa" w:w="100"/>
              <w:left w:type="dxa" w:w="140"/>
              <w:bottom w:type="dxa" w:w="100"/>
              <w:right w:type="dxa" w:w="140"/>
            </w:tcMar>
          </w:tcPr>
          <w:p>
            <w:pPr>
              <w:spacing w:before="40" w:after="40" w:line="276"/>
            </w:pPr>
            <w:r>
              <w:rPr>
                <w:rFonts w:ascii="Arial" w:cs="Arial" w:eastAsia="Arial" w:hAnsi="Arial"/>
                <w:color w:val="1A1A2E"/>
                <w:sz w:val="22"/>
                <w:szCs w:val="22"/>
              </w:rPr>
              <w:t xml:space="preserve">3. It gives referees a clear answer to 'what does this paper add beyond Bhutta?' without requiring confidential data.</w:t>
            </w:r>
          </w:p>
        </w:tc>
      </w:tr>
      <w:tr>
        <w:tc>
          <w:tcPr>
            <w:tcBorders>
              <w:top w:val="single" w:color="1E7A3E" w:sz="1"/>
              <w:left w:val="single" w:color="1E7A3E" w:sz="1"/>
              <w:bottom w:val="single" w:color="1E7A3E" w:sz="1"/>
              <w:right w:val="single" w:color="1E7A3E" w:sz="1"/>
            </w:tcBorders>
            <w:shd w:fill="E8F5E9" w:val="clear"/>
            <w:tcMar>
              <w:top w:type="dxa" w:w="100"/>
              <w:left w:type="dxa" w:w="140"/>
              <w:bottom w:type="dxa" w:w="100"/>
              <w:right w:type="dxa" w:w="140"/>
            </w:tcMar>
          </w:tcPr>
          <w:p>
            <w:pPr>
              <w:spacing w:before="40" w:after="40" w:line="276"/>
            </w:pPr>
            <w:r>
              <w:rPr>
                <w:rFonts w:ascii="Arial" w:cs="Arial" w:eastAsia="Arial" w:hAnsi="Arial"/>
                <w:color w:val="1A1A2E"/>
                <w:sz w:val="22"/>
                <w:szCs w:val="22"/>
              </w:rPr>
              <w:t xml:space="preserve">4. The Triple-DDD — requiring a confounder that simultaneously operates at an LTV threshold AND changes with a monetary regime shift AND is race-specific — is genuinely difficult to explain away.</w:t>
            </w:r>
          </w:p>
        </w:tc>
      </w:tr>
      <w:tr>
        <w:tc>
          <w:tcPr>
            <w:tcBorders>
              <w:top w:val="single" w:color="1E7A3E" w:sz="1"/>
              <w:left w:val="single" w:color="1E7A3E" w:sz="1"/>
              <w:bottom w:val="single" w:color="1E7A3E" w:sz="1"/>
              <w:right w:val="single" w:color="1E7A3E" w:sz="1"/>
            </w:tcBorders>
            <w:shd w:fill="E8F5E9" w:val="clear"/>
            <w:tcMar>
              <w:top w:type="dxa" w:w="100"/>
              <w:left w:type="dxa" w:w="140"/>
              <w:bottom w:type="dxa" w:w="100"/>
              <w:right w:type="dxa" w:w="140"/>
            </w:tcMar>
          </w:tcPr>
          <w:p>
            <w:pPr>
              <w:spacing w:before="40" w:after="40" w:line="276"/>
            </w:pPr>
            <w:r>
              <w:rPr>
                <w:rFonts w:ascii="Arial" w:cs="Arial" w:eastAsia="Arial" w:hAnsi="Arial"/>
                <w:color w:val="1A1A2E"/>
                <w:sz w:val="22"/>
                <w:szCs w:val="22"/>
              </w:rPr>
              <w:t xml:space="preserve">5. This reframing, combined with the Tier 1 empirical upgrades, is what gets this paper published at JHE.</w:t>
            </w:r>
          </w:p>
        </w:tc>
      </w:tr>
    </w:tbl>
    <w:p>
      <w:pPr>
        <w:spacing w:before="0" w:after="0"/>
      </w:pPr>
      <w:r>
        <w:br w:type="page"/>
      </w:r>
    </w:p>
    <w:p>
      <w:pPr>
        <w:pStyle w:val="Heading1"/>
        <w:pBdr>
          <w:bottom w:val="single" w:color="1B3A6B" w:sz="8" w:space="4"/>
        </w:pBdr>
        <w:spacing w:before="480" w:after="200"/>
        <w:outlineLvl w:val="0"/>
      </w:pPr>
      <w:r>
        <w:rPr>
          <w:rFonts w:ascii="Arial" w:cs="Arial" w:eastAsia="Arial" w:hAnsi="Arial"/>
          <w:b/>
          <w:bCs/>
          <w:color w:val="1B3A6B"/>
          <w:sz w:val="36"/>
          <w:szCs w:val="36"/>
        </w:rPr>
        <w:t xml:space="preserve">APPENDIX: QUICK REFERENCE CHECKLIST</w:t>
      </w:r>
    </w:p>
    <w:p>
      <w:pPr>
        <w:spacing w:before="0" w:after="100" w:line="276"/>
        <w:jc w:val="left"/>
      </w:pPr>
      <w:r>
        <w:rPr>
          <w:rFonts w:ascii="Arial" w:cs="Arial" w:eastAsia="Arial" w:hAnsi="Arial"/>
          <w:b w:val="false"/>
          <w:bCs w:val="false"/>
          <w:i w:val="false"/>
          <w:iCs w:val="false"/>
          <w:color w:val="4A5568"/>
          <w:sz w:val="22"/>
          <w:szCs w:val="22"/>
        </w:rPr>
        <w:t xml:space="preserve">Use this checklist before submitting to track your progress.</w:t>
      </w:r>
    </w:p>
    <w:p>
      <w:pPr>
        <w:spacing w:before="0" w:after="120"/>
      </w:pPr>
      <w:r>
        <w:rPr>
          <w:rFonts w:ascii="Arial" w:cs="Arial" w:eastAsia="Arial" w:hAnsi="Arial"/>
          <w:b w:val="false"/>
          <w:bCs w:val="false"/>
          <w:i w:val="false"/>
          <w:iCs w:val="false"/>
          <w:color w:val="1A1A2E"/>
          <w:sz w:val="22"/>
          <w:szCs w:val="22"/>
        </w:rPr>
        <w:t xml:space="preserve"/>
      </w:r>
    </w:p>
    <w:p>
      <w:pPr>
        <w:spacing w:before="260" w:after="100"/>
      </w:pPr>
      <w:r>
        <w:rPr>
          <w:rFonts w:ascii="Arial" w:cs="Arial" w:eastAsia="Arial" w:hAnsi="Arial"/>
          <w:b/>
          <w:bCs/>
          <w:color w:val="1B3A6B"/>
          <w:sz w:val="24"/>
          <w:szCs w:val="24"/>
        </w:rPr>
        <w:t xml:space="preserve">URGENT (Before Any Submission)</w:t>
      </w:r>
    </w:p>
    <w:p>
      <w:pPr>
        <w:spacing w:before="80" w:after="80" w:line="276"/>
        <w:ind w:left="360"/>
      </w:pPr>
      <w:r>
        <w:rPr>
          <w:rFonts w:ascii="Arial" w:cs="Arial" w:eastAsia="Arial" w:hAnsi="Arial"/>
          <w:color w:val="1A1A2E"/>
          <w:sz w:val="21"/>
          <w:szCs w:val="21"/>
        </w:rPr>
        <w:t xml:space="preserve">□  Fix anonymization: Remove GitHub URL with username from Data Availability section</w:t>
      </w:r>
    </w:p>
    <w:p>
      <w:pPr>
        <w:spacing w:before="80" w:after="80" w:line="276"/>
        <w:ind w:left="360"/>
      </w:pPr>
      <w:r>
        <w:rPr>
          <w:rFonts w:ascii="Arial" w:cs="Arial" w:eastAsia="Arial" w:hAnsi="Arial"/>
          <w:color w:val="1A1A2E"/>
          <w:sz w:val="21"/>
          <w:szCs w:val="21"/>
        </w:rPr>
        <w:t xml:space="preserve">□  Check HMDA files for DTI field (debt_to_income_ratio) in 2018+ data</w:t>
      </w:r>
    </w:p>
    <w:p>
      <w:pPr>
        <w:spacing w:before="80" w:after="80" w:line="276"/>
        <w:ind w:left="360"/>
      </w:pPr>
      <w:r>
        <w:rPr>
          <w:rFonts w:ascii="Arial" w:cs="Arial" w:eastAsia="Arial" w:hAnsi="Arial"/>
          <w:color w:val="1A1A2E"/>
          <w:sz w:val="21"/>
          <w:szCs w:val="21"/>
        </w:rPr>
        <w:t xml:space="preserve">□  If DTI available: Add to all DFL and FE specifications</w:t>
      </w:r>
    </w:p>
    <w:p>
      <w:pPr>
        <w:spacing w:before="260" w:after="100"/>
      </w:pPr>
      <w:r>
        <w:rPr>
          <w:rFonts w:ascii="Arial" w:cs="Arial" w:eastAsia="Arial" w:hAnsi="Arial"/>
          <w:b/>
          <w:bCs/>
          <w:color w:val="1B3A6B"/>
          <w:sz w:val="24"/>
          <w:szCs w:val="24"/>
        </w:rPr>
        <w:t xml:space="preserve">Tier 1: Required for R&amp;R</w:t>
      </w:r>
    </w:p>
    <w:p>
      <w:pPr>
        <w:spacing w:before="80" w:after="80" w:line="276"/>
        <w:ind w:left="360"/>
      </w:pPr>
      <w:r>
        <w:rPr>
          <w:rFonts w:ascii="Arial" w:cs="Arial" w:eastAsia="Arial" w:hAnsi="Arial"/>
          <w:color w:val="1A1A2E"/>
          <w:sz w:val="21"/>
          <w:szCs w:val="21"/>
        </w:rPr>
        <w:t xml:space="preserve">□  T1-A3: DTI partial identification bounds added alongside FICO Manski bounds</w:t>
      </w:r>
    </w:p>
    <w:p>
      <w:pPr>
        <w:spacing w:before="80" w:after="80" w:line="276"/>
        <w:ind w:left="360"/>
      </w:pPr>
      <w:r>
        <w:rPr>
          <w:rFonts w:ascii="Arial" w:cs="Arial" w:eastAsia="Arial" w:hAnsi="Arial"/>
          <w:color w:val="1A1A2E"/>
          <w:sz w:val="21"/>
          <w:szCs w:val="21"/>
        </w:rPr>
        <w:t xml:space="preserve">□  T1-A4: Triple-DDD repositioned as paper centerpiece with refinance falsification</w:t>
      </w:r>
    </w:p>
    <w:p>
      <w:pPr>
        <w:spacing w:before="80" w:after="80" w:line="276"/>
        <w:ind w:left="360"/>
      </w:pPr>
      <w:r>
        <w:rPr>
          <w:rFonts w:ascii="Arial" w:cs="Arial" w:eastAsia="Arial" w:hAnsi="Arial"/>
          <w:color w:val="1A1A2E"/>
          <w:sz w:val="21"/>
          <w:szCs w:val="21"/>
        </w:rPr>
        <w:t xml:space="preserve">□  T1-A5: Covariate balance table at 80% LTV RDD cutoff by race</w:t>
      </w:r>
    </w:p>
    <w:p>
      <w:pPr>
        <w:spacing w:before="80" w:after="80" w:line="276"/>
        <w:ind w:left="360"/>
      </w:pPr>
      <w:r>
        <w:rPr>
          <w:rFonts w:ascii="Arial" w:cs="Arial" w:eastAsia="Arial" w:hAnsi="Arial"/>
          <w:color w:val="1A1A2E"/>
          <w:sz w:val="21"/>
          <w:szCs w:val="21"/>
        </w:rPr>
        <w:t xml:space="preserve">□  T1-A6: High-predicted-probability DiD composition test (Table 8B)</w:t>
      </w:r>
    </w:p>
    <w:p>
      <w:pPr>
        <w:spacing w:before="80" w:after="80" w:line="276"/>
        <w:ind w:left="360"/>
      </w:pPr>
      <w:r>
        <w:rPr>
          <w:rFonts w:ascii="Arial" w:cs="Arial" w:eastAsia="Arial" w:hAnsi="Arial"/>
          <w:color w:val="1A1A2E"/>
          <w:sz w:val="21"/>
          <w:szCs w:val="21"/>
        </w:rPr>
        <w:t xml:space="preserve">□  T1-A7: Abstract and Introduction rewritten around mechanisms</w:t>
      </w:r>
    </w:p>
    <w:p>
      <w:pPr>
        <w:spacing w:before="80" w:after="80" w:line="276"/>
        <w:ind w:left="360"/>
      </w:pPr>
      <w:r>
        <w:rPr>
          <w:rFonts w:ascii="Arial" w:cs="Arial" w:eastAsia="Arial" w:hAnsi="Arial"/>
          <w:color w:val="1A1A2E"/>
          <w:sz w:val="21"/>
          <w:szCs w:val="21"/>
        </w:rPr>
        <w:t xml:space="preserve">□  Language surgery: All causal overclaiming phrases replaced throughout manuscript</w:t>
      </w:r>
    </w:p>
    <w:p>
      <w:pPr>
        <w:spacing w:before="80" w:after="80" w:line="276"/>
        <w:ind w:left="360"/>
      </w:pPr>
      <w:r>
        <w:rPr>
          <w:rFonts w:ascii="Arial" w:cs="Arial" w:eastAsia="Arial" w:hAnsi="Arial"/>
          <w:color w:val="1A1A2E"/>
          <w:sz w:val="21"/>
          <w:szCs w:val="21"/>
        </w:rPr>
        <w:t xml:space="preserve">□  Section 6.4a Bhutta et al. reconciliation moved to Introduction paragraph 2</w:t>
      </w:r>
    </w:p>
    <w:p>
      <w:pPr>
        <w:spacing w:before="260" w:after="100"/>
      </w:pPr>
      <w:r>
        <w:rPr>
          <w:rFonts w:ascii="Arial" w:cs="Arial" w:eastAsia="Arial" w:hAnsi="Arial"/>
          <w:b/>
          <w:bCs/>
          <w:color w:val="1B3A6B"/>
          <w:sz w:val="24"/>
          <w:szCs w:val="24"/>
        </w:rPr>
        <w:t xml:space="preserve">Tier 2: High Impact</w:t>
      </w:r>
    </w:p>
    <w:p>
      <w:pPr>
        <w:spacing w:before="80" w:after="80" w:line="276"/>
        <w:ind w:left="360"/>
      </w:pPr>
      <w:r>
        <w:rPr>
          <w:rFonts w:ascii="Arial" w:cs="Arial" w:eastAsia="Arial" w:hAnsi="Arial"/>
          <w:color w:val="1A1A2E"/>
          <w:sz w:val="21"/>
          <w:szCs w:val="21"/>
        </w:rPr>
        <w:t xml:space="preserve">□  T2-B1: FinTech vs. traditional lender triple interaction</w:t>
      </w:r>
    </w:p>
    <w:p>
      <w:pPr>
        <w:spacing w:before="80" w:after="80" w:line="276"/>
        <w:ind w:left="360"/>
      </w:pPr>
      <w:r>
        <w:rPr>
          <w:rFonts w:ascii="Arial" w:cs="Arial" w:eastAsia="Arial" w:hAnsi="Arial"/>
          <w:color w:val="1A1A2E"/>
          <w:sz w:val="21"/>
          <w:szCs w:val="21"/>
        </w:rPr>
        <w:t xml:space="preserve">□  T2-B2: AUS simulation using public GSE eligibility tables</w:t>
      </w:r>
    </w:p>
    <w:p>
      <w:pPr>
        <w:spacing w:before="80" w:after="80" w:line="276"/>
        <w:ind w:left="360"/>
      </w:pPr>
      <w:r>
        <w:rPr>
          <w:rFonts w:ascii="Arial" w:cs="Arial" w:eastAsia="Arial" w:hAnsi="Arial"/>
          <w:color w:val="1A1A2E"/>
          <w:sz w:val="21"/>
          <w:szCs w:val="21"/>
        </w:rPr>
        <w:t xml:space="preserve">□  T2-B3: Default prediction falsification (Fannie/Freddie loan performance data)</w:t>
      </w:r>
    </w:p>
    <w:p>
      <w:pPr>
        <w:spacing w:before="80" w:after="80" w:line="276"/>
        <w:ind w:left="360"/>
      </w:pPr>
      <w:r>
        <w:rPr>
          <w:rFonts w:ascii="Arial" w:cs="Arial" w:eastAsia="Arial" w:hAnsi="Arial"/>
          <w:color w:val="1A1A2E"/>
          <w:sz w:val="21"/>
          <w:szCs w:val="21"/>
        </w:rPr>
        <w:t xml:space="preserve">□  T2-B4: Income-tercile RDD gradient formalized as Table 7c</w:t>
      </w:r>
    </w:p>
    <w:p>
      <w:pPr>
        <w:spacing w:before="80" w:after="80" w:line="276"/>
        <w:ind w:left="360"/>
      </w:pPr>
      <w:r>
        <w:rPr>
          <w:rFonts w:ascii="Arial" w:cs="Arial" w:eastAsia="Arial" w:hAnsi="Arial"/>
          <w:color w:val="1A1A2E"/>
          <w:sz w:val="21"/>
          <w:szCs w:val="21"/>
        </w:rPr>
        <w:t xml:space="preserve">□  T2-B5: Callaway-Sant'Anna staggered DiD estimator</w:t>
      </w:r>
    </w:p>
    <w:p>
      <w:pPr>
        <w:spacing w:before="260" w:after="100"/>
      </w:pPr>
      <w:r>
        <w:rPr>
          <w:rFonts w:ascii="Arial" w:cs="Arial" w:eastAsia="Arial" w:hAnsi="Arial"/>
          <w:b/>
          <w:bCs/>
          <w:color w:val="1B3A6B"/>
          <w:sz w:val="24"/>
          <w:szCs w:val="24"/>
        </w:rPr>
        <w:t xml:space="preserve">Tier 3: Optional Polish</w:t>
      </w:r>
    </w:p>
    <w:p>
      <w:pPr>
        <w:spacing w:before="80" w:after="80" w:line="276"/>
        <w:ind w:left="360"/>
      </w:pPr>
      <w:r>
        <w:rPr>
          <w:rFonts w:ascii="Arial" w:cs="Arial" w:eastAsia="Arial" w:hAnsi="Arial"/>
          <w:color w:val="1A1A2E"/>
          <w:sz w:val="21"/>
          <w:szCs w:val="21"/>
        </w:rPr>
        <w:t xml:space="preserve">□  HOLC redlining analysis strengthened with contemporaneous controls</w:t>
      </w:r>
    </w:p>
    <w:p>
      <w:pPr>
        <w:spacing w:before="80" w:after="80" w:line="276"/>
        <w:ind w:left="360"/>
      </w:pPr>
      <w:r>
        <w:rPr>
          <w:rFonts w:ascii="Arial" w:cs="Arial" w:eastAsia="Arial" w:hAnsi="Arial"/>
          <w:color w:val="1A1A2E"/>
          <w:sz w:val="21"/>
          <w:szCs w:val="21"/>
        </w:rPr>
        <w:t xml:space="preserve">□  Rate-spread heterogeneity test for approved loans at 80% LTV threshold</w:t>
      </w:r>
    </w:p>
    <w:p>
      <w:pPr>
        <w:spacing w:before="80" w:after="80" w:line="276"/>
        <w:ind w:left="360"/>
      </w:pPr>
      <w:r>
        <w:rPr>
          <w:rFonts w:ascii="Arial" w:cs="Arial" w:eastAsia="Arial" w:hAnsi="Arial"/>
          <w:color w:val="1A1A2E"/>
          <w:sz w:val="21"/>
          <w:szCs w:val="21"/>
        </w:rPr>
        <w:t xml:space="preserve">□  Foregone approval figure recalculated using Manski lower bound as floor</w:t>
      </w:r>
    </w:p>
    <w:p>
      <w:pPr>
        <w:spacing w:before="260" w:after="100"/>
      </w:pPr>
      <w:r>
        <w:rPr>
          <w:rFonts w:ascii="Arial" w:cs="Arial" w:eastAsia="Arial" w:hAnsi="Arial"/>
          <w:b/>
          <w:bCs/>
          <w:color w:val="1B3A6B"/>
          <w:sz w:val="24"/>
          <w:szCs w:val="24"/>
        </w:rPr>
        <w:t xml:space="preserve">Submission Package</w:t>
      </w:r>
    </w:p>
    <w:p>
      <w:pPr>
        <w:spacing w:before="80" w:after="80" w:line="276"/>
        <w:ind w:left="360"/>
      </w:pPr>
      <w:r>
        <w:rPr>
          <w:rFonts w:ascii="Arial" w:cs="Arial" w:eastAsia="Arial" w:hAnsi="Arial"/>
          <w:color w:val="1A1A2E"/>
          <w:sz w:val="21"/>
          <w:szCs w:val="21"/>
        </w:rPr>
        <w:t xml:space="preserve">□  Cover letter explicitly describes all revisions made since prior rejection</w:t>
      </w:r>
    </w:p>
    <w:p>
      <w:pPr>
        <w:spacing w:before="80" w:after="80" w:line="276"/>
        <w:ind w:left="360"/>
      </w:pPr>
      <w:r>
        <w:rPr>
          <w:rFonts w:ascii="Arial" w:cs="Arial" w:eastAsia="Arial" w:hAnsi="Arial"/>
          <w:color w:val="1A1A2E"/>
          <w:sz w:val="21"/>
          <w:szCs w:val="21"/>
        </w:rPr>
        <w:t xml:space="preserve">□  Response memo prepared (useful reference for cover letter writing)</w:t>
      </w:r>
    </w:p>
    <w:p>
      <w:pPr>
        <w:spacing w:before="80" w:after="80" w:line="276"/>
        <w:ind w:left="360"/>
      </w:pPr>
      <w:r>
        <w:rPr>
          <w:rFonts w:ascii="Arial" w:cs="Arial" w:eastAsia="Arial" w:hAnsi="Arial"/>
          <w:color w:val="1A1A2E"/>
          <w:sz w:val="21"/>
          <w:szCs w:val="21"/>
        </w:rPr>
        <w:t xml:space="preserve">□  All tables cross-checked for internal consistency</w:t>
      </w:r>
    </w:p>
    <w:p>
      <w:pPr>
        <w:spacing w:before="80" w:after="80" w:line="276"/>
        <w:ind w:left="360"/>
      </w:pPr>
      <w:r>
        <w:rPr>
          <w:rFonts w:ascii="Arial" w:cs="Arial" w:eastAsia="Arial" w:hAnsi="Arial"/>
          <w:color w:val="1A1A2E"/>
          <w:sz w:val="21"/>
          <w:szCs w:val="21"/>
        </w:rPr>
        <w:t xml:space="preserve">□  All figure files checked for identifying metadata</w:t>
      </w:r>
    </w:p>
    <w:p>
      <w:pPr>
        <w:spacing w:before="80" w:after="80" w:line="276"/>
        <w:ind w:left="360"/>
      </w:pPr>
      <w:r>
        <w:rPr>
          <w:rFonts w:ascii="Arial" w:cs="Arial" w:eastAsia="Arial" w:hAnsi="Arial"/>
          <w:color w:val="1A1A2E"/>
          <w:sz w:val="21"/>
          <w:szCs w:val="21"/>
        </w:rPr>
        <w:t xml:space="preserve">□  Anonymous code repository live and URL included</w:t>
      </w:r>
    </w:p>
    <w:p>
      <w:pPr>
        <w:spacing w:before="0" w:after="300"/>
      </w:pPr>
      <w:r>
        <w:rPr>
          <w:rFonts w:ascii="Arial" w:cs="Arial" w:eastAsia="Arial" w:hAnsi="Arial"/>
          <w:b w:val="false"/>
          <w:bCs w:val="false"/>
          <w:i w:val="false"/>
          <w:iCs w:val="false"/>
          <w:color w:val="1A1A2E"/>
          <w:sz w:val="22"/>
          <w:szCs w:val="22"/>
        </w:rPr>
        <w:t xml:space="preserve"/>
      </w:r>
    </w:p>
    <w:p>
      <w:pPr>
        <w:spacing w:before="0" w:after="80"/>
        <w:jc w:val="center"/>
      </w:pPr>
      <w:r>
        <w:rPr>
          <w:rFonts w:ascii="Arial" w:cs="Arial" w:eastAsia="Arial" w:hAnsi="Arial"/>
          <w:color w:val="4A5568"/>
          <w:sz w:val="22"/>
          <w:szCs w:val="22"/>
        </w:rPr>
        <w:t xml:space="preserve">End of Master Revision Plan</w:t>
      </w:r>
    </w:p>
    <w:p>
      <w:pPr>
        <w:spacing w:before="0" w:after="0"/>
        <w:jc w:val="center"/>
      </w:pPr>
      <w:r>
        <w:rPr>
          <w:rFonts w:ascii="Arial" w:cs="Arial" w:eastAsia="Arial" w:hAnsi="Arial"/>
          <w:color w:val="4A5568"/>
          <w:sz w:val="20"/>
          <w:szCs w:val="20"/>
        </w:rPr>
        <w:t xml:space="preserve">Synthesized from 8 independent AI referee evaluations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6D4" w:sz="4"/>
      </w:pBdr>
      <w:spacing w:before="100"/>
    </w:pPr>
    <w:r>
      <w:rPr>
        <w:rFonts w:ascii="Arial" w:cs="Arial" w:eastAsia="Arial" w:hAnsi="Arial"/>
        <w:color w:val="4A5568"/>
        <w:sz w:val="18"/>
        <w:szCs w:val="18"/>
      </w:rPr>
      <w:t xml:space="preserve">Synthesized from 8 independent AI referee evaluations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6D4" w:sz="4"/>
      </w:pBdr>
      <w:spacing w:after="100"/>
    </w:pPr>
    <w:r>
      <w:rPr>
        <w:rFonts w:ascii="Arial" w:cs="Arial" w:eastAsia="Arial" w:hAnsi="Arial"/>
        <w:color w:val="4A5568"/>
        <w:sz w:val="18"/>
        <w:szCs w:val="18"/>
      </w:rPr>
      <w:t xml:space="preserve">MASTER REVISION PLAN — HMDA Racial Disparities Paper</w:t>
    </w:r>
    <w:r>
      <w:rPr>
        <w:rFonts w:ascii="Arial" w:cs="Arial" w:eastAsia="Arial" w:hAnsi="Arial"/>
        <w:b/>
        <w:bCs/>
        <w:color w:val="C0392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sz w:val="36"/>
      <w:szCs w:val="36"/>
    </w:rPr>
  </w:style>
  <w:style w:type="paragraph" w:styleId="Heading2">
    <w:name w:val="Heading 2"/>
    <w:basedOn w:val="Normal"/>
    <w:next w:val="Normal"/>
    <w:qFormat/>
    <w:pPr>
      <w:spacing w:before="360" w:after="160"/>
      <w:outlineLvl w:val="1"/>
    </w:pPr>
    <w:rPr>
      <w:rFonts w:ascii="Arial" w:cs="Arial" w:eastAsia="Arial" w:hAnsi="Arial"/>
      <w:b/>
      <w:bCs/>
      <w:sz w:val="28"/>
      <w:szCs w:val="28"/>
    </w:rPr>
  </w:style>
  <w:style w:type="paragraph" w:styleId="Heading3">
    <w:name w:val="Heading 3"/>
    <w:basedOn w:val="Normal"/>
    <w:next w:val="Normal"/>
    <w:qFormat/>
    <w:pPr>
      <w:spacing w:before="26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2026-03-21T12:20:31.474Z</dcterms:created>
  <dcterms:modified xsi:type="dcterms:W3CDTF">2026-03-21T12:20:31.477Z</dcterms:modified>
</cp:coreProperties>
</file>

<file path=docProps/custom.xml><?xml version="1.0" encoding="utf-8"?>
<Properties xmlns="http://schemas.openxmlformats.org/officeDocument/2006/custom-properties" xmlns:vt="http://schemas.openxmlformats.org/officeDocument/2006/docPropsVTypes"/>
</file>