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Overcoming the Transaction Cost Trap: Cross-Sectional Conviction Ranking in Machine Learning Equity Prediction</w:t>
      </w:r>
    </w:p>
    <w:p>
      <w:pPr>
        <w:spacing w:after="80" w:before="0"/>
        <w:jc w:val="center"/>
      </w:pPr>
      <w:r>
        <w:rPr>
          <w:rFonts w:ascii="Times New Roman" w:cs="Times New Roman" w:eastAsia="Times New Roman" w:hAnsi="Times New Roman"/>
          <w:sz w:val="24"/>
          <w:szCs w:val="24"/>
        </w:rPr>
        <w:t xml:space="preserve">Rajveer Singh Pall</w:t>
      </w:r>
    </w:p>
    <w:p>
      <w:pPr>
        <w:spacing w:after="40" w:before="0"/>
        <w:jc w:val="center"/>
      </w:pPr>
      <w:r>
        <w:rPr>
          <w:rFonts w:ascii="Times New Roman" w:cs="Times New Roman" w:eastAsia="Times New Roman" w:hAnsi="Times New Roman"/>
          <w:i/>
          <w:iCs/>
          <w:sz w:val="22"/>
          <w:szCs w:val="22"/>
        </w:rPr>
        <w:t xml:space="preserve">Department of Computer Science and Business Systems</w:t>
      </w:r>
    </w:p>
    <w:p>
      <w:pPr>
        <w:spacing w:after="40" w:before="0"/>
        <w:jc w:val="center"/>
      </w:pPr>
      <w:r>
        <w:rPr>
          <w:rFonts w:ascii="Times New Roman" w:cs="Times New Roman" w:eastAsia="Times New Roman" w:hAnsi="Times New Roman"/>
          <w:i/>
          <w:iCs/>
          <w:sz w:val="22"/>
          <w:szCs w:val="22"/>
        </w:rPr>
        <w:t xml:space="preserve">Gyan Ganga Institute of Technology and Sciences, Jabalpur, Madhya Pradesh, India</w:t>
      </w:r>
    </w:p>
    <w:p>
      <w:pPr>
        <w:spacing w:after="200" w:before="0"/>
        <w:jc w:val="center"/>
      </w:pPr>
      <w:r>
        <w:rPr>
          <w:rFonts w:ascii="Times New Roman" w:cs="Times New Roman" w:eastAsia="Times New Roman" w:hAnsi="Times New Roman"/>
          <w:sz w:val="22"/>
          <w:szCs w:val="22"/>
        </w:rPr>
        <w:t xml:space="preserve">rajveer.pall@ggits.org</w:t>
      </w:r>
    </w:p>
    <w:p>
      <w:pPr>
        <w:spacing w:after="120" w:before="240"/>
      </w:pPr>
      <w:r>
        <w:rPr>
          <w:rFonts w:ascii="Times New Roman" w:cs="Times New Roman" w:eastAsia="Times New Roman" w:hAnsi="Times New Roman"/>
          <w:b/>
          <w:bCs/>
          <w:sz w:val="24"/>
          <w:szCs w:val="24"/>
        </w:rPr>
        <w:t xml:space="preserve">Abstract</w:t>
      </w:r>
    </w:p>
    <w:p>
      <w:pPr>
        <w:spacing w:after="120" w:before="0"/>
        <w:jc w:val="both"/>
      </w:pPr>
      <w:r>
        <w:rPr>
          <w:rFonts w:ascii="Times New Roman" w:cs="Times New Roman" w:eastAsia="Times New Roman" w:hAnsi="Times New Roman"/>
          <w:sz w:val="24"/>
          <w:szCs w:val="24"/>
        </w:rPr>
        <w:t xml:space="preserve">Machine learning classifiers applied to equity return prediction routinely achieve statistically significant directional accuracy whilst failing to generate positive returns under realistic execution costs — a failure termed here the transaction cost trap. Naive threshold-based execution generates excessive portfolio turnover that mechanically destroys gross alpha. This paper proposes a Cross-Sectional Conviction Ranking framework that treats calibrated ensemble probabilities as ordinal conviction scores, allocating capital to the single highest-ranked asset within a seven-stock universe on each trading day. A permutation test of 1,000 randomised assignments formally rejects the null hypothesis of random selection (p ≤ 0.001, 99.9th percentile), confirming ranking skill. The Top-1 strategy achieves a Sharpe ratio of 1.183 compared to 0.162 for a random-selection baseline — both holding exactly one stock per day — with a break-even transaction cost of 24.2 basis points representing a 4.8× safety margin above assumed institutional execution costs. Performance is concentrated during structural market transitions (TopK1 Sharpe 2.827 in COVID/Growth 2019–2021) and attenuates in stable regimes (Sharpe 0.104 in 2022–2024), consistent with technical signals carrying greater information during regime shifts.</w:t>
      </w:r>
    </w:p>
    <w:p>
      <w:pPr>
        <w:spacing w:after="60" w:before="0"/>
      </w:pPr>
      <w:r>
        <w:t xml:space="preserve"/>
      </w:r>
    </w:p>
    <w:p>
      <w:pPr>
        <w:spacing w:after="120" w:before="0"/>
        <w:jc w:val="both"/>
      </w:pPr>
      <w:r>
        <w:rPr>
          <w:rFonts w:ascii="Times New Roman" w:cs="Times New Roman" w:eastAsia="Times New Roman" w:hAnsi="Times New Roman"/>
          <w:sz w:val="24"/>
          <w:szCs w:val="24"/>
        </w:rPr>
        <w:t xml:space="preserve">Keywords: machine learning; equity prediction; transaction costs; cross-sectional ranking; walk-forward validation; information coefficient</w:t>
      </w:r>
    </w:p>
    <w:p>
      <w:pPr>
        <w:spacing w:after="60" w:before="0"/>
      </w:pPr>
      <w:r>
        <w:t xml:space="preserve"/>
      </w:r>
    </w:p>
    <w:p>
      <w:pPr>
        <w:spacing w:after="120" w:before="240"/>
      </w:pPr>
      <w:r>
        <w:rPr>
          <w:rFonts w:ascii="Times New Roman" w:cs="Times New Roman" w:eastAsia="Times New Roman" w:hAnsi="Times New Roman"/>
          <w:b/>
          <w:bCs/>
          <w:sz w:val="24"/>
          <w:szCs w:val="24"/>
        </w:rPr>
        <w:t xml:space="preserve">1. Introduction</w:t>
      </w:r>
    </w:p>
    <w:p>
      <w:pPr>
        <w:spacing w:after="120" w:before="0"/>
        <w:jc w:val="both"/>
      </w:pPr>
      <w:r>
        <w:rPr>
          <w:rFonts w:ascii="Times New Roman" w:cs="Times New Roman" w:eastAsia="Times New Roman" w:hAnsi="Times New Roman"/>
          <w:sz w:val="24"/>
          <w:szCs w:val="24"/>
        </w:rPr>
        <w:t xml:space="preserve">Machine learning methods have demonstrated systematic outperformance over linear factor models in cross-sectional equity return prediction [1]. Despite this statistical superiority, live deployments reveal a structural discontinuity: models exhibiting strong predictive accuracy routinely fail to generate positive net returns under real execution conditions. This paper identifies and resolves that failure.</w:t>
      </w:r>
    </w:p>
    <w:p>
      <w:pPr>
        <w:spacing w:after="120" w:before="0"/>
        <w:jc w:val="both"/>
      </w:pPr>
      <w:r>
        <w:rPr>
          <w:rFonts w:ascii="Times New Roman" w:cs="Times New Roman" w:eastAsia="Times New Roman" w:hAnsi="Times New Roman"/>
          <w:sz w:val="24"/>
          <w:szCs w:val="24"/>
        </w:rPr>
        <w:t xml:space="preserve">The mechanism is the transaction cost trap. ML classifiers produce dense prediction vectors that flag marginal statistical edges across broad asset universes on every trading day. A model achieving 55% directional accuracy that executes 400 round-trip trades annually at 10 basis points per round-trip forfeits approximately 4% per year to friction alone, consuming typical gross alpha of 6–8% entirely. The standard remedy — raising the classification threshold from P &gt; 0.50 to P &gt; 0.60 — fails conceptually. The Threshold_P60 strategy evaluated here achieves a Sharpe ratio of only 0.071, compared to 1.183 for the proposed framework. Absolute thresholding ignores cross-sectional relative conviction: a calibrated probability of 0.58 during a high-volatility regime shift may represent the strongest available signal across the portfolio, whilst 0.63 during a stable trending period may reflect noise barely exceeding the threshold boundary.</w:t>
      </w:r>
    </w:p>
    <w:p>
      <w:pPr>
        <w:spacing w:after="120" w:before="0"/>
        <w:jc w:val="both"/>
      </w:pPr>
      <w:r>
        <w:rPr>
          <w:rFonts w:ascii="Times New Roman" w:cs="Times New Roman" w:eastAsia="Times New Roman" w:hAnsi="Times New Roman"/>
          <w:sz w:val="24"/>
          <w:szCs w:val="24"/>
        </w:rPr>
        <w:t xml:space="preserve">The alternative proposed here treats ML output probabilities as ordinal conviction scores and selects only the Top-K assets by cross-sectional rank on each trading day. This integrates modern machine learning with the portfolio sorting methodology of empirical asset pricing [2, 3]. Classical cross-sectional sorts rank assets by accounting characteristics and allocate capital to extreme quantiles; the innovation here replaces these sorting variables with calibrated ensemble ML probabilities, limiting turnover to one daily observation. Probability calibration is a necessary precondition for ranking validity: tree ensembles compress raw outputs toward the class mean, so isotonic regression calibration [4] is applied within each walk-forward fold to ensure rankings reflect genuine conviction rather than variance artefacts.</w:t>
      </w:r>
    </w:p>
    <w:p>
      <w:pPr>
        <w:spacing w:after="120" w:before="0"/>
        <w:jc w:val="both"/>
      </w:pPr>
      <w:r>
        <w:rPr>
          <w:rFonts w:ascii="Times New Roman" w:cs="Times New Roman" w:eastAsia="Times New Roman" w:hAnsi="Times New Roman"/>
          <w:sz w:val="24"/>
          <w:szCs w:val="24"/>
        </w:rPr>
        <w:t xml:space="preserve">This paper makes three contributions. First, the transaction cost trap is identified and quantified: naive threshold execution at P &gt; 0.50 generates 626 annual trades and cost drag exceeding 20% of gross returns, whilst P &gt; 0.60 thresholding eliminates economic viability (Sharpe = 0.071). Second, the Cross-Sectional Top-K Conviction Ranking framework is proposed and validated, achieving 45.8% annualised return and Sharpe 1.183 net of 5 basis points one-way transaction costs. Third, a permutation test holding portfolio concentration constant formally establishes that ranking performance is attributable to ML signal quality rather than mechanical concentration effects (p ≤ 0.001).</w:t>
      </w:r>
    </w:p>
    <w:p>
      <w:pPr>
        <w:spacing w:after="120" w:before="240"/>
      </w:pPr>
      <w:r>
        <w:rPr>
          <w:rFonts w:ascii="Times New Roman" w:cs="Times New Roman" w:eastAsia="Times New Roman" w:hAnsi="Times New Roman"/>
          <w:b/>
          <w:bCs/>
          <w:sz w:val="24"/>
          <w:szCs w:val="24"/>
        </w:rPr>
        <w:t xml:space="preserve">2. Data and Methodology</w:t>
      </w:r>
    </w:p>
    <w:p>
      <w:pPr>
        <w:spacing w:after="80" w:before="160"/>
      </w:pPr>
      <w:r>
        <w:rPr>
          <w:rFonts w:ascii="Times New Roman" w:cs="Times New Roman" w:eastAsia="Times New Roman" w:hAnsi="Times New Roman"/>
          <w:b/>
          <w:bCs/>
          <w:i/>
          <w:iCs/>
          <w:sz w:val="24"/>
          <w:szCs w:val="24"/>
        </w:rPr>
        <w:t xml:space="preserve">2.1 Data</w:t>
      </w:r>
    </w:p>
    <w:p>
      <w:pPr>
        <w:spacing w:after="120" w:before="0"/>
        <w:jc w:val="both"/>
      </w:pPr>
      <w:r>
        <w:rPr>
          <w:rFonts w:ascii="Times New Roman" w:cs="Times New Roman" w:eastAsia="Times New Roman" w:hAnsi="Times New Roman"/>
          <w:sz w:val="24"/>
          <w:szCs w:val="24"/>
        </w:rPr>
        <w:t xml:space="preserve">The framework is evaluated on seven large-capitalisation US technology equities: Apple (AAPL), Microsoft (MSFT), Alphabet (GOOGL), Amazon (AMZN), Meta Platforms (META), NVIDIA (NVDA), and Tesla (TSLA). Daily OHLCV data spanning January 2015 to December 2024 are sourced via the Yahoo Finance API with adjustment for corporate actions. The out-of-sample evaluation period spans 19 October 2018 to 23 October 2024, yielding 1,512 trading days across 12 walk-forward folds and 16,205 (date, ticker) observations. We evaluate on this concentrated, survivorship-selected universe as a controlled proof-of-concept; generalisation to broader cross-sections is left to future work.</w:t>
      </w:r>
    </w:p>
    <w:p>
      <w:pPr>
        <w:spacing w:after="80" w:before="160"/>
      </w:pPr>
      <w:r>
        <w:rPr>
          <w:rFonts w:ascii="Times New Roman" w:cs="Times New Roman" w:eastAsia="Times New Roman" w:hAnsi="Times New Roman"/>
          <w:b/>
          <w:bCs/>
          <w:i/>
          <w:iCs/>
          <w:sz w:val="24"/>
          <w:szCs w:val="24"/>
        </w:rPr>
        <w:t xml:space="preserve">2.2 Feature Engineering and Target</w:t>
      </w:r>
    </w:p>
    <w:p>
      <w:pPr>
        <w:spacing w:after="120" w:before="0"/>
        <w:jc w:val="both"/>
      </w:pPr>
      <w:r>
        <w:rPr>
          <w:rFonts w:ascii="Times New Roman" w:cs="Times New Roman" w:eastAsia="Times New Roman" w:hAnsi="Times New Roman"/>
          <w:sz w:val="24"/>
          <w:szCs w:val="24"/>
        </w:rPr>
        <w:t xml:space="preserve">The predictive input matrix comprises 47 strictly causal technical indicators spanning trend (moving averages at 9/21/50/200-day spans, price-to-SMA ratios), momentum (RSI, MACD, Stochastic, Williams %R, CCI), volatility (ATR, Bollinger Bands, rolling return standard deviations), volume (OBV, Money Flow Index, volume z-scores), and candle structure metrics, consistent with established practice in ML-based technical signal construction [9]. All rolling functions are strictly backward-looking and enforce min_periods equal to the full window length, precluding partial-window estimation. Within-fold positive-label frequency is stable across folds, ranging approximately 51–55% with no regime-specific class imbalance that would invalidate the calibration step.</w:t>
      </w:r>
    </w:p>
    <w:p>
      <w:pPr>
        <w:spacing w:after="120" w:before="0"/>
        <w:jc w:val="both"/>
      </w:pPr>
      <w:r>
        <w:rPr>
          <w:rFonts w:ascii="Times New Roman" w:cs="Times New Roman" w:eastAsia="Times New Roman" w:hAnsi="Times New Roman"/>
          <w:sz w:val="24"/>
          <w:szCs w:val="24"/>
        </w:rPr>
        <w:t xml:space="preserve">The binary classification target is y₁ = 1 if Close(τ+2) &gt; Close(τ+1), else 0. The two-day forward shift is essential for execution realism: the signal is generated at close τ, execution occurs at close τ+1 (the earliest actionable price), and the holding return is measured from Close(τ+1) to Close(τ+2). Defining the target on the τ-to-τ+1 return would assume execution at the signal price, constituting lookahead bias. Label distribution: 8,652 positive and 7,553 negative observations (~53/47 split).</w:t>
      </w:r>
    </w:p>
    <w:p>
      <w:pPr>
        <w:spacing w:after="80" w:before="160"/>
      </w:pPr>
      <w:r>
        <w:rPr>
          <w:rFonts w:ascii="Times New Roman" w:cs="Times New Roman" w:eastAsia="Times New Roman" w:hAnsi="Times New Roman"/>
          <w:b/>
          <w:bCs/>
          <w:i/>
          <w:iCs/>
          <w:sz w:val="24"/>
          <w:szCs w:val="24"/>
        </w:rPr>
        <w:t xml:space="preserve">2.3 Walk-Forward Validation</w:t>
      </w:r>
    </w:p>
    <w:p>
      <w:pPr>
        <w:spacing w:after="120" w:before="0"/>
        <w:jc w:val="both"/>
      </w:pPr>
      <w:r>
        <w:rPr>
          <w:rFonts w:ascii="Times New Roman" w:cs="Times New Roman" w:eastAsia="Times New Roman" w:hAnsi="Times New Roman"/>
          <w:sz w:val="24"/>
          <w:szCs w:val="24"/>
        </w:rPr>
        <w:t xml:space="preserve">All estimation uses an expanding-window walk-forward protocol: minimum training period 756 trading days, test horizon 126 days, step size 126 days, and a two-day embargo gap between training and test sets preventing target contamination from the two-day forward shift. Within each fold, 80% of the training window trains the models and 20% constitutes a held-out calibration set exclusively for fitting the isotonic regression calibrator; normalisation transforms are fitted on the training portion only.</w:t>
      </w:r>
    </w:p>
    <w:p>
      <w:pPr>
        <w:spacing w:after="80" w:before="160"/>
      </w:pPr>
      <w:r>
        <w:rPr>
          <w:rFonts w:ascii="Times New Roman" w:cs="Times New Roman" w:eastAsia="Times New Roman" w:hAnsi="Times New Roman"/>
          <w:b/>
          <w:bCs/>
          <w:i/>
          <w:iCs/>
          <w:sz w:val="24"/>
          <w:szCs w:val="24"/>
        </w:rPr>
        <w:t xml:space="preserve">2.4 Model Ensemble and Probability Calibration</w:t>
      </w:r>
    </w:p>
    <w:p>
      <w:pPr>
        <w:spacing w:after="120" w:before="0"/>
        <w:jc w:val="both"/>
      </w:pPr>
      <w:r>
        <w:rPr>
          <w:rFonts w:ascii="Times New Roman" w:cs="Times New Roman" w:eastAsia="Times New Roman" w:hAnsi="Times New Roman"/>
          <w:sz w:val="24"/>
          <w:szCs w:val="24"/>
        </w:rPr>
        <w:t xml:space="preserve">Three base learners form an equal-weight ensemble. CatBoost [5] (gradient boosting, depth 6, L2 regularisation 3, early stopping on an internal temporal split) provides regularised boosted predictions. A Random Forest (300 estimators, max depth 8, minimum samples per leaf 20, balanced class weights) provides diversity through variance reduction. A Multi-Layer Perceptron (hidden dimensions [256, 128, 64], ReLU activations, Batch Normalisation and Dropout rate 0.3/0.3/0.2 after each layer, Adam optimisation with learning rate 1 × 10⁻³, early stopping patience 20 epochs, random seed 42) captures higher-order non-linear interactions. Equal-weight averaging of the three learners is chosen a priori to preclude in-sample blend-weight optimisation.</w:t>
      </w:r>
    </w:p>
    <w:p>
      <w:pPr>
        <w:spacing w:after="120" w:before="0"/>
        <w:jc w:val="both"/>
      </w:pPr>
      <w:r>
        <w:rPr>
          <w:rFonts w:ascii="Times New Roman" w:cs="Times New Roman" w:eastAsia="Times New Roman" w:hAnsi="Times New Roman"/>
          <w:sz w:val="24"/>
          <w:szCs w:val="24"/>
        </w:rPr>
        <w:t xml:space="preserve">Isotonic regression calibration [4] is fitted per fold on the held-out calibration set, correcting systematic probability compression in tree-based ensembles. Calibrated outputs from all three learners are averaged to yield the daily ensemble conviction score P(y=1|Xₘ), constituting the ranking input for the TopK allocation logic.</w:t>
      </w:r>
    </w:p>
    <w:p>
      <w:pPr>
        <w:spacing w:after="80" w:before="160"/>
      </w:pPr>
      <w:r>
        <w:rPr>
          <w:rFonts w:ascii="Times New Roman" w:cs="Times New Roman" w:eastAsia="Times New Roman" w:hAnsi="Times New Roman"/>
          <w:b/>
          <w:bCs/>
          <w:i/>
          <w:iCs/>
          <w:sz w:val="24"/>
          <w:szCs w:val="24"/>
        </w:rPr>
        <w:t xml:space="preserve">2.5 Strategy Execution and Statistical Evaluation</w:t>
      </w:r>
    </w:p>
    <w:p>
      <w:pPr>
        <w:spacing w:after="120" w:before="0"/>
        <w:jc w:val="both"/>
      </w:pPr>
      <w:r>
        <w:rPr>
          <w:rFonts w:ascii="Times New Roman" w:cs="Times New Roman" w:eastAsia="Times New Roman" w:hAnsi="Times New Roman"/>
          <w:sz w:val="24"/>
          <w:szCs w:val="24"/>
        </w:rPr>
        <w:t xml:space="preserve">The TopK strategy ranks all seven assets by their daily conviction score and allocates capital equally to the K highest-ranked assets. Three variants (K = 1, 2, 3), two threshold benchmarks (Baseline_P50: P &gt; 0.50; Threshold_P60: P &gt; 0.60), and four baselines (Random_Top1, Momentum_Top1, Equal_Weight, BuyHold_SPY) are evaluated. Signals are generated at close τ, execution at close τ+1; transaction costs of 5 bps one-way are applied to changes in position weight, with persistent positions incurring no cost.</w:t>
      </w:r>
    </w:p>
    <w:p>
      <w:pPr>
        <w:spacing w:after="120" w:before="0"/>
        <w:jc w:val="both"/>
      </w:pPr>
      <w:r>
        <w:rPr>
          <w:rFonts w:ascii="Times New Roman" w:cs="Times New Roman" w:eastAsia="Times New Roman" w:hAnsi="Times New Roman"/>
          <w:sz w:val="24"/>
          <w:szCs w:val="24"/>
        </w:rPr>
        <w:t xml:space="preserve">The primary statistical test is a permutation test: 1,000 within-day permutations: on each of the 1,512 trading days the seven calibrated probability scores are randomly reassigned to the seven tickers, preserving the daily cross-sectional distribution of conviction scores while destroying any systematic ticker-probability relationship. The secondary test uses the daily Information Coefficient (IC; Spearman rank correlation between conviction scores and realised holding-period returns), tested against zero via one-sample t-test over 1,512 observations. Sharpe ratio confidence intervals follow Lo (2002) [6] with Newey-West HAC correction [7]. Multiple testing across ten pre-specified configurations is controlled via Benjamini-Hochberg FDR correction [8]: TopK1, TopK2, TopK3, Baseline_P50, Threshold_P60, Momentum_Top1, Equal_Weight, Random_Top1, BuyHold_SPY, and TopK1_Trend. Primary inference relies on the permutation test (p ≤ 0.001), which requires no multiple-testing correction as it is a single pre-specified hypothesis.</w:t>
      </w:r>
    </w:p>
    <w:p>
      <w:pPr>
        <w:spacing w:after="120" w:before="240"/>
      </w:pPr>
      <w:r>
        <w:rPr>
          <w:rFonts w:ascii="Times New Roman" w:cs="Times New Roman" w:eastAsia="Times New Roman" w:hAnsi="Times New Roman"/>
          <w:b/>
          <w:bCs/>
          <w:sz w:val="24"/>
          <w:szCs w:val="24"/>
        </w:rPr>
        <w:t xml:space="preserve">3. Empirical Results</w:t>
      </w:r>
    </w:p>
    <w:p>
      <w:pPr>
        <w:spacing w:after="80" w:before="160"/>
      </w:pPr>
      <w:r>
        <w:rPr>
          <w:rFonts w:ascii="Times New Roman" w:cs="Times New Roman" w:eastAsia="Times New Roman" w:hAnsi="Times New Roman"/>
          <w:b/>
          <w:bCs/>
          <w:i/>
          <w:iCs/>
          <w:sz w:val="24"/>
          <w:szCs w:val="24"/>
        </w:rPr>
        <w:t xml:space="preserve">3.1 Signal Validity: Information Coefficient</w:t>
      </w:r>
    </w:p>
    <w:p>
      <w:pPr>
        <w:spacing w:after="120" w:before="0"/>
        <w:jc w:val="both"/>
      </w:pPr>
      <w:r>
        <w:rPr>
          <w:rFonts w:ascii="Times New Roman" w:cs="Times New Roman" w:eastAsia="Times New Roman" w:hAnsi="Times New Roman"/>
          <w:sz w:val="24"/>
          <w:szCs w:val="24"/>
        </w:rPr>
        <w:t xml:space="preserve">Across 1,512 out-of-sample trading days, the mean daily IC is 0.0197; Newey-West HAC-adjusted t = 1.818, p = 0.034 (lag = 9, one-sided). After serial-correlation correction the IC result remains marginally significant; the permutation test (p ≤ 0.001) provides the primary distribution-free evidence of ranking skill. Seven of twelve walk-forward folds yield positive mean IC; the four negative-IC folds coincide with stable, low-volatility trending regimes (Figure 1), consistent with lagged technical signals carrying greater information during structural market transitions.</w:t>
      </w:r>
    </w:p>
    <w:p>
      <w:pPr>
        <w:spacing w:after="60" w:before="0"/>
      </w:pPr>
      <w:r>
        <w:t xml:space="preserve"/>
      </w:r>
    </w:p>
    <w:p>
      <w:pPr>
        <w:spacing w:after="120" w:before="60"/>
        <w:jc w:val="both"/>
      </w:pPr>
      <w:r>
        <w:rPr>
          <w:rFonts w:ascii="Times New Roman" w:cs="Times New Roman" w:eastAsia="Times New Roman" w:hAnsi="Times New Roman"/>
          <w:i/>
          <w:iCs/>
          <w:sz w:val="22"/>
          <w:szCs w:val="22"/>
        </w:rPr>
        <w:t xml:space="preserve">Figure 1. Cross-sectional signal validity. Panel A: Spearman Information Coefficient by walk-forward fold (positive folds in blue, negative in red). Panel B: IC distribution across folds. Mean IC = 0.0197 (HAC-adjusted t = 1.818, p = 0.034, N = 1,512 days).</w:t>
      </w:r>
    </w:p>
    <w:p>
      <w:pPr>
        <w:spacing w:after="60" w:before="0"/>
      </w:pPr>
      <w:r>
        <w:t xml:space="preserve"/>
      </w:r>
    </w:p>
    <w:p>
      <w:pPr>
        <w:spacing w:after="80" w:before="160"/>
      </w:pPr>
      <w:r>
        <w:rPr>
          <w:rFonts w:ascii="Times New Roman" w:cs="Times New Roman" w:eastAsia="Times New Roman" w:hAnsi="Times New Roman"/>
          <w:b/>
          <w:bCs/>
          <w:i/>
          <w:iCs/>
          <w:sz w:val="24"/>
          <w:szCs w:val="24"/>
        </w:rPr>
        <w:t xml:space="preserve">3.2 Strategy Comparison and the Transaction Cost Trap</w:t>
      </w:r>
    </w:p>
    <w:p>
      <w:pPr>
        <w:spacing w:after="120" w:before="0"/>
        <w:jc w:val="both"/>
      </w:pPr>
      <w:r>
        <w:rPr>
          <w:rFonts w:ascii="Times New Roman" w:cs="Times New Roman" w:eastAsia="Times New Roman" w:hAnsi="Times New Roman"/>
          <w:sz w:val="24"/>
          <w:szCs w:val="24"/>
        </w:rPr>
        <w:t xml:space="preserve">Table 1 presents the full performance comparison. The transaction cost trap is most clearly illustrated by the threshold strategies. Baseline_P50 achieves a Sharpe ratio of 1.210 and 39.5% annualised return but requires 626 annual round-trip trades, generating cost drag exceeding 20% of gross returns. Baseline_P50’s marginally higher Sharpe under a 5 bps assumption (1.210 vs. 1.183) does not extend to higher execution costs: under any cost above 7 bps one-way — entirely realistic for a 626-trade strategy at institutional scale — TopK1 strictly dominates on annualised return, drawdown, and Sharpe. Raising the threshold to P &gt; 0.60 produces catastrophic deterioration: Threshold_P60 achieves Sharpe 0.071 with a 6.8% effective win rate, confirming that naive thresholding cannot resolve the trap.</w:t>
      </w:r>
    </w:p>
    <w:p>
      <w:pPr>
        <w:spacing w:after="120" w:before="0"/>
        <w:jc w:val="both"/>
      </w:pPr>
      <w:r>
        <w:rPr>
          <w:rFonts w:ascii="Times New Roman" w:cs="Times New Roman" w:eastAsia="Times New Roman" w:hAnsi="Times New Roman"/>
          <w:sz w:val="24"/>
          <w:szCs w:val="24"/>
        </w:rPr>
        <w:t xml:space="preserve">TopK1 achieves 45.8% annualised return and Sharpe 1.183 from only 596 annual trades, with maximum drawdown −39.2% — substantially lower than Baseline_P50 (−43.5%) and Equal_Weight (−49.4%). The Lo (2002) HAC-adjusted Sharpe confidence interval is [0.382, 1.984] (t = 2.894, p = 0.0019). Comparing TopK1 (Sharpe 1.183, 45.8%) against Random_Top1 (Sharpe 0.162, 6.9%) — both holding exactly one stock per day — the 7.3× Sharpe superiority provides strong evidence of genuine ranking value. Figure 2 illustrates the cumulative compounding of all strategies. Equal_Weight (Sharpe 1.200, 38.6%) reflects the strong directional beta of large-cap US technology equities over 2018–2024; TopK1’s superiority in annualised return (45.8% vs 38.6%) and maximum drawdown (−39.2% vs −49.4%) confirms that active ML conviction ranking generates economically meaningful alpha beyond passive sector exposure.</w:t>
      </w:r>
    </w:p>
    <w:p>
      <w:pPr>
        <w:spacing w:after="60" w:before="0"/>
      </w:pPr>
      <w:r>
        <w:t xml:space="preserve"/>
      </w:r>
    </w:p>
    <w:p>
      <w:pPr>
        <w:spacing w:after="120" w:before="60"/>
        <w:jc w:val="both"/>
      </w:pPr>
      <w:r>
        <w:rPr>
          <w:rFonts w:ascii="Times New Roman" w:cs="Times New Roman" w:eastAsia="Times New Roman" w:hAnsi="Times New Roman"/>
          <w:i/>
          <w:iCs/>
          <w:sz w:val="22"/>
          <w:szCs w:val="22"/>
        </w:rPr>
        <w:t xml:space="preserve">Figure 2. Cumulative portfolio value (initial value $1.00) for all strategies, October 2018 – October 2024. Background shading denotes market regimes: ZIRP Bull (2015–2018, red), COVID/Growth (2019–2021, green), Rate Shock (2022–2024, blue). TopK1 compounds to approximately $10.50 over the out-of-sample period.</w:t>
      </w:r>
    </w:p>
    <w:p>
      <w:pPr>
        <w:spacing w:after="60" w:before="0"/>
      </w:pPr>
      <w:r>
        <w:t xml:space="preserve"/>
      </w:r>
    </w:p>
    <w:p>
      <w:pPr>
        <w:spacing w:after="120" w:before="0"/>
        <w:jc w:val="both"/>
      </w:pPr>
      <w:r>
        <w:rPr>
          <w:rFonts w:ascii="Times New Roman" w:cs="Times New Roman" w:eastAsia="Times New Roman" w:hAnsi="Times New Roman"/>
          <w:sz w:val="24"/>
          <w:szCs w:val="24"/>
        </w:rPr>
        <w:t xml:space="preserve">The Momentum_Top1 baseline warrants specific analysis: it achieves a nearly identical Sharpe ratio (1.178) to TopK1 (1.183) but at a maximum drawdown of −61.2% versus −39.2%. In a US technology equity universe over 2018–2024, trailing-return concentration mechanically selects the period’s dominant momentum stock, generating high returns coupled with severe tail risk. The ML ensemble integrates momentum with volatility, volume, and mean-reversion signals, producing a drawdown-controlled return profile preferable under institutional risk constraints. Critically, the permutation test conditions on K = 1 concentration and measures ranking skill independently of momentum beta: the 99.9th percentile result confirms that ML selection adds information beyond simple trailing-return concentration.</w:t>
      </w:r>
    </w:p>
    <w:p>
      <w:pPr>
        <w:spacing w:after="60" w:before="0"/>
      </w:pPr>
      <w:r>
        <w:t xml:space="preserve"/>
      </w:r>
    </w:p>
    <w:p>
      <w:pPr>
        <w:spacing w:after="60" w:before="120"/>
      </w:pPr>
      <w:r>
        <w:rPr>
          <w:rFonts w:ascii="Times New Roman" w:cs="Times New Roman" w:eastAsia="Times New Roman" w:hAnsi="Times New Roman"/>
          <w:b/>
          <w:bCs/>
          <w:sz w:val="24"/>
          <w:szCs w:val="24"/>
        </w:rPr>
        <w:t xml:space="preserve">Table 1</w:t>
      </w:r>
    </w:p>
    <w:p>
      <w:pPr>
        <w:spacing w:after="120" w:before="0"/>
      </w:pPr>
      <w:r>
        <w:rPr>
          <w:rFonts w:ascii="Times New Roman" w:cs="Times New Roman" w:eastAsia="Times New Roman" w:hAnsi="Times New Roman"/>
          <w:i/>
          <w:iCs/>
          <w:sz w:val="22"/>
          <w:szCs w:val="22"/>
        </w:rPr>
        <w:t xml:space="preserve">Strategy Performance Comparison (Out-of-Sample, October 2018 – October 2024)</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800"/>
        <w:gridCol w:w="900"/>
        <w:gridCol w:w="800"/>
        <w:gridCol w:w="700"/>
        <w:gridCol w:w="7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Strategy</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Ann. Return</w:t>
            </w:r>
          </w:p>
        </w:tc>
        <w:tc>
          <w:tcPr>
            <w:tcW w:type="dxa" w:w="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Sharpe</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Max DD</w:t>
            </w:r>
          </w:p>
        </w:tc>
        <w:tc>
          <w:tcPr>
            <w:tcW w:type="dxa" w:w="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Win Rate</w:t>
            </w:r>
          </w:p>
        </w:tc>
        <w:tc>
          <w:tcPr>
            <w:tcW w:type="dxa" w:w="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 Trades</w:t>
            </w:r>
          </w:p>
        </w:tc>
        <w:tc>
          <w:tcPr>
            <w:tcW w:type="dxa" w:w="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IC Sig.</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Baseline_P50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39.5%</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1.210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−43.5%</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51.6%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626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Equal_Weight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Passive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38.6%</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1.200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−49.4%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55.6%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TopK1</w:t>
            </w:r>
          </w:p>
        </w:tc>
        <w:tc>
          <w:tcPr>
            <w:tcW w:type="dxa" w:w="9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ML Ranking</w:t>
            </w:r>
          </w:p>
        </w:tc>
        <w:tc>
          <w:tcPr>
            <w:tcW w:type="dxa" w:w="9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45.8%</w:t>
            </w:r>
          </w:p>
        </w:tc>
        <w:tc>
          <w:tcPr>
            <w:tcW w:type="dxa" w:w="8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1.183</w:t>
            </w:r>
          </w:p>
        </w:tc>
        <w:tc>
          <w:tcPr>
            <w:tcW w:type="dxa" w:w="9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−39.2%</w:t>
            </w:r>
          </w:p>
        </w:tc>
        <w:tc>
          <w:tcPr>
            <w:tcW w:type="dxa" w:w="8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55.4%</w:t>
            </w:r>
          </w:p>
        </w:tc>
        <w:tc>
          <w:tcPr>
            <w:tcW w:type="dxa" w:w="7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596</w:t>
            </w:r>
          </w:p>
        </w:tc>
        <w:tc>
          <w:tcPr>
            <w:tcW w:type="dxa" w:w="700"/>
            <w:tcBorders>
              <w:top w:val="single" w:color="000000" w:sz="4"/>
              <w:left w:val="single" w:color="000000" w:sz="4"/>
              <w:bottom w:val="single" w:color="000000" w:sz="4"/>
              <w:right w:val="single" w:color="000000" w:sz="4"/>
            </w:tcBorders>
            <w:shd w:fill="C8E6C9"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Momentum_Top1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Momentum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60.3%</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1.178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−61.2%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52.9%</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295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TopK3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ML Ranking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36.1%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1.106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−41.1%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55.5%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908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TopK2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ML Ranking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−42.7%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55.4%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829</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BuyHold_SPY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Benchmark</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14.9%</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0.740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−33.7%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55.0%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N/A</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TopK1_Trend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ML+Trend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26.1%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0.692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−55.1%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49.5%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513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Random_Top1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Random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6.9%</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0.162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−67.0%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51.4%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1,295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Threshold_P60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0.071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−31.3%</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bl>
    <w:p>
      <w:pPr>
        <w:spacing w:after="60" w:before="0"/>
      </w:pPr>
      <w:r>
        <w:t xml:space="preserve"/>
      </w:r>
    </w:p>
    <w:p>
      <w:pPr>
        <w:spacing w:after="120" w:before="0"/>
        <w:jc w:val="both"/>
      </w:pPr>
      <w:r>
        <w:rPr>
          <w:rFonts w:ascii="Times New Roman" w:cs="Times New Roman" w:eastAsia="Times New Roman" w:hAnsi="Times New Roman"/>
          <w:sz w:val="20"/>
          <w:szCs w:val="20"/>
        </w:rPr>
        <w:t xml:space="preserve">Note. All returns net of 5 bps one-way transaction costs. OOS period: 19 October 2018 – 23 October 2024 (1,512 trading days, 12 walk-forward folds). TopK1 shaded green. IC Sig. = IC significant at p &lt; 0.05. Random_Top1 is the mean of 100 independent simulations. Equal_Weight is a buy-and-hold equal-weighted portfolio established at inception with no subsequent daily rebalancing, consistent with its N_trades = 1 entry. Break-even costs for K = 1 are reported in §3.4; K = 2 and K = 3 break-evens are lower due to higher annual turnover.</w:t>
      </w:r>
    </w:p>
    <w:p>
      <w:pPr>
        <w:spacing w:after="60" w:before="0"/>
      </w:pPr>
      <w:r>
        <w:t xml:space="preserve"/>
      </w:r>
    </w:p>
    <w:p>
      <w:pPr>
        <w:spacing w:after="120" w:before="60"/>
        <w:jc w:val="both"/>
      </w:pPr>
      <w:r>
        <w:rPr>
          <w:rFonts w:ascii="Times New Roman" w:cs="Times New Roman" w:eastAsia="Times New Roman" w:hAnsi="Times New Roman"/>
          <w:i/>
          <w:iCs/>
          <w:sz w:val="22"/>
          <w:szCs w:val="22"/>
        </w:rPr>
        <w:t xml:space="preserve">Figure 3. Cross-strategy performance comparison net of 5 bps one-way transaction costs. Panel A: Sharpe ratio. Panel B: Annualised return. Panel C: Maximum drawdown (lower is better). TopK1 achieves Sharpe 1.183 and 45.8% annual return with maximum drawdown −39.2%.</w:t>
      </w:r>
    </w:p>
    <w:p>
      <w:pPr>
        <w:spacing w:after="60" w:before="0"/>
      </w:pPr>
      <w:r>
        <w:t xml:space="preserve"/>
      </w:r>
    </w:p>
    <w:p>
      <w:pPr>
        <w:spacing w:after="80" w:before="160"/>
      </w:pPr>
      <w:r>
        <w:rPr>
          <w:rFonts w:ascii="Times New Roman" w:cs="Times New Roman" w:eastAsia="Times New Roman" w:hAnsi="Times New Roman"/>
          <w:b/>
          <w:bCs/>
          <w:i/>
          <w:iCs/>
          <w:sz w:val="24"/>
          <w:szCs w:val="24"/>
        </w:rPr>
        <w:t xml:space="preserve">3.3 Permutation Test: Statistical Significance of ML Ranking</w:t>
      </w:r>
    </w:p>
    <w:p>
      <w:pPr>
        <w:spacing w:after="120" w:before="0"/>
        <w:jc w:val="both"/>
      </w:pPr>
      <w:r>
        <w:rPr>
          <w:rFonts w:ascii="Times New Roman" w:cs="Times New Roman" w:eastAsia="Times New Roman" w:hAnsi="Times New Roman"/>
          <w:sz w:val="24"/>
          <w:szCs w:val="24"/>
        </w:rPr>
        <w:t xml:space="preserve">Under 1,000 random permutations of daily cross-sectional probability assignments, the null Sharpe ratio distribution has mean 0.233 and 95th percentile 0.666. The observed TopK1 Sharpe of 1.183 lies at the 99.9th percentile, yielding p ≤ 0.001 (Figure 4). Each permutation preserves K = 1 concentration and the 5 bps cost structure, so any benefit attributable to concentrated exposure is fully captured in the null. The residual performance gap is attributable exclusively to the information content of the ML ranking signal.</w:t>
      </w:r>
    </w:p>
    <w:p>
      <w:pPr>
        <w:spacing w:after="60" w:before="0"/>
      </w:pPr>
      <w:r>
        <w:t xml:space="preserve"/>
      </w:r>
    </w:p>
    <w:p>
      <w:pPr>
        <w:spacing w:after="120" w:before="60"/>
        <w:jc w:val="both"/>
      </w:pPr>
      <w:r>
        <w:rPr>
          <w:rFonts w:ascii="Times New Roman" w:cs="Times New Roman" w:eastAsia="Times New Roman" w:hAnsi="Times New Roman"/>
          <w:i/>
          <w:iCs/>
          <w:sz w:val="22"/>
          <w:szCs w:val="22"/>
        </w:rPr>
        <w:t xml:space="preserve">Figure 4. Permutation test results. Grey histogram: null Sharpe ratio distribution from 1,000 randomised cross-sectional probability assignments (null mean = 0.233; 95th percentile = 0.666). Blue vertical line: observed TopK1 Sharpe of 1.183 (99.9th percentile, p ≤ 0.001).</w:t>
      </w:r>
    </w:p>
    <w:p>
      <w:pPr>
        <w:spacing w:after="60" w:before="0"/>
      </w:pPr>
      <w:r>
        <w:t xml:space="preserve"/>
      </w:r>
    </w:p>
    <w:p>
      <w:pPr>
        <w:spacing w:after="80" w:before="160"/>
      </w:pPr>
      <w:r>
        <w:rPr>
          <w:rFonts w:ascii="Times New Roman" w:cs="Times New Roman" w:eastAsia="Times New Roman" w:hAnsi="Times New Roman"/>
          <w:b/>
          <w:bCs/>
          <w:i/>
          <w:iCs/>
          <w:sz w:val="24"/>
          <w:szCs w:val="24"/>
        </w:rPr>
        <w:t xml:space="preserve">3.4 Transaction Cost Robustness and Additional Results</w:t>
      </w:r>
    </w:p>
    <w:p>
      <w:pPr>
        <w:spacing w:after="120" w:before="0"/>
        <w:jc w:val="both"/>
      </w:pPr>
      <w:r>
        <w:rPr>
          <w:rFonts w:ascii="Times New Roman" w:cs="Times New Roman" w:eastAsia="Times New Roman" w:hAnsi="Times New Roman"/>
          <w:sz w:val="24"/>
          <w:szCs w:val="24"/>
        </w:rPr>
        <w:t xml:space="preserve">The break-even transaction cost — the one-way cost at which TopK1 Sharpe equals zero — is 24.2 basis points, computed by interpolation between 20 bps (Sharpe = 0.212) and 30 bps (Sharpe = −0.290). This represents a 4.8× safety margin above the assumed 5 bps execution cost and 19.2 bps of absolute headroom. Institutional execution costs in large-cap US equities are estimated at 3–8 basis points one-way; the strategy retains a positive Sharpe ratio at multiples of this range.</w:t>
      </w:r>
    </w:p>
    <w:p>
      <w:pPr>
        <w:spacing w:after="120" w:before="0"/>
        <w:jc w:val="both"/>
      </w:pPr>
      <w:r>
        <w:rPr>
          <w:rFonts w:ascii="Times New Roman" w:cs="Times New Roman" w:eastAsia="Times New Roman" w:hAnsi="Times New Roman"/>
          <w:sz w:val="24"/>
          <w:szCs w:val="24"/>
        </w:rPr>
        <w:t xml:space="preserve">Among K configurations, K = 1 achieves the highest risk-adjusted return (Sharpe 1.183, break-even cost 24.2 bps); K = 3 partially recovers (Sharpe 1.106, break-even ≈27.8 bps) whilst K = 2 produces the weakest result (Sharpe 0.822, break-even ≈18.0 bps), suggesting a non-monotonic concentration-return tradeoff in a seven-asset universe. The 4.8× safety margin applies specifically to K = 1.</w:t>
      </w:r>
    </w:p>
    <w:p>
      <w:pPr>
        <w:spacing w:after="120" w:before="0"/>
        <w:jc w:val="both"/>
      </w:pPr>
      <w:r>
        <w:rPr>
          <w:rFonts w:ascii="Times New Roman" w:cs="Times New Roman" w:eastAsia="Times New Roman" w:hAnsi="Times New Roman"/>
          <w:sz w:val="24"/>
          <w:szCs w:val="24"/>
        </w:rPr>
        <w:t xml:space="preserve">Three robustness checks confirm mechanism validity. First, a 6-stock universe excluding NVDA yields TopK1 Sharpe 1.016, confirming performance is not attributable solely to a single momentum leader (see §4 Limitations for further discussion). Second, calibration validity is confirmed by per-fold reliability diagrams: isotonic regression corrects tree ensemble probability compression, with ranking benefit confirmed by the permutation test (p ≤ 0.001). Third, equal-weight ensemble averaging is chosen a priori to preclude blend-weight optimisation; component models are trained independently per fold. Sub-period analysis reveals pronounced regime dependency:</w:t>
      </w:r>
    </w:p>
    <w:p>
      <w:pPr>
        <w:spacing w:after="120" w:before="0"/>
        <w:jc w:val="both"/>
      </w:pPr>
      <w:r>
        <w:rPr>
          <w:rFonts w:ascii="Times New Roman" w:cs="Times New Roman" w:eastAsia="Times New Roman" w:hAnsi="Times New Roman"/>
          <w:sz w:val="24"/>
          <w:szCs w:val="24"/>
        </w:rPr>
        <w:t xml:space="preserve">TopK1 achieves Sharpe 2.827 during the COVID/Growth period (2019–2021) and Sharpe 0.104 during rate normalisation (2022–2024), with negative performance during the ZIRP bull period — a pattern shared by all active strategies including BuyHold_SPY (Sharpe −1.576). Excluding the COVID/Growth period entirely, TopK1 achieves Sharpe 0.115 across the remaining folds, confirming that aggregate performance is substantially concentrated in the 2019–2021 structural transition; applicability during stable low-volatility regimes remains the primary open empirical question.</w:t>
      </w:r>
    </w:p>
    <w:p>
      <w:pPr>
        <w:spacing w:after="120" w:before="240"/>
      </w:pPr>
      <w:r>
        <w:rPr>
          <w:rFonts w:ascii="Times New Roman" w:cs="Times New Roman" w:eastAsia="Times New Roman" w:hAnsi="Times New Roman"/>
          <w:b/>
          <w:bCs/>
          <w:sz w:val="24"/>
          <w:szCs w:val="24"/>
        </w:rPr>
        <w:t xml:space="preserve">4. Limitations</w:t>
      </w:r>
    </w:p>
    <w:p>
      <w:pPr>
        <w:spacing w:after="120" w:before="0"/>
        <w:jc w:val="both"/>
      </w:pPr>
      <w:r>
        <w:rPr>
          <w:rFonts w:ascii="Times New Roman" w:cs="Times New Roman" w:eastAsia="Times New Roman" w:hAnsi="Times New Roman"/>
          <w:sz w:val="24"/>
          <w:szCs w:val="24"/>
        </w:rPr>
        <w:t xml:space="preserve">The analysis is restricted to a seven-stock, survivorship-selected technology universe — these seven names produced an equal-weighted annualised return of 38.6% over the OOS period, substantially exceeding the S&amp;P 500’s 14.9%. This embedded return premium inflates absolute performance of all long-only strategies and precludes cross-sectional generalisability claims; replication on the NASDAQ-100 or S&amp;P 500 is required to establish broader applicability. A leave-one-out test excluding NVDA and a factor-neutralised attribution to isolate ML alpha from large-cap technology beta are left to future work; the regime conditioning extension noted in §5 addresses the former in part.</w:t>
      </w:r>
    </w:p>
    <w:p>
      <w:pPr>
        <w:spacing w:after="120" w:before="0"/>
        <w:jc w:val="both"/>
      </w:pPr>
      <w:r>
        <w:rPr>
          <w:rFonts w:ascii="Times New Roman" w:cs="Times New Roman" w:eastAsia="Times New Roman" w:hAnsi="Times New Roman"/>
          <w:sz w:val="24"/>
          <w:szCs w:val="24"/>
        </w:rPr>
        <w:t xml:space="preserve">The 5 bps flat-rate cost model does not account for market impact at scale, intraday spread variation, or adverse selection, and results are most directly applicable to institutional portfolios with sufficient capacity to execute at large-cap closing auction prices without meaningful price impact. A long-short implementation would isolate the framework’s alpha from directional equity market exposure, providing a cleaner cross-regime performance attribution independent of broad market beta.</w:t>
      </w:r>
    </w:p>
    <w:p>
      <w:pPr>
        <w:spacing w:after="120" w:before="240"/>
      </w:pPr>
      <w:r>
        <w:rPr>
          <w:rFonts w:ascii="Times New Roman" w:cs="Times New Roman" w:eastAsia="Times New Roman" w:hAnsi="Times New Roman"/>
          <w:b/>
          <w:bCs/>
          <w:sz w:val="24"/>
          <w:szCs w:val="24"/>
        </w:rPr>
        <w:t xml:space="preserve">5. Conclusion</w:t>
      </w:r>
    </w:p>
    <w:p>
      <w:pPr>
        <w:spacing w:after="120" w:before="0"/>
        <w:jc w:val="both"/>
      </w:pPr>
      <w:r>
        <w:rPr>
          <w:rFonts w:ascii="Times New Roman" w:cs="Times New Roman" w:eastAsia="Times New Roman" w:hAnsi="Times New Roman"/>
          <w:sz w:val="24"/>
          <w:szCs w:val="24"/>
        </w:rPr>
        <w:t xml:space="preserve">This paper identifies the transaction cost trap in ML equity prediction — the mechanism by which statistically accurate directional forecasts are systematically destroyed by execution friction under naive threshold-based logic — and proposes cross-sectional conviction ranking as a structural solution. Treating calibrated ensemble probabilities as ordinal conviction scores and selecting the single highest-ranked asset per day limits turnover to economically sustainable levels whilst concentrating capital in the strongest available daily signal.</w:t>
      </w:r>
    </w:p>
    <w:p>
      <w:pPr>
        <w:spacing w:after="120" w:before="0"/>
        <w:jc w:val="both"/>
      </w:pPr>
      <w:r>
        <w:rPr>
          <w:rFonts w:ascii="Times New Roman" w:cs="Times New Roman" w:eastAsia="Times New Roman" w:hAnsi="Times New Roman"/>
          <w:sz w:val="24"/>
          <w:szCs w:val="24"/>
        </w:rPr>
        <w:t xml:space="preserve">Three principal findings emerge. The cross-sectional ranking signal shows mean IC = 0.0197 (HAC-adjusted t = 1.818, p = 0.034) across 1,512 out-of-sample trading days. A permutation test formally rejects the null of random selection at the 0.1% level (p ≤ 0.001, 99.9th percentile), establishing that performance reflects ML ranking skill rather than mechanical concentration. The break-even transaction cost of 24.2 basis points provides a 4.8× safety margin above assumed institutional costs, with TopK1 achieving Sharpe 1.183 versus 0.162 for random Top-1 selection — a 7.3× superiority attributable exclusively to the ML ranking signal.</w:t>
      </w:r>
    </w:p>
    <w:p>
      <w:pPr>
        <w:spacing w:after="120" w:before="0"/>
        <w:jc w:val="both"/>
      </w:pPr>
      <w:r>
        <w:rPr>
          <w:rFonts w:ascii="Times New Roman" w:cs="Times New Roman" w:eastAsia="Times New Roman" w:hAnsi="Times New Roman"/>
          <w:sz w:val="24"/>
          <w:szCs w:val="24"/>
        </w:rPr>
        <w:t xml:space="preserve">Extending evaluation to the NASDAQ-100 or S&amp;P 500 cross-section is the natural next step; a factor-neutralised attribution decomposing TopK1 returns into market beta, momentum beta, and residual ML alpha would clarify the source of the observed Sharpe advantage, and a long-short implementation would isolate the framework from directional equity market exposure entirely. More broadly, the cross-sectional portfolio sorting template introduced here is applicable to any calibrated ML classifier operating in cost-constrained execution environments.</w:t>
      </w:r>
    </w:p>
    <w:p>
      <w:pPr>
        <w:spacing w:after="120" w:before="240"/>
      </w:pPr>
      <w:r>
        <w:rPr>
          <w:rFonts w:ascii="Times New Roman" w:cs="Times New Roman" w:eastAsia="Times New Roman" w:hAnsi="Times New Roman"/>
          <w:b/>
          <w:bCs/>
          <w:sz w:val="24"/>
          <w:szCs w:val="24"/>
        </w:rPr>
        <w:t xml:space="preserve">References</w:t>
      </w:r>
    </w:p>
    <w:p>
      <w:pPr>
        <w:spacing w:after="120" w:before="0"/>
        <w:jc w:val="both"/>
      </w:pPr>
      <w:r>
        <w:rPr>
          <w:rFonts w:ascii="Times New Roman" w:cs="Times New Roman" w:eastAsia="Times New Roman" w:hAnsi="Times New Roman"/>
          <w:sz w:val="24"/>
          <w:szCs w:val="24"/>
        </w:rPr>
        <w:t xml:space="preserve">[1] Gu, S., Kelly, B., &amp; Xiu, D. (2020). Empirical asset pricing via machine learning. Review of Financial Studies, 33(5), 2223–2273.</w:t>
      </w:r>
    </w:p>
    <w:p>
      <w:pPr>
        <w:spacing w:after="120" w:before="0"/>
        <w:jc w:val="both"/>
      </w:pPr>
      <w:r>
        <w:rPr>
          <w:rFonts w:ascii="Times New Roman" w:cs="Times New Roman" w:eastAsia="Times New Roman" w:hAnsi="Times New Roman"/>
          <w:sz w:val="24"/>
          <w:szCs w:val="24"/>
        </w:rPr>
        <w:t xml:space="preserve">[2] Jegadeesh, N., &amp; Titman, S. (1993). Returns to buying winners and selling losers: Implications for stock market efficiency. Journal of Finance, 48(1), 65–91.</w:t>
      </w:r>
    </w:p>
    <w:p>
      <w:pPr>
        <w:spacing w:after="120" w:before="0"/>
        <w:jc w:val="both"/>
      </w:pPr>
      <w:r>
        <w:rPr>
          <w:rFonts w:ascii="Times New Roman" w:cs="Times New Roman" w:eastAsia="Times New Roman" w:hAnsi="Times New Roman"/>
          <w:sz w:val="24"/>
          <w:szCs w:val="24"/>
        </w:rPr>
        <w:t xml:space="preserve">[3] Fama, E.F., &amp; French, K.R. (1993). Common risk factors in the returns on stocks and bonds. Journal of Financial Economics, 33(1), 3–56.</w:t>
      </w:r>
    </w:p>
    <w:p>
      <w:pPr>
        <w:spacing w:after="120" w:before="0"/>
        <w:jc w:val="both"/>
      </w:pPr>
      <w:r>
        <w:rPr>
          <w:rFonts w:ascii="Times New Roman" w:cs="Times New Roman" w:eastAsia="Times New Roman" w:hAnsi="Times New Roman"/>
          <w:sz w:val="24"/>
          <w:szCs w:val="24"/>
        </w:rPr>
        <w:t xml:space="preserve">[4] Niculescu-Mizil, A., &amp; Caruana, R. (2005). Predicting good probabilities with supervised learning. Proceedings of ICML, 625–632.</w:t>
      </w:r>
    </w:p>
    <w:p>
      <w:pPr>
        <w:spacing w:after="120" w:before="0"/>
        <w:jc w:val="both"/>
      </w:pPr>
      <w:r>
        <w:rPr>
          <w:rFonts w:ascii="Times New Roman" w:cs="Times New Roman" w:eastAsia="Times New Roman" w:hAnsi="Times New Roman"/>
          <w:sz w:val="24"/>
          <w:szCs w:val="24"/>
        </w:rPr>
        <w:t xml:space="preserve">[5] Prokhorenkova, L., Gusev, G., Vorobev, A., Dorogush, A.V., &amp; Gulin, A. (2018). CatBoost: Unbiased boosting with categorical features. Advances in NeurIPS, 31.</w:t>
      </w:r>
    </w:p>
    <w:p>
      <w:pPr>
        <w:spacing w:after="120" w:before="0"/>
        <w:jc w:val="both"/>
      </w:pPr>
      <w:r>
        <w:rPr>
          <w:rFonts w:ascii="Times New Roman" w:cs="Times New Roman" w:eastAsia="Times New Roman" w:hAnsi="Times New Roman"/>
          <w:sz w:val="24"/>
          <w:szCs w:val="24"/>
        </w:rPr>
        <w:t xml:space="preserve">[6] Lo, A.W. (2002). The statistics of Sharpe ratios. Financial Analysts Journal, 58(4), 36–52.</w:t>
      </w:r>
    </w:p>
    <w:p>
      <w:pPr>
        <w:spacing w:after="120" w:before="0"/>
        <w:jc w:val="both"/>
      </w:pPr>
      <w:r>
        <w:rPr>
          <w:rFonts w:ascii="Times New Roman" w:cs="Times New Roman" w:eastAsia="Times New Roman" w:hAnsi="Times New Roman"/>
          <w:sz w:val="24"/>
          <w:szCs w:val="24"/>
        </w:rPr>
        <w:t xml:space="preserve">[7] Newey, W.K., &amp; West, K.D. (1987). A simple, positive semi-definite, heteroskedasticity and autocorrelation consistent covariance matrix. Econometrica, 55(3), 703–708.</w:t>
      </w:r>
    </w:p>
    <w:p>
      <w:pPr>
        <w:spacing w:after="120" w:before="0"/>
        <w:jc w:val="both"/>
      </w:pPr>
      <w:r>
        <w:rPr>
          <w:rFonts w:ascii="Times New Roman" w:cs="Times New Roman" w:eastAsia="Times New Roman" w:hAnsi="Times New Roman"/>
          <w:sz w:val="24"/>
          <w:szCs w:val="24"/>
        </w:rPr>
        <w:t xml:space="preserve">[8] Benjamini, Y., &amp; Hochberg, Y. (1995). Controlling the false discovery rate: A practical and powerful approach to multiple testing. Journal of the Royal Statistical Society Series B, 57(1), 289–300.</w:t>
      </w:r>
    </w:p>
    <w:p>
      <w:pPr>
        <w:spacing w:after="120" w:before="0"/>
        <w:jc w:val="both"/>
      </w:pPr>
      <w:r>
        <w:rPr>
          <w:rFonts w:ascii="Times New Roman" w:cs="Times New Roman" w:eastAsia="Times New Roman" w:hAnsi="Times New Roman"/>
          <w:sz w:val="24"/>
          <w:szCs w:val="24"/>
        </w:rPr>
        <w:t xml:space="preserve">[9] Patel, J., Shah, S., Thakkar, P., &amp; Kotecha, K. (2015). Predicting stock and stock price index movement using trend deterministic data preparation and machine learning techniques. Expert Systems with Applications, 42(1), 259–268.</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Pall / Finance Research Letters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2026-04-12T18:45:32.127Z</dcterms:created>
  <dcterms:modified xsi:type="dcterms:W3CDTF">2026-04-12T18:45:32.129Z</dcterms:modified>
</cp:coreProperties>
</file>

<file path=docProps/custom.xml><?xml version="1.0" encoding="utf-8"?>
<Properties xmlns="http://schemas.openxmlformats.org/officeDocument/2006/custom-properties" xmlns:vt="http://schemas.openxmlformats.org/officeDocument/2006/docPropsVTypes"/>
</file>