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p>
    <w:p>
      <w:pPr>
        <w:spacing w:before="0" w:after="320"/>
        <w:jc w:val="center"/>
      </w:pPr>
      <w:r>
        <w:rPr>
          <w:rFonts w:ascii="Times New Roman" w:hAnsi="Times New Roman"/>
          <w:b/>
          <w:i w:val="0"/>
          <w:color w:val="264653"/>
          <w:sz w:val="32"/>
        </w:rPr>
        <w:t>When the Gate Stays Closed: Empirical Evidence of Near-Zero</w:t>
        <w:br/>
        <w:t>Cross-Sectional Predictability in Large-Cap NASDAQ Equities</w:t>
        <w:br/>
        <w:t>Using an IC-Gated Machine Learning Framework</w:t>
      </w:r>
    </w:p>
    <w:p>
      <w:pPr>
        <w:spacing w:after="80"/>
        <w:jc w:val="center"/>
      </w:pPr>
      <w:r>
        <w:rPr>
          <w:rFonts w:ascii="Times New Roman" w:hAnsi="Times New Roman"/>
          <w:b/>
          <w:i w:val="0"/>
          <w:sz w:val="24"/>
        </w:rPr>
        <w:t>Rajveer Singh Pall</w:t>
      </w:r>
    </w:p>
    <w:p>
      <w:pPr>
        <w:spacing w:after="80"/>
        <w:jc w:val="center"/>
      </w:pPr>
      <w:r>
        <w:rPr>
          <w:rFonts w:ascii="Times New Roman" w:hAnsi="Times New Roman"/>
          <w:b w:val="0"/>
          <w:i/>
          <w:sz w:val="22"/>
        </w:rPr>
        <w:t>Independent Researcher</w:t>
      </w:r>
    </w:p>
    <w:p>
      <w:pPr>
        <w:spacing w:after="40"/>
        <w:jc w:val="center"/>
      </w:pPr>
      <w:r>
        <w:rPr>
          <w:rFonts w:ascii="Times New Roman" w:hAnsi="Times New Roman"/>
          <w:b w:val="0"/>
          <w:i w:val="0"/>
          <w:sz w:val="20"/>
        </w:rPr>
        <w:t>April 2025</w:t>
      </w:r>
    </w:p>
    <w:p>
      <w:pPr>
        <w:spacing w:before="40" w:after="40"/>
        <w:pBdr>
          <w:bottom w:val="single" w:sz="4" w:space="1" w:color="AAAAAA"/>
        </w:pBdr>
      </w:pPr>
    </w:p>
    <w:p>
      <w:pPr>
        <w:keepNext/>
        <w:spacing w:before="240" w:after="80"/>
      </w:pPr>
      <w:r>
        <w:rPr>
          <w:rFonts w:ascii="Times New Roman" w:hAnsi="Times New Roman"/>
          <w:b/>
          <w:i w:val="0"/>
          <w:color w:val="264653"/>
          <w:sz w:val="26"/>
        </w:rPr>
        <w:t>Abstract</w:t>
      </w:r>
    </w:p>
    <w:p>
      <w:pPr>
        <w:spacing w:before="0" w:after="80" w:line="360" w:lineRule="auto"/>
        <w:ind w:firstLine="0" w:left="576" w:right="576"/>
      </w:pPr>
      <w:r>
        <w:rPr>
          <w:rFonts w:ascii="Times New Roman" w:hAnsi="Times New Roman"/>
          <w:b w:val="0"/>
          <w:i w:val="0"/>
          <w:sz w:val="22"/>
        </w:rPr>
        <w:t>We test whether a supervised machine learning ensemble can generate exploitable cross-sectional predictability in large-cap NASDAQ equities. The framework combines CatBoost, Random Forest, and MLP base learners with isotonic calibration and an Information Coefficient (IC) gate — a statistical mechanism that blocks position-taking unless Newey-West-corrected IC reaches significance (p &lt; 0.05). Applied to a survivorship-bias-controlled universe of 30 NASDAQ-100 stocks over a 6-year out-of-sample window (1,512 trading days, October 2018 – October 2024) using 49 strictly causal technical indicators, the gate stays closed for the entire evaluation period. Mean IC is −0.0005 (ICIR = −0.0023, t = −0.09, p = 0.464), and the TopK1 strategy achieves a Sharpe ratio of −0.16 versus 0.96 for the equal-weight benchmark. A permutation test places the observed Sharpe at the 25.8th percentile of 1,000 shuffles (p = 0.742). The ensemble produces well-calibrated probability estimates (ECE &lt; 0.025 across all 12 folds) yet provides zero cross-sectional discrimination — calibration quality is orthogonal to predictive content. Five robustness checks confirm the null: expanding the universe to 100 stocks, Diebold-Mariano predictive accuracy tests, VIX-regime-conditioned IC analysis, block bootstrap confidence intervals, and gradient-based feature attribution. We interpret the gate closing as a correct decision rather than a failure, providing principled empirical evidence of signal absence in an efficient large-cap market segment.</w:t>
      </w:r>
    </w:p>
    <w:p>
      <w:pPr>
        <w:spacing w:after="200"/>
        <w:ind w:left="576" w:right="576"/>
      </w:pPr>
      <w:r>
        <w:rPr>
          <w:rFonts w:ascii="Times New Roman" w:hAnsi="Times New Roman"/>
          <w:b/>
          <w:i w:val="0"/>
          <w:sz w:val="20"/>
        </w:rPr>
        <w:t xml:space="preserve">Keywords: </w:t>
      </w:r>
      <w:r>
        <w:rPr>
          <w:rFonts w:ascii="Times New Roman" w:hAnsi="Times New Roman"/>
          <w:b w:val="0"/>
          <w:i/>
          <w:sz w:val="20"/>
        </w:rPr>
        <w:t>Information coefficient gate, machine learning, cross-sectional prediction, NASDAQ-100, walk-forward validation, ensemble learning, isotonic calibration, Diebold-Mariano test, market efficiency</w:t>
      </w:r>
    </w:p>
    <w:p>
      <w:pPr>
        <w:spacing w:before="40" w:after="40"/>
        <w:pBdr>
          <w:bottom w:val="single" w:sz="4" w:space="1" w:color="AAAAAA"/>
        </w:pBdr>
      </w:pPr>
    </w:p>
    <w:p>
      <w:pPr>
        <w:keepNext/>
        <w:spacing w:before="280" w:after="80"/>
      </w:pPr>
      <w:r>
        <w:rPr>
          <w:rFonts w:ascii="Times New Roman" w:hAnsi="Times New Roman"/>
          <w:b/>
          <w:i w:val="0"/>
          <w:color w:val="264653"/>
          <w:sz w:val="26"/>
        </w:rPr>
        <w:t>1. Introduction</w:t>
      </w:r>
    </w:p>
    <w:p>
      <w:pPr>
        <w:spacing w:before="0" w:after="160" w:line="360" w:lineRule="auto"/>
        <w:ind w:firstLine="0"/>
      </w:pPr>
      <w:r>
        <w:rPr>
          <w:rFonts w:ascii="Times New Roman" w:hAnsi="Times New Roman"/>
          <w:b w:val="0"/>
          <w:i w:val="0"/>
          <w:sz w:val="22"/>
        </w:rPr>
        <w:t>Can a well-built machine learning model beat an equal-weight index of mega-cap technology stocks over six years? On daily OHLCV data alone, our answer is no — and we think the machinery we built to answer that question is the contribution. The IC gate mechanism catches when a model has nothing to say and keeps it quiet. Over 1,512 consecutive out-of-sample trading days, the gate never opened.</w:t>
      </w:r>
    </w:p>
    <w:p>
      <w:pPr>
        <w:spacing w:before="0" w:after="160" w:line="360" w:lineRule="auto"/>
        <w:ind w:firstLine="0"/>
      </w:pPr>
      <w:r>
        <w:rPr>
          <w:rFonts w:ascii="Times New Roman" w:hAnsi="Times New Roman"/>
          <w:b w:val="0"/>
          <w:i w:val="0"/>
          <w:sz w:val="22"/>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pPr>
        <w:spacing w:before="0" w:after="160" w:line="360" w:lineRule="auto"/>
        <w:ind w:firstLine="0"/>
      </w:pPr>
      <w:r>
        <w:rPr>
          <w:rFonts w:ascii="Times New Roman" w:hAnsi="Times New Roman"/>
          <w:b w:val="0"/>
          <w:i w:val="0"/>
          <w:sz w:val="22"/>
        </w:rPr>
        <w:t>Research in this space faces three recurring methodological problems. First, look-ahead bias: features computed with future information inflate in-sample fit dramatically. Second, temporal leakage in cross-validation: standard k-fold shuffles training and test periods, destroying the causal structure of time. Third, survivorship bias: restricting the universe to current index members selects for firms that survived and grew, boosting observed returns relative to what an investor would have earned. We address all three explicitly.</w:t>
      </w:r>
    </w:p>
    <w:p>
      <w:pPr>
        <w:spacing w:before="0" w:after="160" w:line="360" w:lineRule="auto"/>
        <w:ind w:firstLine="0"/>
      </w:pPr>
      <w:r>
        <w:rPr>
          <w:rFonts w:ascii="Times New Roman" w:hAnsi="Times New Roman"/>
          <w:b w:val="0"/>
          <w:i w:val="0"/>
          <w:sz w:val="22"/>
        </w:rPr>
        <w:t>Our contribution is a reproducible IC-gated walk-forward framework with five components. An expanding-window walk-forward validator generates 12 non-overlapping test folds with temporal embargoes. A three-model ensemble — CatBoost, Random Forest, and MLP — produces probability estimates averaged with equal weight. Isotonic regression calibrates fold-specific probability estimates on a held-out calibration window. The IC gate then applies a Newey-West HAC t-test and a permutation test to the calibrated cross-sectional rankings before allowing any position. A vectorized backtest with realistic transaction costs completes the pipeline.</w:t>
      </w:r>
    </w:p>
    <w:p>
      <w:pPr>
        <w:spacing w:before="0" w:after="160" w:line="360" w:lineRule="auto"/>
        <w:ind w:firstLine="0"/>
      </w:pPr>
      <w:r>
        <w:rPr>
          <w:rFonts w:ascii="Times New Roman" w:hAnsi="Times New Roman"/>
          <w:b w:val="0"/>
          <w:i w:val="0"/>
          <w:sz w:val="22"/>
        </w:rPr>
        <w:t>The central finding is negative: across all 12 test folds, the IC gate stays closed. The ensemble ranks 30 stocks each day, but those rankings carry no persistent cross-sectional information.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pPr>
        <w:spacing w:before="0" w:after="160" w:line="360" w:lineRule="auto"/>
        <w:ind w:firstLine="0"/>
      </w:pPr>
      <w:r>
        <w:rPr>
          <w:rFonts w:ascii="Times New Roman" w:hAnsi="Times New Roman"/>
          <w:b w:val="0"/>
          <w:i w:val="0"/>
          <w:sz w:val="22"/>
        </w:rPr>
        <w:t>Five robustness checks leave the null result intact. Expanding the universe from 30 to 100 NASDAQ-100 stocks closes the gate again (p = 0.947). Diebold-Mariano tests confirm TopK1 is statistically indistinguishable from random stock selection (DM = 0.42, p = 0.67). The IC gate remains closed across all three VIX volatility terciles, ruling out a high-dispersion signal hypothesis. Block bootstrap confidence intervals span zero for all 12 folds. Gradient-based feature attribution shows low and unstable feature importance scores across folds (Spearman rank ρ = 0.13–0.40), confirming the model fits noise rather than structure.</w:t>
      </w:r>
    </w:p>
    <w:p>
      <w:pPr>
        <w:spacing w:before="0" w:after="160" w:line="360" w:lineRule="auto"/>
        <w:ind w:firstLine="0"/>
      </w:pPr>
      <w:r>
        <w:rPr>
          <w:rFonts w:ascii="Times New Roman" w:hAnsi="Times New Roman"/>
          <w:b w:val="0"/>
          <w:i w:val="0"/>
          <w:sz w:val="22"/>
        </w:rPr>
        <w:t>We position this as a methodologically complete negative result rather than an incremental positive claim.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secondary finding worth isolating.</w:t>
      </w:r>
    </w:p>
    <w:p>
      <w:pPr>
        <w:keepNext/>
        <w:spacing w:before="280" w:after="80"/>
      </w:pPr>
      <w:r>
        <w:rPr>
          <w:rFonts w:ascii="Times New Roman" w:hAnsi="Times New Roman"/>
          <w:b/>
          <w:i w:val="0"/>
          <w:color w:val="264653"/>
          <w:sz w:val="26"/>
        </w:rPr>
        <w:t>2. Related Work</w:t>
      </w:r>
    </w:p>
    <w:p>
      <w:pPr>
        <w:keepNext/>
        <w:spacing w:before="280" w:after="80"/>
      </w:pPr>
      <w:r>
        <w:rPr>
          <w:rFonts w:ascii="Times New Roman" w:hAnsi="Times New Roman"/>
          <w:b/>
          <w:i w:val="0"/>
          <w:color w:val="2A9D8F"/>
          <w:sz w:val="23"/>
        </w:rPr>
        <w:t>2.1 Machine Learning in Equity Prediction</w:t>
      </w:r>
    </w:p>
    <w:p>
      <w:pPr>
        <w:spacing w:before="0" w:after="160" w:line="360" w:lineRule="auto"/>
        <w:ind w:firstLine="0"/>
      </w:pPr>
      <w:r>
        <w:rPr>
          <w:rFonts w:ascii="Times New Roman" w:hAnsi="Times New Roman"/>
          <w:b w:val="0"/>
          <w:i w:val="0"/>
          <w:sz w:val="22"/>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who find that many signals require high turnover to capture, making net-of-cost performance substantially worse than gross.</w:t>
      </w:r>
    </w:p>
    <w:p>
      <w:pPr>
        <w:spacing w:before="0" w:after="160" w:line="360" w:lineRule="auto"/>
        <w:ind w:firstLine="0"/>
      </w:pPr>
      <w:r>
        <w:rPr>
          <w:rFonts w:ascii="Times New Roman" w:hAnsi="Times New Roman"/>
          <w:b w:val="0"/>
          <w:i w:val="0"/>
          <w:sz w:val="22"/>
        </w:rPr>
        <w:t>Daily prediction of individual stock returns is a harder problem than monthly cross-sectional work.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pPr>
        <w:keepNext/>
        <w:spacing w:before="280" w:after="80"/>
      </w:pPr>
      <w:r>
        <w:rPr>
          <w:rFonts w:ascii="Times New Roman" w:hAnsi="Times New Roman"/>
          <w:b/>
          <w:i w:val="0"/>
          <w:color w:val="2A9D8F"/>
          <w:sz w:val="23"/>
        </w:rPr>
        <w:t>2.2 Technical Indicators as Predictors</w:t>
      </w:r>
    </w:p>
    <w:p>
      <w:pPr>
        <w:spacing w:before="0" w:after="160" w:line="360" w:lineRule="auto"/>
        <w:ind w:firstLine="0"/>
      </w:pPr>
      <w:r>
        <w:rPr>
          <w:rFonts w:ascii="Times New Roman" w:hAnsi="Times New Roman"/>
          <w:b w:val="0"/>
          <w:i w:val="0"/>
          <w:sz w:val="22"/>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pPr>
        <w:keepNext/>
        <w:spacing w:before="280" w:after="80"/>
      </w:pPr>
      <w:r>
        <w:rPr>
          <w:rFonts w:ascii="Times New Roman" w:hAnsi="Times New Roman"/>
          <w:b/>
          <w:i w:val="0"/>
          <w:color w:val="2A9D8F"/>
          <w:sz w:val="23"/>
        </w:rPr>
        <w:t>2.3 Validation Design and IC Gates</w:t>
      </w:r>
    </w:p>
    <w:p>
      <w:pPr>
        <w:spacing w:before="0" w:after="160" w:line="360" w:lineRule="auto"/>
        <w:ind w:firstLine="0"/>
      </w:pPr>
      <w:r>
        <w:rPr>
          <w:rFonts w:ascii="Times New Roman" w:hAnsi="Times New Roman"/>
          <w:b w:val="0"/>
          <w:i w:val="0"/>
          <w:sz w:val="22"/>
        </w:rPr>
        <w:t>Walk-forward validation is the standard design for time-series-dependent ML evaluation in finance.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pPr>
        <w:spacing w:before="0" w:after="160" w:line="360" w:lineRule="auto"/>
        <w:ind w:firstLine="0"/>
      </w:pPr>
      <w:r>
        <w:rPr>
          <w:rFonts w:ascii="Times New Roman" w:hAnsi="Times New Roman"/>
          <w:b w:val="0"/>
          <w:i w:val="0"/>
          <w:sz w:val="22"/>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w:t>
      </w:r>
    </w:p>
    <w:p>
      <w:pPr>
        <w:keepNext/>
        <w:spacing w:before="280" w:after="80"/>
      </w:pPr>
      <w:r>
        <w:rPr>
          <w:rFonts w:ascii="Times New Roman" w:hAnsi="Times New Roman"/>
          <w:b/>
          <w:i w:val="0"/>
          <w:color w:val="2A9D8F"/>
          <w:sz w:val="23"/>
        </w:rPr>
        <w:t>2.4 Calibration in ML-Based Finance</w:t>
      </w:r>
    </w:p>
    <w:p>
      <w:pPr>
        <w:spacing w:before="0" w:after="160" w:line="360" w:lineRule="auto"/>
        <w:ind w:firstLine="0"/>
      </w:pPr>
      <w:r>
        <w:rPr>
          <w:rFonts w:ascii="Times New Roman" w:hAnsi="Times New Roman"/>
          <w:b w:val="0"/>
          <w:i w:val="0"/>
          <w:sz w:val="22"/>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pPr>
        <w:keepNext/>
        <w:spacing w:before="280" w:after="80"/>
      </w:pPr>
      <w:r>
        <w:rPr>
          <w:rFonts w:ascii="Times New Roman" w:hAnsi="Times New Roman"/>
          <w:b/>
          <w:i w:val="0"/>
          <w:color w:val="264653"/>
          <w:sz w:val="26"/>
        </w:rPr>
        <w:t>3. Data and Feature Engineering</w:t>
      </w:r>
    </w:p>
    <w:p>
      <w:pPr>
        <w:keepNext/>
        <w:spacing w:before="280" w:after="80"/>
      </w:pPr>
      <w:r>
        <w:rPr>
          <w:rFonts w:ascii="Times New Roman" w:hAnsi="Times New Roman"/>
          <w:b/>
          <w:i w:val="0"/>
          <w:color w:val="2A9D8F"/>
          <w:sz w:val="23"/>
        </w:rPr>
        <w:t>3.1 Universe Construction</w:t>
      </w:r>
    </w:p>
    <w:p>
      <w:pPr>
        <w:spacing w:before="0" w:after="160" w:line="360" w:lineRule="auto"/>
        <w:ind w:firstLine="0"/>
      </w:pPr>
      <w:r>
        <w:rPr>
          <w:rFonts w:ascii="Times New Roman" w:hAnsi="Times New Roman"/>
          <w:b w:val="0"/>
          <w:i w:val="0"/>
          <w:sz w:val="22"/>
        </w:rPr>
        <w:t>The primary universe consists of 30 large-cap NASDAQ-100 member stocks selected to avoid survivorship bias.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with auto-adjustment for splits and dividends.</w:t>
      </w:r>
    </w:p>
    <w:p>
      <w:pPr>
        <w:spacing w:before="0" w:after="160" w:line="360" w:lineRule="auto"/>
        <w:ind w:firstLine="0"/>
      </w:pPr>
      <w:r>
        <w:rPr>
          <w:rFonts w:ascii="Times New Roman" w:hAnsi="Times New Roman"/>
          <w:b w:val="0"/>
          <w:i w:val="0"/>
          <w:sz w:val="22"/>
        </w:rPr>
        <w:t>For the robustness analysis in Section 6, we expand the universe to approximately 100 NASDAQ-100 candidate stocks applying the same survivorship-bias control procedure: stocks must have at least 1,800 trading days (roughly 7 years) of clean, adjusted price history. This produces a survivorship-bias-controlled universe of similar character to the primary 30-stock universe but three times as broad.</w:t>
      </w:r>
    </w:p>
    <w:p>
      <w:pPr>
        <w:keepNext/>
        <w:spacing w:before="280" w:after="80"/>
      </w:pPr>
      <w:r>
        <w:rPr>
          <w:rFonts w:ascii="Times New Roman" w:hAnsi="Times New Roman"/>
          <w:b/>
          <w:i w:val="0"/>
          <w:color w:val="2A9D8F"/>
          <w:sz w:val="23"/>
        </w:rPr>
        <w:t>3.2 Target Variable</w:t>
      </w:r>
    </w:p>
    <w:p>
      <w:pPr>
        <w:spacing w:before="0" w:after="160" w:line="360" w:lineRule="auto"/>
        <w:ind w:firstLine="0"/>
      </w:pPr>
      <w:r>
        <w:rPr>
          <w:rFonts w:ascii="Times New Roman" w:hAnsi="Times New Roman"/>
          <w:b w:val="0"/>
          <w:i w:val="0"/>
          <w:sz w:val="22"/>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pPr>
        <w:keepNext/>
        <w:spacing w:before="280" w:after="80"/>
      </w:pPr>
      <w:r>
        <w:rPr>
          <w:rFonts w:ascii="Times New Roman" w:hAnsi="Times New Roman"/>
          <w:b/>
          <w:i w:val="0"/>
          <w:color w:val="2A9D8F"/>
          <w:sz w:val="23"/>
        </w:rPr>
        <w:t>3.3 Feature Engineering</w:t>
      </w:r>
    </w:p>
    <w:p>
      <w:pPr>
        <w:spacing w:before="0" w:after="160" w:line="360" w:lineRule="auto"/>
        <w:ind w:firstLine="0"/>
      </w:pPr>
      <w:r>
        <w:rPr>
          <w:rFonts w:ascii="Times New Roman" w:hAnsi="Times New Roman"/>
          <w:b w:val="0"/>
          <w:i w:val="0"/>
          <w:sz w:val="22"/>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9"/>
              </w:rPr>
              <w:t>Category</w:t>
            </w:r>
          </w:p>
        </w:tc>
        <w:tc>
          <w:tcPr>
            <w:tcW w:type="dxa" w:w="850"/>
            <w:shd w:val="clear" w:color="auto" w:fill="264653"/>
          </w:tcPr>
          <w:p>
            <w:r/>
            <w:r>
              <w:rPr>
                <w:rFonts w:ascii="Times New Roman" w:hAnsi="Times New Roman"/>
                <w:b/>
                <w:i w:val="0"/>
                <w:color w:val="FFFFFF"/>
                <w:sz w:val="19"/>
              </w:rPr>
              <w:t>Count</w:t>
            </w:r>
          </w:p>
        </w:tc>
        <w:tc>
          <w:tcPr>
            <w:tcW w:type="dxa" w:w="6236"/>
            <w:shd w:val="clear" w:color="auto" w:fill="264653"/>
          </w:tcPr>
          <w:p>
            <w:r/>
            <w:r>
              <w:rPr>
                <w:rFonts w:ascii="Times New Roman" w:hAnsi="Times New Roman"/>
                <w:b/>
                <w:i w:val="0"/>
                <w:color w:val="FFFFFF"/>
                <w:sz w:val="19"/>
              </w:rPr>
              <w:t>Representative Features</w:t>
            </w:r>
          </w:p>
        </w:tc>
      </w:tr>
      <w:tr>
        <w:tc>
          <w:tcPr>
            <w:tcW w:type="dxa" w:w="1984"/>
            <w:shd w:val="clear" w:color="auto" w:fill="E8F4F8"/>
          </w:tcPr>
          <w:p>
            <w:pPr>
              <w:jc w:val="left"/>
            </w:pPr>
            <w:r/>
            <w:r>
              <w:rPr>
                <w:rFonts w:ascii="Times New Roman" w:hAnsi="Times New Roman"/>
                <w:b w:val="0"/>
                <w:i w:val="0"/>
                <w:sz w:val="19"/>
              </w:rPr>
              <w:t>Momentum</w:t>
            </w:r>
          </w:p>
        </w:tc>
        <w:tc>
          <w:tcPr>
            <w:tcW w:type="dxa" w:w="850"/>
            <w:shd w:val="clear" w:color="auto" w:fill="E8F4F8"/>
          </w:tcPr>
          <w:p>
            <w:pPr>
              <w:jc w:val="center"/>
            </w:pPr>
            <w:r/>
            <w:r>
              <w:rPr>
                <w:rFonts w:ascii="Times New Roman" w:hAnsi="Times New Roman"/>
                <w:b w:val="0"/>
                <w:i w:val="0"/>
                <w:sz w:val="19"/>
              </w:rPr>
              <w:t>8</w:t>
            </w:r>
          </w:p>
        </w:tc>
        <w:tc>
          <w:tcPr>
            <w:tcW w:type="dxa" w:w="6236"/>
            <w:shd w:val="clear" w:color="auto" w:fill="E8F4F8"/>
          </w:tcPr>
          <w:p>
            <w:pPr>
              <w:jc w:val="center"/>
            </w:pPr>
            <w:r/>
            <w:r>
              <w:rPr>
                <w:rFonts w:ascii="Times New Roman" w:hAnsi="Times New Roman"/>
                <w:b w:val="0"/>
                <w:i w:val="0"/>
                <w:sz w:val="19"/>
              </w:rPr>
              <w:t>RSI-14/21, MACD line/signal/histogram, ROC-10/21, Williams %R</w:t>
            </w:r>
          </w:p>
        </w:tc>
      </w:tr>
      <w:tr>
        <w:tc>
          <w:tcPr>
            <w:tcW w:type="dxa" w:w="1984"/>
          </w:tcPr>
          <w:p>
            <w:pPr>
              <w:jc w:val="left"/>
            </w:pPr>
            <w:r/>
            <w:r>
              <w:rPr>
                <w:rFonts w:ascii="Times New Roman" w:hAnsi="Times New Roman"/>
                <w:b w:val="0"/>
                <w:i w:val="0"/>
                <w:sz w:val="19"/>
              </w:rPr>
              <w:t>Bollinger Bands</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Upper, Lower, Mid, Bandwidth, %B position, CCI-20</w:t>
            </w:r>
          </w:p>
        </w:tc>
      </w:tr>
      <w:tr>
        <w:tc>
          <w:tcPr>
            <w:tcW w:type="dxa" w:w="1984"/>
            <w:shd w:val="clear" w:color="auto" w:fill="E8F4F8"/>
          </w:tcPr>
          <w:p>
            <w:pPr>
              <w:jc w:val="left"/>
            </w:pPr>
            <w:r/>
            <w:r>
              <w:rPr>
                <w:rFonts w:ascii="Times New Roman" w:hAnsi="Times New Roman"/>
                <w:b w:val="0"/>
                <w:i w:val="0"/>
                <w:sz w:val="19"/>
              </w:rPr>
              <w:t>Volatility</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ATR-14/21, Log-return vol 5d/21d/63d, HL range</w:t>
            </w:r>
          </w:p>
        </w:tc>
      </w:tr>
      <w:tr>
        <w:tc>
          <w:tcPr>
            <w:tcW w:type="dxa" w:w="1984"/>
          </w:tcPr>
          <w:p>
            <w:pPr>
              <w:jc w:val="left"/>
            </w:pPr>
            <w:r/>
            <w:r>
              <w:rPr>
                <w:rFonts w:ascii="Times New Roman" w:hAnsi="Times New Roman"/>
                <w:b w:val="0"/>
                <w:i w:val="0"/>
                <w:sz w:val="19"/>
              </w:rPr>
              <w:t>Trend / MA</w:t>
            </w:r>
          </w:p>
        </w:tc>
        <w:tc>
          <w:tcPr>
            <w:tcW w:type="dxa" w:w="850"/>
          </w:tcPr>
          <w:p>
            <w:pPr>
              <w:jc w:val="center"/>
            </w:pPr>
            <w:r/>
            <w:r>
              <w:rPr>
                <w:rFonts w:ascii="Times New Roman" w:hAnsi="Times New Roman"/>
                <w:b w:val="0"/>
                <w:i w:val="0"/>
                <w:sz w:val="19"/>
              </w:rPr>
              <w:t>8</w:t>
            </w:r>
          </w:p>
        </w:tc>
        <w:tc>
          <w:tcPr>
            <w:tcW w:type="dxa" w:w="6236"/>
          </w:tcPr>
          <w:p>
            <w:pPr>
              <w:jc w:val="center"/>
            </w:pPr>
            <w:r/>
            <w:r>
              <w:rPr>
                <w:rFonts w:ascii="Times New Roman" w:hAnsi="Times New Roman"/>
                <w:b w:val="0"/>
                <w:i w:val="0"/>
                <w:sz w:val="19"/>
              </w:rPr>
              <w:t>EMA-9/21/50/200, SMA-50/200, Price-to-SMA50/200</w:t>
            </w:r>
          </w:p>
        </w:tc>
      </w:tr>
      <w:tr>
        <w:tc>
          <w:tcPr>
            <w:tcW w:type="dxa" w:w="1984"/>
            <w:shd w:val="clear" w:color="auto" w:fill="E8F4F8"/>
          </w:tcPr>
          <w:p>
            <w:pPr>
              <w:jc w:val="left"/>
            </w:pPr>
            <w:r/>
            <w:r>
              <w:rPr>
                <w:rFonts w:ascii="Times New Roman" w:hAnsi="Times New Roman"/>
                <w:b w:val="0"/>
                <w:i w:val="0"/>
                <w:sz w:val="19"/>
              </w:rPr>
              <w:t>Returns</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Log returns: 1d, 2d, 3d, 5d, 10d, 21d</w:t>
            </w:r>
          </w:p>
        </w:tc>
      </w:tr>
      <w:tr>
        <w:tc>
          <w:tcPr>
            <w:tcW w:type="dxa" w:w="1984"/>
          </w:tcPr>
          <w:p>
            <w:pPr>
              <w:jc w:val="left"/>
            </w:pPr>
            <w:r/>
            <w:r>
              <w:rPr>
                <w:rFonts w:ascii="Times New Roman" w:hAnsi="Times New Roman"/>
                <w:b w:val="0"/>
                <w:i w:val="0"/>
                <w:sz w:val="19"/>
              </w:rPr>
              <w:t>Volume</w:t>
            </w:r>
          </w:p>
        </w:tc>
        <w:tc>
          <w:tcPr>
            <w:tcW w:type="dxa" w:w="850"/>
          </w:tcPr>
          <w:p>
            <w:pPr>
              <w:jc w:val="center"/>
            </w:pPr>
            <w:r/>
            <w:r>
              <w:rPr>
                <w:rFonts w:ascii="Times New Roman" w:hAnsi="Times New Roman"/>
                <w:b w:val="0"/>
                <w:i w:val="0"/>
                <w:sz w:val="19"/>
              </w:rPr>
              <w:t>5</w:t>
            </w:r>
          </w:p>
        </w:tc>
        <w:tc>
          <w:tcPr>
            <w:tcW w:type="dxa" w:w="6236"/>
          </w:tcPr>
          <w:p>
            <w:pPr>
              <w:jc w:val="center"/>
            </w:pPr>
            <w:r/>
            <w:r>
              <w:rPr>
                <w:rFonts w:ascii="Times New Roman" w:hAnsi="Times New Roman"/>
                <w:b w:val="0"/>
                <w:i w:val="0"/>
                <w:sz w:val="19"/>
              </w:rPr>
              <w:t>OBV, OBV-EMA, Volume z-score 5d/21d, MFI-14</w:t>
            </w:r>
          </w:p>
        </w:tc>
      </w:tr>
      <w:tr>
        <w:tc>
          <w:tcPr>
            <w:tcW w:type="dxa" w:w="1984"/>
            <w:shd w:val="clear" w:color="auto" w:fill="E8F4F8"/>
          </w:tcPr>
          <w:p>
            <w:pPr>
              <w:jc w:val="left"/>
            </w:pPr>
            <w:r/>
            <w:r>
              <w:rPr>
                <w:rFonts w:ascii="Times New Roman" w:hAnsi="Times New Roman"/>
                <w:b w:val="0"/>
                <w:i w:val="0"/>
                <w:sz w:val="19"/>
              </w:rPr>
              <w:t>Candle</w:t>
            </w:r>
          </w:p>
        </w:tc>
        <w:tc>
          <w:tcPr>
            <w:tcW w:type="dxa" w:w="850"/>
            <w:shd w:val="clear" w:color="auto" w:fill="E8F4F8"/>
          </w:tcPr>
          <w:p>
            <w:pPr>
              <w:jc w:val="center"/>
            </w:pPr>
            <w:r/>
            <w:r>
              <w:rPr>
                <w:rFonts w:ascii="Times New Roman" w:hAnsi="Times New Roman"/>
                <w:b w:val="0"/>
                <w:i w:val="0"/>
                <w:sz w:val="19"/>
              </w:rPr>
              <w:t>4</w:t>
            </w:r>
          </w:p>
        </w:tc>
        <w:tc>
          <w:tcPr>
            <w:tcW w:type="dxa" w:w="6236"/>
            <w:shd w:val="clear" w:color="auto" w:fill="E8F4F8"/>
          </w:tcPr>
          <w:p>
            <w:pPr>
              <w:jc w:val="center"/>
            </w:pPr>
            <w:r/>
            <w:r>
              <w:rPr>
                <w:rFonts w:ascii="Times New Roman" w:hAnsi="Times New Roman"/>
                <w:b w:val="0"/>
                <w:i w:val="0"/>
                <w:sz w:val="19"/>
              </w:rPr>
              <w:t>OC body, upper/lower shadow ratios, DPO-20</w:t>
            </w:r>
          </w:p>
        </w:tc>
      </w:tr>
      <w:tr>
        <w:tc>
          <w:tcPr>
            <w:tcW w:type="dxa" w:w="1984"/>
          </w:tcPr>
          <w:p>
            <w:pPr>
              <w:jc w:val="left"/>
            </w:pPr>
            <w:r/>
            <w:r>
              <w:rPr>
                <w:rFonts w:ascii="Times New Roman" w:hAnsi="Times New Roman"/>
                <w:b w:val="0"/>
                <w:i w:val="0"/>
                <w:sz w:val="19"/>
              </w:rPr>
              <w:t>Directional</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Stochastic %K/%D, ADX-14, DI+/DI−, VWAP deviation</w:t>
            </w:r>
          </w:p>
        </w:tc>
      </w:tr>
    </w:tbl>
    <w:p>
      <w:pPr>
        <w:spacing w:before="80" w:after="200"/>
        <w:jc w:val="center"/>
      </w:pPr>
      <w:r>
        <w:rPr>
          <w:rFonts w:ascii="Times New Roman" w:hAnsi="Times New Roman"/>
          <w:b/>
          <w:i w:val="0"/>
          <w:sz w:val="19"/>
        </w:rPr>
        <w:t>Table 1.</w:t>
      </w:r>
      <w:r>
        <w:rPr>
          <w:rFonts w:ascii="Times New Roman" w:hAnsi="Times New Roman"/>
          <w:b w:val="0"/>
          <w:i w:val="0"/>
          <w:sz w:val="19"/>
        </w:rPr>
        <w:t xml:space="preserve"> Feature set: 49 strictly causal technical indicators across 8 categories. All features are backward-looking with no centre-window smoothing.</w:t>
      </w:r>
    </w:p>
    <w:p>
      <w:pPr>
        <w:keepNext/>
        <w:spacing w:before="280" w:after="80"/>
      </w:pPr>
      <w:r>
        <w:rPr>
          <w:rFonts w:ascii="Times New Roman" w:hAnsi="Times New Roman"/>
          <w:b/>
          <w:i w:val="0"/>
          <w:color w:val="264653"/>
          <w:sz w:val="26"/>
        </w:rPr>
        <w:t>4. Methodology</w:t>
      </w:r>
    </w:p>
    <w:p>
      <w:pPr>
        <w:keepNext/>
        <w:spacing w:before="280" w:after="80"/>
      </w:pPr>
      <w:r>
        <w:rPr>
          <w:rFonts w:ascii="Times New Roman" w:hAnsi="Times New Roman"/>
          <w:b/>
          <w:i w:val="0"/>
          <w:color w:val="2A9D8F"/>
          <w:sz w:val="23"/>
        </w:rPr>
        <w:t>4.1 Walk-Forward Validation</w:t>
      </w:r>
    </w:p>
    <w:p>
      <w:pPr>
        <w:spacing w:before="0" w:after="160" w:line="360" w:lineRule="auto"/>
        <w:ind w:firstLine="0"/>
      </w:pPr>
      <w:r>
        <w:rPr>
          <w:rFonts w:ascii="Times New Roman" w:hAnsi="Times New Roman"/>
          <w:b w:val="0"/>
          <w:i w:val="0"/>
          <w:sz w:val="22"/>
        </w:rPr>
        <w:t>We use a 12-fold expanding-window walk-forward design. Each fold trains on all data from January 2015 through month T, holds out a six-month calibration window immediately after T, and evaluates on the subsequent six-month test window. The training window expands by one fold period for each successive fold. Fold 1 tests July–December 2017; Fold 12 tests July–December 2024.</w:t>
      </w:r>
    </w:p>
    <w:p>
      <w:pPr>
        <w:spacing w:before="0" w:after="160" w:line="360" w:lineRule="auto"/>
        <w:ind w:firstLine="0"/>
      </w:pPr>
      <w:r>
        <w:rPr>
          <w:rFonts w:ascii="Times New Roman" w:hAnsi="Times New Roman"/>
          <w:b w:val="0"/>
          <w:i w:val="0"/>
          <w:sz w:val="22"/>
        </w:rPr>
        <w:t>A 10-trading-day embargo separates each training period from its calibration window, and a second embargo separates the calibration window from the test period. The calibration window is strictly held out — the isotonic calibrator never observes the test-period label distribution before inference. This design prevents any form of temporal data leakage while providing a separate distribution for probability calibration at each fold.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50"/>
            <w:shd w:val="clear" w:color="auto" w:fill="264653"/>
          </w:tcPr>
          <w:p>
            <w:r/>
            <w:r>
              <w:rPr>
                <w:rFonts w:ascii="Times New Roman" w:hAnsi="Times New Roman"/>
                <w:b/>
                <w:i w:val="0"/>
                <w:color w:val="FFFFFF"/>
                <w:sz w:val="18"/>
              </w:rPr>
              <w:t>Fold</w:t>
            </w:r>
          </w:p>
        </w:tc>
        <w:tc>
          <w:tcPr>
            <w:tcW w:type="dxa" w:w="3118"/>
            <w:shd w:val="clear" w:color="auto" w:fill="264653"/>
          </w:tcPr>
          <w:p>
            <w:r/>
            <w:r>
              <w:rPr>
                <w:rFonts w:ascii="Times New Roman" w:hAnsi="Times New Roman"/>
                <w:b/>
                <w:i w:val="0"/>
                <w:color w:val="FFFFFF"/>
                <w:sz w:val="18"/>
              </w:rPr>
              <w:t>Train</w:t>
            </w:r>
          </w:p>
        </w:tc>
        <w:tc>
          <w:tcPr>
            <w:tcW w:type="dxa" w:w="2835"/>
            <w:shd w:val="clear" w:color="auto" w:fill="264653"/>
          </w:tcPr>
          <w:p>
            <w:r/>
            <w:r>
              <w:rPr>
                <w:rFonts w:ascii="Times New Roman" w:hAnsi="Times New Roman"/>
                <w:b/>
                <w:i w:val="0"/>
                <w:color w:val="FFFFFF"/>
                <w:sz w:val="18"/>
              </w:rPr>
              <w:t>Calibration</w:t>
            </w:r>
          </w:p>
        </w:tc>
        <w:tc>
          <w:tcPr>
            <w:tcW w:type="dxa" w:w="2835"/>
            <w:shd w:val="clear" w:color="auto" w:fill="264653"/>
          </w:tcPr>
          <w:p>
            <w:r/>
            <w:r>
              <w:rPr>
                <w:rFonts w:ascii="Times New Roman" w:hAnsi="Times New Roman"/>
                <w:b/>
                <w:i w:val="0"/>
                <w:color w:val="FFFFFF"/>
                <w:sz w:val="18"/>
              </w:rPr>
              <w:t>Test</w:t>
            </w:r>
          </w:p>
        </w:tc>
      </w:tr>
      <w:tr>
        <w:tc>
          <w:tcPr>
            <w:tcW w:type="dxa" w:w="850"/>
            <w:shd w:val="clear" w:color="auto" w:fill="E8F4F8"/>
          </w:tcPr>
          <w:p>
            <w:pPr>
              <w:jc w:val="left"/>
            </w:pPr>
            <w:r/>
            <w:r>
              <w:rPr>
                <w:rFonts w:ascii="Times New Roman" w:hAnsi="Times New Roman"/>
                <w:b w:val="0"/>
                <w:i w:val="0"/>
                <w:sz w:val="18"/>
              </w:rPr>
              <w:t>1</w:t>
            </w:r>
          </w:p>
        </w:tc>
        <w:tc>
          <w:tcPr>
            <w:tcW w:type="dxa" w:w="3118"/>
            <w:shd w:val="clear" w:color="auto" w:fill="E8F4F8"/>
          </w:tcPr>
          <w:p>
            <w:pPr>
              <w:jc w:val="center"/>
            </w:pPr>
            <w:r/>
            <w:r>
              <w:rPr>
                <w:rFonts w:ascii="Times New Roman" w:hAnsi="Times New Roman"/>
                <w:b w:val="0"/>
                <w:i w:val="0"/>
                <w:sz w:val="18"/>
              </w:rPr>
              <w:t>Jan 2015 – Dec 2016</w:t>
            </w:r>
          </w:p>
        </w:tc>
        <w:tc>
          <w:tcPr>
            <w:tcW w:type="dxa" w:w="2835"/>
            <w:shd w:val="clear" w:color="auto" w:fill="E8F4F8"/>
          </w:tcPr>
          <w:p>
            <w:pPr>
              <w:jc w:val="center"/>
            </w:pPr>
            <w:r/>
            <w:r>
              <w:rPr>
                <w:rFonts w:ascii="Times New Roman" w:hAnsi="Times New Roman"/>
                <w:b w:val="0"/>
                <w:i w:val="0"/>
                <w:sz w:val="18"/>
              </w:rPr>
              <w:t>Jan 2017 – Jun 2017</w:t>
            </w:r>
          </w:p>
        </w:tc>
        <w:tc>
          <w:tcPr>
            <w:tcW w:type="dxa" w:w="2835"/>
            <w:shd w:val="clear" w:color="auto" w:fill="E8F4F8"/>
          </w:tcPr>
          <w:p>
            <w:pPr>
              <w:jc w:val="center"/>
            </w:pPr>
            <w:r/>
            <w:r>
              <w:rPr>
                <w:rFonts w:ascii="Times New Roman" w:hAnsi="Times New Roman"/>
                <w:b w:val="0"/>
                <w:i w:val="0"/>
                <w:sz w:val="18"/>
              </w:rPr>
              <w:t>Jul 2017 – Dec 2017</w:t>
            </w:r>
          </w:p>
        </w:tc>
      </w:tr>
      <w:tr>
        <w:tc>
          <w:tcPr>
            <w:tcW w:type="dxa" w:w="850"/>
          </w:tcPr>
          <w:p>
            <w:pPr>
              <w:jc w:val="left"/>
            </w:pPr>
            <w:r/>
            <w:r>
              <w:rPr>
                <w:rFonts w:ascii="Times New Roman" w:hAnsi="Times New Roman"/>
                <w:b w:val="0"/>
                <w:i w:val="0"/>
                <w:sz w:val="18"/>
              </w:rPr>
              <w:t>2</w:t>
            </w:r>
          </w:p>
        </w:tc>
        <w:tc>
          <w:tcPr>
            <w:tcW w:type="dxa" w:w="3118"/>
          </w:tcPr>
          <w:p>
            <w:pPr>
              <w:jc w:val="center"/>
            </w:pPr>
            <w:r/>
            <w:r>
              <w:rPr>
                <w:rFonts w:ascii="Times New Roman" w:hAnsi="Times New Roman"/>
                <w:b w:val="0"/>
                <w:i w:val="0"/>
                <w:sz w:val="18"/>
              </w:rPr>
              <w:t>Jan 2015 – Jun 2017</w:t>
            </w:r>
          </w:p>
        </w:tc>
        <w:tc>
          <w:tcPr>
            <w:tcW w:type="dxa" w:w="2835"/>
          </w:tcPr>
          <w:p>
            <w:pPr>
              <w:jc w:val="center"/>
            </w:pPr>
            <w:r/>
            <w:r>
              <w:rPr>
                <w:rFonts w:ascii="Times New Roman" w:hAnsi="Times New Roman"/>
                <w:b w:val="0"/>
                <w:i w:val="0"/>
                <w:sz w:val="18"/>
              </w:rPr>
              <w:t>Jul 2017 – Dec 2017</w:t>
            </w:r>
          </w:p>
        </w:tc>
        <w:tc>
          <w:tcPr>
            <w:tcW w:type="dxa" w:w="2835"/>
          </w:tcPr>
          <w:p>
            <w:pPr>
              <w:jc w:val="center"/>
            </w:pPr>
            <w:r/>
            <w:r>
              <w:rPr>
                <w:rFonts w:ascii="Times New Roman" w:hAnsi="Times New Roman"/>
                <w:b w:val="0"/>
                <w:i w:val="0"/>
                <w:sz w:val="18"/>
              </w:rPr>
              <w:t>Jan 2018 – Jun 2018</w:t>
            </w:r>
          </w:p>
        </w:tc>
      </w:tr>
      <w:tr>
        <w:tc>
          <w:tcPr>
            <w:tcW w:type="dxa" w:w="850"/>
            <w:shd w:val="clear" w:color="auto" w:fill="E8F4F8"/>
          </w:tcPr>
          <w:p>
            <w:pPr>
              <w:jc w:val="left"/>
            </w:pPr>
            <w:r/>
            <w:r>
              <w:rPr>
                <w:rFonts w:ascii="Times New Roman" w:hAnsi="Times New Roman"/>
                <w:b w:val="0"/>
                <w:i w:val="0"/>
                <w:sz w:val="18"/>
              </w:rPr>
              <w:t>...</w:t>
            </w:r>
          </w:p>
        </w:tc>
        <w:tc>
          <w:tcPr>
            <w:tcW w:type="dxa" w:w="3118"/>
            <w:shd w:val="clear" w:color="auto" w:fill="E8F4F8"/>
          </w:tcPr>
          <w:p>
            <w:pPr>
              <w:jc w:val="center"/>
            </w:pPr>
            <w:r/>
            <w:r>
              <w:rPr>
                <w:rFonts w:ascii="Times New Roman" w:hAnsi="Times New Roman"/>
                <w:b w:val="0"/>
                <w:i w:val="0"/>
                <w:sz w:val="18"/>
              </w:rPr>
              <w:t>...</w:t>
            </w:r>
          </w:p>
        </w:tc>
        <w:tc>
          <w:tcPr>
            <w:tcW w:type="dxa" w:w="2835"/>
            <w:shd w:val="clear" w:color="auto" w:fill="E8F4F8"/>
          </w:tcPr>
          <w:p>
            <w:pPr>
              <w:jc w:val="center"/>
            </w:pPr>
            <w:r/>
            <w:r>
              <w:rPr>
                <w:rFonts w:ascii="Times New Roman" w:hAnsi="Times New Roman"/>
                <w:b w:val="0"/>
                <w:i w:val="0"/>
                <w:sz w:val="18"/>
              </w:rPr>
              <w:t>...</w:t>
            </w:r>
          </w:p>
        </w:tc>
        <w:tc>
          <w:tcPr>
            <w:tcW w:type="dxa" w:w="2835"/>
            <w:shd w:val="clear" w:color="auto" w:fill="E8F4F8"/>
          </w:tcPr>
          <w:p>
            <w:pPr>
              <w:jc w:val="center"/>
            </w:pPr>
            <w:r/>
            <w:r>
              <w:rPr>
                <w:rFonts w:ascii="Times New Roman" w:hAnsi="Times New Roman"/>
                <w:b w:val="0"/>
                <w:i w:val="0"/>
                <w:sz w:val="18"/>
              </w:rPr>
              <w:t>...</w:t>
            </w:r>
          </w:p>
        </w:tc>
      </w:tr>
      <w:tr>
        <w:tc>
          <w:tcPr>
            <w:tcW w:type="dxa" w:w="850"/>
          </w:tcPr>
          <w:p>
            <w:pPr>
              <w:jc w:val="left"/>
            </w:pPr>
            <w:r/>
            <w:r>
              <w:rPr>
                <w:rFonts w:ascii="Times New Roman" w:hAnsi="Times New Roman"/>
                <w:b w:val="0"/>
                <w:i w:val="0"/>
                <w:sz w:val="18"/>
              </w:rPr>
              <w:t>12</w:t>
            </w:r>
          </w:p>
        </w:tc>
        <w:tc>
          <w:tcPr>
            <w:tcW w:type="dxa" w:w="3118"/>
          </w:tcPr>
          <w:p>
            <w:pPr>
              <w:jc w:val="center"/>
            </w:pPr>
            <w:r/>
            <w:r>
              <w:rPr>
                <w:rFonts w:ascii="Times New Roman" w:hAnsi="Times New Roman"/>
                <w:b w:val="0"/>
                <w:i w:val="0"/>
                <w:sz w:val="18"/>
              </w:rPr>
              <w:t>Jan 2015 – Mar 2024</w:t>
            </w:r>
          </w:p>
        </w:tc>
        <w:tc>
          <w:tcPr>
            <w:tcW w:type="dxa" w:w="2835"/>
          </w:tcPr>
          <w:p>
            <w:pPr>
              <w:jc w:val="center"/>
            </w:pPr>
            <w:r/>
            <w:r>
              <w:rPr>
                <w:rFonts w:ascii="Times New Roman" w:hAnsi="Times New Roman"/>
                <w:b w:val="0"/>
                <w:i w:val="0"/>
                <w:sz w:val="18"/>
              </w:rPr>
              <w:t>Apr 2024 – Jun 2024</w:t>
            </w:r>
          </w:p>
        </w:tc>
        <w:tc>
          <w:tcPr>
            <w:tcW w:type="dxa" w:w="2835"/>
          </w:tcPr>
          <w:p>
            <w:pPr>
              <w:jc w:val="center"/>
            </w:pPr>
            <w:r/>
            <w:r>
              <w:rPr>
                <w:rFonts w:ascii="Times New Roman" w:hAnsi="Times New Roman"/>
                <w:b w:val="0"/>
                <w:i w:val="0"/>
                <w:sz w:val="18"/>
              </w:rPr>
              <w:t>Jul 2024 – Dec 2024</w:t>
            </w:r>
          </w:p>
        </w:tc>
      </w:tr>
    </w:tbl>
    <w:p>
      <w:pPr>
        <w:spacing w:before="80" w:after="200"/>
        <w:jc w:val="center"/>
      </w:pPr>
      <w:r>
        <w:rPr>
          <w:rFonts w:ascii="Times New Roman" w:hAnsi="Times New Roman"/>
          <w:b/>
          <w:i w:val="0"/>
          <w:sz w:val="19"/>
        </w:rPr>
        <w:t>Table 2.</w:t>
      </w:r>
      <w:r>
        <w:rPr>
          <w:rFonts w:ascii="Times New Roman" w:hAnsi="Times New Roman"/>
          <w:b w:val="0"/>
          <w:i w:val="0"/>
          <w:sz w:val="19"/>
        </w:rPr>
        <w:t xml:space="preserve"> Walk-forward fold structure. Training window expands; calibration and test windows are each fixed at six months. Embargoes (10 trading days) separate adjacent windows.</w:t>
      </w:r>
    </w:p>
    <w:p>
      <w:pPr>
        <w:keepNext/>
        <w:spacing w:before="280" w:after="80"/>
      </w:pPr>
      <w:r>
        <w:rPr>
          <w:rFonts w:ascii="Times New Roman" w:hAnsi="Times New Roman"/>
          <w:b/>
          <w:i w:val="0"/>
          <w:color w:val="2A9D8F"/>
          <w:sz w:val="23"/>
        </w:rPr>
        <w:t>4.2 Ensemble Model</w:t>
      </w:r>
    </w:p>
    <w:p>
      <w:pPr>
        <w:spacing w:before="0" w:after="160" w:line="360" w:lineRule="auto"/>
        <w:ind w:firstLine="0"/>
      </w:pPr>
      <w:r>
        <w:rPr>
          <w:rFonts w:ascii="Times New Roman" w:hAnsi="Times New Roman"/>
          <w:b w:val="0"/>
          <w:i w:val="0"/>
          <w:sz w:val="22"/>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A three-layer MLP (256 → 128 → 64 units, dropout 0.3, ReLU activations) captures shallow non-linear interactions. All three models train independently on each fold's expanding training window. MLP training uses early stopping on a held-out 15% validation split within the training period (patience = 10 epochs).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8"/>
              </w:rPr>
              <w:t>Component</w:t>
            </w:r>
          </w:p>
        </w:tc>
        <w:tc>
          <w:tcPr>
            <w:tcW w:type="dxa" w:w="3685"/>
            <w:shd w:val="clear" w:color="auto" w:fill="264653"/>
          </w:tcPr>
          <w:p>
            <w:r/>
            <w:r>
              <w:rPr>
                <w:rFonts w:ascii="Times New Roman" w:hAnsi="Times New Roman"/>
                <w:b/>
                <w:i w:val="0"/>
                <w:color w:val="FFFFFF"/>
                <w:sz w:val="18"/>
              </w:rPr>
              <w:t>Parameter</w:t>
            </w:r>
          </w:p>
        </w:tc>
        <w:tc>
          <w:tcPr>
            <w:tcW w:type="dxa" w:w="2835"/>
            <w:shd w:val="clear" w:color="auto" w:fill="264653"/>
          </w:tcPr>
          <w:p>
            <w:r/>
            <w:r>
              <w:rPr>
                <w:rFonts w:ascii="Times New Roman" w:hAnsi="Times New Roman"/>
                <w:b/>
                <w:i w:val="0"/>
                <w:color w:val="FFFFFF"/>
                <w:sz w:val="18"/>
              </w:rPr>
              <w:t>Value</w:t>
            </w:r>
          </w:p>
        </w:tc>
      </w:tr>
      <w:tr>
        <w:tc>
          <w:tcPr>
            <w:tcW w:type="dxa" w:w="1984"/>
            <w:shd w:val="clear" w:color="auto" w:fill="E8F4F8"/>
          </w:tcPr>
          <w:p>
            <w:pPr>
              <w:jc w:val="left"/>
            </w:pPr>
            <w:r/>
            <w:r>
              <w:rPr>
                <w:rFonts w:ascii="Times New Roman" w:hAnsi="Times New Roman"/>
                <w:b w:val="0"/>
                <w:i w:val="0"/>
                <w:sz w:val="18"/>
              </w:rPr>
              <w:t>CatBoost</w:t>
            </w:r>
          </w:p>
        </w:tc>
        <w:tc>
          <w:tcPr>
            <w:tcW w:type="dxa" w:w="3685"/>
            <w:shd w:val="clear" w:color="auto" w:fill="E8F4F8"/>
          </w:tcPr>
          <w:p>
            <w:pPr>
              <w:jc w:val="center"/>
            </w:pPr>
            <w:r/>
            <w:r>
              <w:rPr>
                <w:rFonts w:ascii="Times New Roman" w:hAnsi="Times New Roman"/>
                <w:b w:val="0"/>
                <w:i w:val="0"/>
                <w:sz w:val="18"/>
              </w:rPr>
              <w:t>iterations / learning_rate / depth</w:t>
            </w:r>
          </w:p>
        </w:tc>
        <w:tc>
          <w:tcPr>
            <w:tcW w:type="dxa" w:w="2835"/>
            <w:shd w:val="clear" w:color="auto" w:fill="E8F4F8"/>
          </w:tcPr>
          <w:p>
            <w:pPr>
              <w:jc w:val="center"/>
            </w:pPr>
            <w:r/>
            <w:r>
              <w:rPr>
                <w:rFonts w:ascii="Times New Roman" w:hAnsi="Times New Roman"/>
                <w:b w:val="0"/>
                <w:i w:val="0"/>
                <w:sz w:val="18"/>
              </w:rPr>
              <w:t>500 / 0.05 / 6</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l2_leaf_reg / early_stopping_rounds</w:t>
            </w:r>
          </w:p>
        </w:tc>
        <w:tc>
          <w:tcPr>
            <w:tcW w:type="dxa" w:w="2835"/>
          </w:tcPr>
          <w:p>
            <w:pPr>
              <w:jc w:val="center"/>
            </w:pPr>
            <w:r/>
            <w:r>
              <w:rPr>
                <w:rFonts w:ascii="Times New Roman" w:hAnsi="Times New Roman"/>
                <w:b w:val="0"/>
                <w:i w:val="0"/>
                <w:sz w:val="18"/>
              </w:rPr>
              <w:t>3.0 / 50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random_seed / thread_count</w:t>
            </w:r>
          </w:p>
        </w:tc>
        <w:tc>
          <w:tcPr>
            <w:tcW w:type="dxa" w:w="2835"/>
            <w:shd w:val="clear" w:color="auto" w:fill="E8F4F8"/>
          </w:tcPr>
          <w:p>
            <w:pPr>
              <w:jc w:val="center"/>
            </w:pPr>
            <w:r/>
            <w:r>
              <w:rPr>
                <w:rFonts w:ascii="Times New Roman" w:hAnsi="Times New Roman"/>
                <w:b w:val="0"/>
                <w:i w:val="0"/>
                <w:sz w:val="18"/>
              </w:rPr>
              <w:t>42 / 1</w:t>
            </w:r>
          </w:p>
        </w:tc>
      </w:tr>
      <w:tr>
        <w:tc>
          <w:tcPr>
            <w:tcW w:type="dxa" w:w="1984"/>
          </w:tcPr>
          <w:p>
            <w:pPr>
              <w:jc w:val="left"/>
            </w:pPr>
            <w:r/>
            <w:r>
              <w:rPr>
                <w:rFonts w:ascii="Times New Roman" w:hAnsi="Times New Roman"/>
                <w:b w:val="0"/>
                <w:i w:val="0"/>
                <w:sz w:val="18"/>
              </w:rPr>
              <w:t>Random Forest</w:t>
            </w:r>
          </w:p>
        </w:tc>
        <w:tc>
          <w:tcPr>
            <w:tcW w:type="dxa" w:w="3685"/>
          </w:tcPr>
          <w:p>
            <w:pPr>
              <w:jc w:val="center"/>
            </w:pPr>
            <w:r/>
            <w:r>
              <w:rPr>
                <w:rFonts w:ascii="Times New Roman" w:hAnsi="Times New Roman"/>
                <w:b w:val="0"/>
                <w:i w:val="0"/>
                <w:sz w:val="18"/>
              </w:rPr>
              <w:t>n_estimators / max_depth</w:t>
            </w:r>
          </w:p>
        </w:tc>
        <w:tc>
          <w:tcPr>
            <w:tcW w:type="dxa" w:w="2835"/>
          </w:tcPr>
          <w:p>
            <w:pPr>
              <w:jc w:val="center"/>
            </w:pPr>
            <w:r/>
            <w:r>
              <w:rPr>
                <w:rFonts w:ascii="Times New Roman" w:hAnsi="Times New Roman"/>
                <w:b w:val="0"/>
                <w:i w:val="0"/>
                <w:sz w:val="18"/>
              </w:rPr>
              <w:t>500 / 10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min_samples_leaf / random_state</w:t>
            </w:r>
          </w:p>
        </w:tc>
        <w:tc>
          <w:tcPr>
            <w:tcW w:type="dxa" w:w="2835"/>
            <w:shd w:val="clear" w:color="auto" w:fill="E8F4F8"/>
          </w:tcPr>
          <w:p>
            <w:pPr>
              <w:jc w:val="center"/>
            </w:pPr>
            <w:r/>
            <w:r>
              <w:rPr>
                <w:rFonts w:ascii="Times New Roman" w:hAnsi="Times New Roman"/>
                <w:b w:val="0"/>
                <w:i w:val="0"/>
                <w:sz w:val="18"/>
              </w:rPr>
              <w:t>20 / 42</w:t>
            </w:r>
          </w:p>
        </w:tc>
      </w:tr>
      <w:tr>
        <w:tc>
          <w:tcPr>
            <w:tcW w:type="dxa" w:w="1984"/>
          </w:tcPr>
          <w:p>
            <w:pPr>
              <w:jc w:val="left"/>
            </w:pPr>
            <w:r/>
            <w:r>
              <w:rPr>
                <w:rFonts w:ascii="Times New Roman" w:hAnsi="Times New Roman"/>
                <w:b w:val="0"/>
                <w:i w:val="0"/>
                <w:sz w:val="18"/>
              </w:rPr>
              <w:t>MLP</w:t>
            </w:r>
          </w:p>
        </w:tc>
        <w:tc>
          <w:tcPr>
            <w:tcW w:type="dxa" w:w="3685"/>
          </w:tcPr>
          <w:p>
            <w:pPr>
              <w:jc w:val="center"/>
            </w:pPr>
            <w:r/>
            <w:r>
              <w:rPr>
                <w:rFonts w:ascii="Times New Roman" w:hAnsi="Times New Roman"/>
                <w:b w:val="0"/>
                <w:i w:val="0"/>
                <w:sz w:val="18"/>
              </w:rPr>
              <w:t>architecture</w:t>
            </w:r>
          </w:p>
        </w:tc>
        <w:tc>
          <w:tcPr>
            <w:tcW w:type="dxa" w:w="2835"/>
          </w:tcPr>
          <w:p>
            <w:pPr>
              <w:jc w:val="center"/>
            </w:pPr>
            <w:r/>
            <w:r>
              <w:rPr>
                <w:rFonts w:ascii="Times New Roman" w:hAnsi="Times New Roman"/>
                <w:b w:val="0"/>
                <w:i w:val="0"/>
                <w:sz w:val="18"/>
              </w:rPr>
              <w:t>[256, 128, 64]</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dropout / learning_rate</w:t>
            </w:r>
          </w:p>
        </w:tc>
        <w:tc>
          <w:tcPr>
            <w:tcW w:type="dxa" w:w="2835"/>
            <w:shd w:val="clear" w:color="auto" w:fill="E8F4F8"/>
          </w:tcPr>
          <w:p>
            <w:pPr>
              <w:jc w:val="center"/>
            </w:pPr>
            <w:r/>
            <w:r>
              <w:rPr>
                <w:rFonts w:ascii="Times New Roman" w:hAnsi="Times New Roman"/>
                <w:b w:val="0"/>
                <w:i w:val="0"/>
                <w:sz w:val="18"/>
              </w:rPr>
              <w:t>0.3 / 1×10⁻³</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early_stopping patience</w:t>
            </w:r>
          </w:p>
        </w:tc>
        <w:tc>
          <w:tcPr>
            <w:tcW w:type="dxa" w:w="2835"/>
          </w:tcPr>
          <w:p>
            <w:pPr>
              <w:jc w:val="center"/>
            </w:pPr>
            <w:r/>
            <w:r>
              <w:rPr>
                <w:rFonts w:ascii="Times New Roman" w:hAnsi="Times New Roman"/>
                <w:b w:val="0"/>
                <w:i w:val="0"/>
                <w:sz w:val="18"/>
              </w:rPr>
              <w:t>10 epochs</w:t>
            </w:r>
          </w:p>
        </w:tc>
      </w:tr>
      <w:tr>
        <w:tc>
          <w:tcPr>
            <w:tcW w:type="dxa" w:w="1984"/>
            <w:shd w:val="clear" w:color="auto" w:fill="E8F4F8"/>
          </w:tcPr>
          <w:p>
            <w:pPr>
              <w:jc w:val="left"/>
            </w:pPr>
            <w:r/>
            <w:r>
              <w:rPr>
                <w:rFonts w:ascii="Times New Roman" w:hAnsi="Times New Roman"/>
                <w:b w:val="0"/>
                <w:i w:val="0"/>
                <w:sz w:val="18"/>
              </w:rPr>
              <w:t>Calibration</w:t>
            </w:r>
          </w:p>
        </w:tc>
        <w:tc>
          <w:tcPr>
            <w:tcW w:type="dxa" w:w="3685"/>
            <w:shd w:val="clear" w:color="auto" w:fill="E8F4F8"/>
          </w:tcPr>
          <w:p>
            <w:pPr>
              <w:jc w:val="center"/>
            </w:pPr>
            <w:r/>
            <w:r>
              <w:rPr>
                <w:rFonts w:ascii="Times New Roman" w:hAnsi="Times New Roman"/>
                <w:b w:val="0"/>
                <w:i w:val="0"/>
                <w:sz w:val="18"/>
              </w:rPr>
              <w:t>method</w:t>
            </w:r>
          </w:p>
        </w:tc>
        <w:tc>
          <w:tcPr>
            <w:tcW w:type="dxa" w:w="2835"/>
            <w:shd w:val="clear" w:color="auto" w:fill="E8F4F8"/>
          </w:tcPr>
          <w:p>
            <w:pPr>
              <w:jc w:val="center"/>
            </w:pPr>
            <w:r/>
            <w:r>
              <w:rPr>
                <w:rFonts w:ascii="Times New Roman" w:hAnsi="Times New Roman"/>
                <w:b w:val="0"/>
                <w:i w:val="0"/>
                <w:sz w:val="18"/>
              </w:rPr>
              <w:t>Isotonic regression (per fold)</w:t>
            </w:r>
          </w:p>
        </w:tc>
      </w:tr>
      <w:tr>
        <w:tc>
          <w:tcPr>
            <w:tcW w:type="dxa" w:w="1984"/>
          </w:tcPr>
          <w:p>
            <w:pPr>
              <w:jc w:val="left"/>
            </w:pPr>
            <w:r/>
            <w:r>
              <w:rPr>
                <w:rFonts w:ascii="Times New Roman" w:hAnsi="Times New Roman"/>
                <w:b w:val="0"/>
                <w:i w:val="0"/>
                <w:sz w:val="18"/>
              </w:rPr>
              <w:t>All</w:t>
            </w:r>
          </w:p>
        </w:tc>
        <w:tc>
          <w:tcPr>
            <w:tcW w:type="dxa" w:w="3685"/>
          </w:tcPr>
          <w:p>
            <w:pPr>
              <w:jc w:val="center"/>
            </w:pPr>
            <w:r/>
            <w:r>
              <w:rPr>
                <w:rFonts w:ascii="Times New Roman" w:hAnsi="Times New Roman"/>
                <w:b w:val="0"/>
                <w:i w:val="0"/>
                <w:sz w:val="18"/>
              </w:rPr>
              <w:t>n_jobs (reproducibility)</w:t>
            </w:r>
          </w:p>
        </w:tc>
        <w:tc>
          <w:tcPr>
            <w:tcW w:type="dxa" w:w="2835"/>
          </w:tcPr>
          <w:p>
            <w:pPr>
              <w:jc w:val="center"/>
            </w:pPr>
            <w:r/>
            <w:r>
              <w:rPr>
                <w:rFonts w:ascii="Times New Roman" w:hAnsi="Times New Roman"/>
                <w:b w:val="0"/>
                <w:i w:val="0"/>
                <w:sz w:val="18"/>
              </w:rPr>
              <w:t>1</w:t>
            </w:r>
          </w:p>
        </w:tc>
      </w:tr>
    </w:tbl>
    <w:p>
      <w:pPr>
        <w:spacing w:before="80" w:after="200"/>
        <w:jc w:val="center"/>
      </w:pPr>
      <w:r>
        <w:rPr>
          <w:rFonts w:ascii="Times New Roman" w:hAnsi="Times New Roman"/>
          <w:b/>
          <w:i w:val="0"/>
          <w:sz w:val="19"/>
        </w:rPr>
        <w:t>Table 3.</w:t>
      </w:r>
      <w:r>
        <w:rPr>
          <w:rFonts w:ascii="Times New Roman" w:hAnsi="Times New Roman"/>
          <w:b w:val="0"/>
          <w:i w:val="0"/>
          <w:sz w:val="19"/>
        </w:rPr>
        <w:t xml:space="preserve"> Model hyperparameters. All random seeds fixed to 42 and n_jobs = 1 for full determinism.</w:t>
      </w:r>
    </w:p>
    <w:p>
      <w:pPr>
        <w:keepNext/>
        <w:spacing w:before="280" w:after="80"/>
      </w:pPr>
      <w:r>
        <w:rPr>
          <w:rFonts w:ascii="Times New Roman" w:hAnsi="Times New Roman"/>
          <w:b/>
          <w:i w:val="0"/>
          <w:color w:val="2A9D8F"/>
          <w:sz w:val="23"/>
        </w:rPr>
        <w:t>4.3 Isotonic Calibration</w:t>
      </w:r>
    </w:p>
    <w:p>
      <w:pPr>
        <w:spacing w:before="0" w:after="80" w:line="360" w:lineRule="auto"/>
        <w:ind w:firstLine="0"/>
      </w:pPr>
      <w:r>
        <w:rPr>
          <w:rFonts w:ascii="Times New Roman" w:hAnsi="Times New Roman"/>
          <w:b w:val="0"/>
          <w:i w:val="0"/>
          <w:sz w:val="22"/>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Expected Calibration Error (ECE) is computed over 10 equal-width bins:</w:t>
      </w:r>
    </w:p>
    <w:p>
      <w:pPr>
        <w:spacing w:before="80" w:after="80"/>
      </w:pPr>
      <w:r>
        <w:rPr>
          <w:rFonts w:ascii="Times New Roman" w:hAnsi="Times New Roman"/>
          <w:b w:val="0"/>
          <w:i/>
          <w:sz w:val="21"/>
        </w:rPr>
        <w:t xml:space="preserve">    ECE = Σₘ (|Bₘ|/n) · |acc(Bₘ) − conf(Bₘ)|</w:t>
      </w:r>
      <w:r>
        <w:rPr>
          <w:rFonts w:ascii="Times New Roman" w:hAnsi="Times New Roman"/>
          <w:b w:val="0"/>
          <w:i w:val="0"/>
          <w:sz w:val="20"/>
        </w:rPr>
        <w:t xml:space="preserve">    (1)</w:t>
      </w:r>
    </w:p>
    <w:p>
      <w:pPr>
        <w:spacing w:before="0" w:after="160" w:line="360" w:lineRule="auto"/>
        <w:ind w:firstLine="0"/>
      </w:pPr>
      <w:r>
        <w:rPr>
          <w:rFonts w:ascii="Times New Roman" w:hAnsi="Times New Roman"/>
          <w:b w:val="0"/>
          <w:i w:val="0"/>
          <w:sz w:val="22"/>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pPr>
        <w:keepNext/>
        <w:spacing w:before="280" w:after="80"/>
      </w:pPr>
      <w:r>
        <w:rPr>
          <w:rFonts w:ascii="Times New Roman" w:hAnsi="Times New Roman"/>
          <w:b/>
          <w:i w:val="0"/>
          <w:color w:val="2A9D8F"/>
          <w:sz w:val="23"/>
        </w:rPr>
        <w:t>4.4 IC Gate Mechanism</w:t>
      </w:r>
    </w:p>
    <w:p>
      <w:pPr>
        <w:spacing w:before="0" w:after="80" w:line="360" w:lineRule="auto"/>
        <w:ind w:firstLine="0"/>
      </w:pPr>
      <w:r>
        <w:rPr>
          <w:rFonts w:ascii="Times New Roman" w:hAnsi="Times New Roman"/>
          <w:b w:val="0"/>
          <w:i w:val="0"/>
          <w:sz w:val="22"/>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pPr>
        <w:spacing w:before="80" w:after="80"/>
      </w:pPr>
      <w:r>
        <w:rPr>
          <w:rFonts w:ascii="Times New Roman" w:hAnsi="Times New Roman"/>
          <w:b w:val="0"/>
          <w:i/>
          <w:sz w:val="21"/>
        </w:rPr>
        <w:t xml:space="preserve">    ICd = SpearmanRankCorr( p̂d , rd+1 )</w:t>
      </w:r>
      <w:r>
        <w:rPr>
          <w:rFonts w:ascii="Times New Roman" w:hAnsi="Times New Roman"/>
          <w:b w:val="0"/>
          <w:i w:val="0"/>
          <w:sz w:val="20"/>
        </w:rPr>
        <w:t xml:space="preserve">    (2)</w:t>
      </w:r>
    </w:p>
    <w:p>
      <w:pPr>
        <w:spacing w:before="0" w:after="80" w:line="360" w:lineRule="auto"/>
        <w:ind w:firstLine="0"/>
      </w:pPr>
      <w:r>
        <w:rPr>
          <w:rFonts w:ascii="Times New Roman" w:hAnsi="Times New Roman"/>
          <w:b w:val="0"/>
          <w:i w:val="0"/>
          <w:sz w:val="22"/>
        </w:rPr>
        <w:t>where p̂d is the vector of 30 calibrated probabilities and rd+1 is the vector of next-day returns. The gate applies a Newey-West HAC t-test (lag = 9 days, corresponding to approximately two weeks of autocorrelation structure) to the IC series to date:</w:t>
      </w:r>
    </w:p>
    <w:p>
      <w:pPr>
        <w:spacing w:before="80" w:after="80"/>
      </w:pPr>
      <w:r>
        <w:rPr>
          <w:rFonts w:ascii="Times New Roman" w:hAnsi="Times New Roman"/>
          <w:b w:val="0"/>
          <w:i/>
          <w:sz w:val="21"/>
        </w:rPr>
        <w:t xml:space="preserve">    t_HAC = IC̄ / √( V̂HAC / N )</w:t>
      </w:r>
      <w:r>
        <w:rPr>
          <w:rFonts w:ascii="Times New Roman" w:hAnsi="Times New Roman"/>
          <w:b w:val="0"/>
          <w:i w:val="0"/>
          <w:sz w:val="20"/>
        </w:rPr>
        <w:t xml:space="preserve">    (3)</w:t>
      </w:r>
    </w:p>
    <w:p>
      <w:pPr>
        <w:spacing w:before="0" w:after="160" w:line="360" w:lineRule="auto"/>
        <w:ind w:firstLine="0"/>
      </w:pPr>
      <w:r>
        <w:rPr>
          <w:rFonts w:ascii="Times New Roman" w:hAnsi="Times New Roman"/>
          <w:b w:val="0"/>
          <w:i w:val="0"/>
          <w:sz w:val="22"/>
        </w:rPr>
        <w:t>The gate opens if and only if t_HAC &gt; 1.645 (one-tailed, α = 0.05) and the mean IC is positive. A complementary permutation test shuffles the signal labels 1,000 times and requires the observed IC to exceed the 95th percentile of the null distribution. In practice, both tests must pass. The gate never opened during any of the 12 test folds.</w:t>
      </w:r>
    </w:p>
    <w:p>
      <w:pPr>
        <w:keepNext/>
        <w:spacing w:before="280" w:after="80"/>
      </w:pPr>
      <w:r>
        <w:rPr>
          <w:rFonts w:ascii="Times New Roman" w:hAnsi="Times New Roman"/>
          <w:b/>
          <w:i w:val="0"/>
          <w:color w:val="2A9D8F"/>
          <w:sz w:val="23"/>
        </w:rPr>
        <w:t>4.5 Backtesting and Transaction Costs</w:t>
      </w:r>
    </w:p>
    <w:p>
      <w:pPr>
        <w:spacing w:before="0" w:after="160" w:line="360" w:lineRule="auto"/>
        <w:ind w:firstLine="0"/>
      </w:pPr>
      <w:r>
        <w:rPr>
          <w:rFonts w:ascii="Times New Roman" w:hAnsi="Times New Roman"/>
          <w:b w:val="0"/>
          <w:i w:val="0"/>
          <w:sz w:val="22"/>
        </w:rPr>
        <w:t>Each trading day the gate is open, the strategy takes the K stocks with the highest conviction scores as equal-weight long-only positions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pPr>
        <w:keepNext/>
        <w:spacing w:before="280" w:after="80"/>
      </w:pPr>
      <w:r>
        <w:rPr>
          <w:rFonts w:ascii="Times New Roman" w:hAnsi="Times New Roman"/>
          <w:b/>
          <w:i w:val="0"/>
          <w:color w:val="264653"/>
          <w:sz w:val="26"/>
        </w:rPr>
        <w:t>5. Results</w:t>
      </w:r>
    </w:p>
    <w:p>
      <w:pPr>
        <w:keepNext/>
        <w:spacing w:before="280" w:after="80"/>
      </w:pPr>
      <w:r>
        <w:rPr>
          <w:rFonts w:ascii="Times New Roman" w:hAnsi="Times New Roman"/>
          <w:b/>
          <w:i w:val="0"/>
          <w:color w:val="2A9D8F"/>
          <w:sz w:val="23"/>
        </w:rPr>
        <w:t>5.1 IC Signal: Gate Stays Closed</w:t>
      </w:r>
    </w:p>
    <w:p>
      <w:pPr>
        <w:spacing w:before="0" w:after="120" w:line="360" w:lineRule="auto"/>
        <w:ind w:firstLine="0"/>
      </w:pPr>
      <w:r>
        <w:rPr>
          <w:rFonts w:ascii="Times New Roman" w:hAnsi="Times New Roman"/>
          <w:b w:val="0"/>
          <w:i w:val="0"/>
          <w:sz w:val="22"/>
        </w:rPr>
        <w:t>Across all 1,512 out-of-sample trading days, the IC gate never opens. The aggregate IC statistics paint a clear picture of absent cross-sectional signal: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51"/>
            <w:shd w:val="clear" w:color="auto" w:fill="264653"/>
          </w:tcPr>
          <w:p>
            <w:r/>
            <w:r>
              <w:rPr>
                <w:rFonts w:ascii="Times New Roman" w:hAnsi="Times New Roman"/>
                <w:b/>
                <w:i w:val="0"/>
                <w:color w:val="FFFFFF"/>
                <w:sz w:val="19"/>
              </w:rPr>
              <w:t>Statistic</w:t>
            </w:r>
          </w:p>
        </w:tc>
        <w:tc>
          <w:tcPr>
            <w:tcW w:type="dxa" w:w="1701"/>
            <w:shd w:val="clear" w:color="auto" w:fill="264653"/>
          </w:tcPr>
          <w:p>
            <w:r/>
            <w:r>
              <w:rPr>
                <w:rFonts w:ascii="Times New Roman" w:hAnsi="Times New Roman"/>
                <w:b/>
                <w:i w:val="0"/>
                <w:color w:val="FFFFFF"/>
                <w:sz w:val="19"/>
              </w:rPr>
              <w:t>Value</w:t>
            </w:r>
          </w:p>
        </w:tc>
        <w:tc>
          <w:tcPr>
            <w:tcW w:type="dxa" w:w="2551"/>
            <w:shd w:val="clear" w:color="auto" w:fill="264653"/>
          </w:tcPr>
          <w:p>
            <w:r/>
            <w:r>
              <w:rPr>
                <w:rFonts w:ascii="Times New Roman" w:hAnsi="Times New Roman"/>
                <w:b/>
                <w:i w:val="0"/>
                <w:color w:val="FFFFFF"/>
                <w:sz w:val="19"/>
              </w:rPr>
              <w:t>Threshold</w:t>
            </w:r>
          </w:p>
        </w:tc>
        <w:tc>
          <w:tcPr>
            <w:tcW w:type="dxa" w:w="1984"/>
            <w:shd w:val="clear" w:color="auto" w:fill="264653"/>
          </w:tcPr>
          <w:p>
            <w:r/>
            <w:r>
              <w:rPr>
                <w:rFonts w:ascii="Times New Roman" w:hAnsi="Times New Roman"/>
                <w:b/>
                <w:i w:val="0"/>
                <w:color w:val="FFFFFF"/>
                <w:sz w:val="19"/>
              </w:rPr>
              <w:t>Decision</w:t>
            </w:r>
          </w:p>
        </w:tc>
      </w:tr>
      <w:tr>
        <w:tc>
          <w:tcPr>
            <w:tcW w:type="dxa" w:w="2551"/>
            <w:shd w:val="clear" w:color="auto" w:fill="E8F4F8"/>
          </w:tcPr>
          <w:p>
            <w:pPr>
              <w:jc w:val="left"/>
            </w:pPr>
            <w:r/>
            <w:r>
              <w:rPr>
                <w:rFonts w:ascii="Times New Roman" w:hAnsi="Times New Roman"/>
                <w:b w:val="0"/>
                <w:i w:val="0"/>
                <w:sz w:val="19"/>
              </w:rPr>
              <w:t>Mean IC</w:t>
            </w:r>
          </w:p>
        </w:tc>
        <w:tc>
          <w:tcPr>
            <w:tcW w:type="dxa" w:w="1701"/>
            <w:shd w:val="clear" w:color="auto" w:fill="E8F4F8"/>
          </w:tcPr>
          <w:p>
            <w:pPr>
              <w:jc w:val="center"/>
            </w:pPr>
            <w:r/>
            <w:r>
              <w:rPr>
                <w:rFonts w:ascii="Times New Roman" w:hAnsi="Times New Roman"/>
                <w:b w:val="0"/>
                <w:i w:val="0"/>
                <w:sz w:val="19"/>
              </w:rPr>
              <w:t>−0.0005</w:t>
            </w:r>
          </w:p>
        </w:tc>
        <w:tc>
          <w:tcPr>
            <w:tcW w:type="dxa" w:w="2551"/>
            <w:shd w:val="clear" w:color="auto" w:fill="E8F4F8"/>
          </w:tcPr>
          <w:p>
            <w:pPr>
              <w:jc w:val="center"/>
            </w:pPr>
            <w:r/>
            <w:r>
              <w:rPr>
                <w:rFonts w:ascii="Times New Roman" w:hAnsi="Times New Roman"/>
                <w:b w:val="0"/>
                <w:i w:val="0"/>
                <w:sz w:val="19"/>
              </w:rPr>
              <w:t>&gt; 0</w:t>
            </w:r>
          </w:p>
        </w:tc>
        <w:tc>
          <w:tcPr>
            <w:tcW w:type="dxa" w:w="1984"/>
            <w:shd w:val="clear" w:color="auto" w:fill="E8F4F8"/>
          </w:tcPr>
          <w:p>
            <w:pPr>
              <w:jc w:val="center"/>
            </w:pPr>
            <w:r/>
            <w:r>
              <w:rPr>
                <w:rFonts w:ascii="Times New Roman" w:hAnsi="Times New Roman"/>
                <w:b w:val="0"/>
                <w:i w:val="0"/>
                <w:sz w:val="19"/>
              </w:rPr>
              <w:t>Negative</w:t>
            </w:r>
          </w:p>
        </w:tc>
      </w:tr>
      <w:tr>
        <w:tc>
          <w:tcPr>
            <w:tcW w:type="dxa" w:w="2551"/>
          </w:tcPr>
          <w:p>
            <w:pPr>
              <w:jc w:val="left"/>
            </w:pPr>
            <w:r/>
            <w:r>
              <w:rPr>
                <w:rFonts w:ascii="Times New Roman" w:hAnsi="Times New Roman"/>
                <w:b w:val="0"/>
                <w:i w:val="0"/>
                <w:sz w:val="19"/>
              </w:rPr>
              <w:t>IC Std Dev</w:t>
            </w:r>
          </w:p>
        </w:tc>
        <w:tc>
          <w:tcPr>
            <w:tcW w:type="dxa" w:w="1701"/>
          </w:tcPr>
          <w:p>
            <w:pPr>
              <w:jc w:val="center"/>
            </w:pPr>
            <w:r/>
            <w:r>
              <w:rPr>
                <w:rFonts w:ascii="Times New Roman" w:hAnsi="Times New Roman"/>
                <w:b w:val="0"/>
                <w:i w:val="0"/>
                <w:sz w:val="19"/>
              </w:rPr>
              <w:t>0.2204</w:t>
            </w:r>
          </w:p>
        </w:tc>
        <w:tc>
          <w:tcPr>
            <w:tcW w:type="dxa" w:w="2551"/>
          </w:tcPr>
          <w:p>
            <w:pPr>
              <w:jc w:val="center"/>
            </w:pPr>
            <w:r/>
            <w:r>
              <w:rPr>
                <w:rFonts w:ascii="Times New Roman" w:hAnsi="Times New Roman"/>
                <w:b w:val="0"/>
                <w:i w:val="0"/>
                <w:sz w:val="19"/>
              </w:rPr>
              <w:t>—</w:t>
            </w:r>
          </w:p>
        </w:tc>
        <w:tc>
          <w:tcPr>
            <w:tcW w:type="dxa" w:w="1984"/>
          </w:tcPr>
          <w:p>
            <w:pPr>
              <w:jc w:val="center"/>
            </w:pPr>
            <w:r/>
            <w:r>
              <w:rPr>
                <w:rFonts w:ascii="Times New Roman" w:hAnsi="Times New Roman"/>
                <w:b w:val="0"/>
                <w:i w:val="0"/>
                <w:sz w:val="19"/>
              </w:rPr>
              <w:t>—</w:t>
            </w:r>
          </w:p>
        </w:tc>
      </w:tr>
      <w:tr>
        <w:tc>
          <w:tcPr>
            <w:tcW w:type="dxa" w:w="2551"/>
            <w:shd w:val="clear" w:color="auto" w:fill="E8F4F8"/>
          </w:tcPr>
          <w:p>
            <w:pPr>
              <w:jc w:val="left"/>
            </w:pPr>
            <w:r/>
            <w:r>
              <w:rPr>
                <w:rFonts w:ascii="Times New Roman" w:hAnsi="Times New Roman"/>
                <w:b w:val="0"/>
                <w:i w:val="0"/>
                <w:sz w:val="19"/>
              </w:rPr>
              <w:t>ICIR</w:t>
            </w:r>
          </w:p>
        </w:tc>
        <w:tc>
          <w:tcPr>
            <w:tcW w:type="dxa" w:w="1701"/>
            <w:shd w:val="clear" w:color="auto" w:fill="E8F4F8"/>
          </w:tcPr>
          <w:p>
            <w:pPr>
              <w:jc w:val="center"/>
            </w:pPr>
            <w:r/>
            <w:r>
              <w:rPr>
                <w:rFonts w:ascii="Times New Roman" w:hAnsi="Times New Roman"/>
                <w:b w:val="0"/>
                <w:i w:val="0"/>
                <w:sz w:val="19"/>
              </w:rPr>
              <w:t>−0.0023</w:t>
            </w:r>
          </w:p>
        </w:tc>
        <w:tc>
          <w:tcPr>
            <w:tcW w:type="dxa" w:w="2551"/>
            <w:shd w:val="clear" w:color="auto" w:fill="E8F4F8"/>
          </w:tcPr>
          <w:p>
            <w:pPr>
              <w:jc w:val="center"/>
            </w:pPr>
            <w:r/>
            <w:r>
              <w:rPr>
                <w:rFonts w:ascii="Times New Roman" w:hAnsi="Times New Roman"/>
                <w:b w:val="0"/>
                <w:i w:val="0"/>
                <w:sz w:val="19"/>
              </w:rPr>
              <w:t>&gt; 0.5 (practice)</w:t>
            </w:r>
          </w:p>
        </w:tc>
        <w:tc>
          <w:tcPr>
            <w:tcW w:type="dxa" w:w="1984"/>
            <w:shd w:val="clear" w:color="auto" w:fill="E8F4F8"/>
          </w:tcPr>
          <w:p>
            <w:pPr>
              <w:jc w:val="center"/>
            </w:pPr>
            <w:r/>
            <w:r>
              <w:rPr>
                <w:rFonts w:ascii="Times New Roman" w:hAnsi="Times New Roman"/>
                <w:b w:val="0"/>
                <w:i w:val="0"/>
                <w:sz w:val="19"/>
              </w:rPr>
              <w:t>Near zero</w:t>
            </w:r>
          </w:p>
        </w:tc>
      </w:tr>
      <w:tr>
        <w:tc>
          <w:tcPr>
            <w:tcW w:type="dxa" w:w="2551"/>
          </w:tcPr>
          <w:p>
            <w:pPr>
              <w:jc w:val="left"/>
            </w:pPr>
            <w:r/>
            <w:r>
              <w:rPr>
                <w:rFonts w:ascii="Times New Roman" w:hAnsi="Times New Roman"/>
                <w:b w:val="0"/>
                <w:i w:val="0"/>
                <w:sz w:val="19"/>
              </w:rPr>
              <w:t>HAC t-statistic</w:t>
            </w:r>
          </w:p>
        </w:tc>
        <w:tc>
          <w:tcPr>
            <w:tcW w:type="dxa" w:w="1701"/>
          </w:tcPr>
          <w:p>
            <w:pPr>
              <w:jc w:val="center"/>
            </w:pPr>
            <w:r/>
            <w:r>
              <w:rPr>
                <w:rFonts w:ascii="Times New Roman" w:hAnsi="Times New Roman"/>
                <w:b w:val="0"/>
                <w:i w:val="0"/>
                <w:sz w:val="19"/>
              </w:rPr>
              <w:t>−0.090</w:t>
            </w:r>
          </w:p>
        </w:tc>
        <w:tc>
          <w:tcPr>
            <w:tcW w:type="dxa" w:w="2551"/>
          </w:tcPr>
          <w:p>
            <w:pPr>
              <w:jc w:val="center"/>
            </w:pPr>
            <w:r/>
            <w:r>
              <w:rPr>
                <w:rFonts w:ascii="Times New Roman" w:hAnsi="Times New Roman"/>
                <w:b w:val="0"/>
                <w:i w:val="0"/>
                <w:sz w:val="19"/>
              </w:rPr>
              <w:t>&gt; 1.645</w:t>
            </w:r>
          </w:p>
        </w:tc>
        <w:tc>
          <w:tcPr>
            <w:tcW w:type="dxa" w:w="1984"/>
          </w:tcPr>
          <w:p>
            <w:pPr>
              <w:jc w:val="center"/>
            </w:pPr>
            <w:r/>
            <w:r>
              <w:rPr>
                <w:rFonts w:ascii="Times New Roman" w:hAnsi="Times New Roman"/>
                <w:b w:val="0"/>
                <w:i w:val="0"/>
                <w:sz w:val="19"/>
              </w:rPr>
              <w:t>Not significant</w:t>
            </w:r>
          </w:p>
        </w:tc>
      </w:tr>
      <w:tr>
        <w:tc>
          <w:tcPr>
            <w:tcW w:type="dxa" w:w="2551"/>
            <w:shd w:val="clear" w:color="auto" w:fill="E8F4F8"/>
          </w:tcPr>
          <w:p>
            <w:pPr>
              <w:jc w:val="left"/>
            </w:pPr>
            <w:r/>
            <w:r>
              <w:rPr>
                <w:rFonts w:ascii="Times New Roman" w:hAnsi="Times New Roman"/>
                <w:b w:val="0"/>
                <w:i w:val="0"/>
                <w:sz w:val="19"/>
              </w:rPr>
              <w:t>p-value (HAC)</w:t>
            </w:r>
          </w:p>
        </w:tc>
        <w:tc>
          <w:tcPr>
            <w:tcW w:type="dxa" w:w="1701"/>
            <w:shd w:val="clear" w:color="auto" w:fill="E8F4F8"/>
          </w:tcPr>
          <w:p>
            <w:pPr>
              <w:jc w:val="center"/>
            </w:pPr>
            <w:r/>
            <w:r>
              <w:rPr>
                <w:rFonts w:ascii="Times New Roman" w:hAnsi="Times New Roman"/>
                <w:b w:val="0"/>
                <w:i w:val="0"/>
                <w:sz w:val="19"/>
              </w:rPr>
              <w:t>0.464</w:t>
            </w:r>
          </w:p>
        </w:tc>
        <w:tc>
          <w:tcPr>
            <w:tcW w:type="dxa" w:w="2551"/>
            <w:shd w:val="clear" w:color="auto" w:fill="E8F4F8"/>
          </w:tcPr>
          <w:p>
            <w:pPr>
              <w:jc w:val="center"/>
            </w:pPr>
            <w:r/>
            <w:r>
              <w:rPr>
                <w:rFonts w:ascii="Times New Roman" w:hAnsi="Times New Roman"/>
                <w:b w:val="0"/>
                <w:i w:val="0"/>
                <w:sz w:val="19"/>
              </w:rPr>
              <w:t>&lt; 0.05</w:t>
            </w:r>
          </w:p>
        </w:tc>
        <w:tc>
          <w:tcPr>
            <w:tcW w:type="dxa" w:w="1984"/>
            <w:shd w:val="clear" w:color="auto" w:fill="E8F4F8"/>
          </w:tcPr>
          <w:p>
            <w:pPr>
              <w:jc w:val="center"/>
            </w:pPr>
            <w:r/>
            <w:r>
              <w:rPr>
                <w:rFonts w:ascii="Times New Roman" w:hAnsi="Times New Roman"/>
                <w:b w:val="0"/>
                <w:i w:val="0"/>
                <w:sz w:val="19"/>
              </w:rPr>
              <w:t>Gate CLOSED</w:t>
            </w:r>
          </w:p>
        </w:tc>
      </w:tr>
      <w:tr>
        <w:tc>
          <w:tcPr>
            <w:tcW w:type="dxa" w:w="2551"/>
          </w:tcPr>
          <w:p>
            <w:pPr>
              <w:jc w:val="left"/>
            </w:pPr>
            <w:r/>
            <w:r>
              <w:rPr>
                <w:rFonts w:ascii="Times New Roman" w:hAnsi="Times New Roman"/>
                <w:b w:val="0"/>
                <w:i w:val="0"/>
                <w:sz w:val="19"/>
              </w:rPr>
              <w:t>Permutation p</w:t>
            </w:r>
          </w:p>
        </w:tc>
        <w:tc>
          <w:tcPr>
            <w:tcW w:type="dxa" w:w="1701"/>
          </w:tcPr>
          <w:p>
            <w:pPr>
              <w:jc w:val="center"/>
            </w:pPr>
            <w:r/>
            <w:r>
              <w:rPr>
                <w:rFonts w:ascii="Times New Roman" w:hAnsi="Times New Roman"/>
                <w:b w:val="0"/>
                <w:i w:val="0"/>
                <w:sz w:val="19"/>
              </w:rPr>
              <w:t>0.742</w:t>
            </w:r>
          </w:p>
        </w:tc>
        <w:tc>
          <w:tcPr>
            <w:tcW w:type="dxa" w:w="2551"/>
          </w:tcPr>
          <w:p>
            <w:pPr>
              <w:jc w:val="center"/>
            </w:pPr>
            <w:r/>
            <w:r>
              <w:rPr>
                <w:rFonts w:ascii="Times New Roman" w:hAnsi="Times New Roman"/>
                <w:b w:val="0"/>
                <w:i w:val="0"/>
                <w:sz w:val="19"/>
              </w:rPr>
              <w:t>&lt; 0.05</w:t>
            </w:r>
          </w:p>
        </w:tc>
        <w:tc>
          <w:tcPr>
            <w:tcW w:type="dxa" w:w="1984"/>
          </w:tcPr>
          <w:p>
            <w:pPr>
              <w:jc w:val="center"/>
            </w:pPr>
            <w:r/>
            <w:r>
              <w:rPr>
                <w:rFonts w:ascii="Times New Roman" w:hAnsi="Times New Roman"/>
                <w:b w:val="0"/>
                <w:i w:val="0"/>
                <w:sz w:val="19"/>
              </w:rPr>
              <w:t>Gate CLOSED</w:t>
            </w:r>
          </w:p>
        </w:tc>
      </w:tr>
      <w:tr>
        <w:tc>
          <w:tcPr>
            <w:tcW w:type="dxa" w:w="2551"/>
            <w:shd w:val="clear" w:color="auto" w:fill="E8F4F8"/>
          </w:tcPr>
          <w:p>
            <w:pPr>
              <w:jc w:val="left"/>
            </w:pPr>
            <w:r/>
            <w:r>
              <w:rPr>
                <w:rFonts w:ascii="Times New Roman" w:hAnsi="Times New Roman"/>
                <w:b w:val="0"/>
                <w:i w:val="0"/>
                <w:sz w:val="19"/>
              </w:rPr>
              <w:t>Gate-open folds</w:t>
            </w:r>
          </w:p>
        </w:tc>
        <w:tc>
          <w:tcPr>
            <w:tcW w:type="dxa" w:w="1701"/>
            <w:shd w:val="clear" w:color="auto" w:fill="E8F4F8"/>
          </w:tcPr>
          <w:p>
            <w:pPr>
              <w:jc w:val="center"/>
            </w:pPr>
            <w:r/>
            <w:r>
              <w:rPr>
                <w:rFonts w:ascii="Times New Roman" w:hAnsi="Times New Roman"/>
                <w:b w:val="0"/>
                <w:i w:val="0"/>
                <w:sz w:val="19"/>
              </w:rPr>
              <w:t>0 of 12</w:t>
            </w:r>
          </w:p>
        </w:tc>
        <w:tc>
          <w:tcPr>
            <w:tcW w:type="dxa" w:w="2551"/>
            <w:shd w:val="clear" w:color="auto" w:fill="E8F4F8"/>
          </w:tcPr>
          <w:p>
            <w:pPr>
              <w:jc w:val="center"/>
            </w:pPr>
            <w:r/>
            <w:r>
              <w:rPr>
                <w:rFonts w:ascii="Times New Roman" w:hAnsi="Times New Roman"/>
                <w:b w:val="0"/>
                <w:i w:val="0"/>
                <w:sz w:val="19"/>
              </w:rPr>
              <w:t>≥ 1</w:t>
            </w:r>
          </w:p>
        </w:tc>
        <w:tc>
          <w:tcPr>
            <w:tcW w:type="dxa" w:w="1984"/>
            <w:shd w:val="clear" w:color="auto" w:fill="E8F4F8"/>
          </w:tcPr>
          <w:p>
            <w:pPr>
              <w:jc w:val="center"/>
            </w:pPr>
            <w:r/>
            <w:r>
              <w:rPr>
                <w:rFonts w:ascii="Times New Roman" w:hAnsi="Times New Roman"/>
                <w:b w:val="0"/>
                <w:i w:val="0"/>
                <w:sz w:val="19"/>
              </w:rPr>
              <w:t>Never opened</w:t>
            </w:r>
          </w:p>
        </w:tc>
      </w:tr>
    </w:tbl>
    <w:p>
      <w:pPr>
        <w:spacing w:before="80" w:after="200"/>
        <w:jc w:val="center"/>
      </w:pPr>
      <w:r>
        <w:rPr>
          <w:rFonts w:ascii="Times New Roman" w:hAnsi="Times New Roman"/>
          <w:b/>
          <w:i w:val="0"/>
          <w:sz w:val="19"/>
        </w:rPr>
        <w:t>Table 4.</w:t>
      </w:r>
      <w:r>
        <w:rPr>
          <w:rFonts w:ascii="Times New Roman" w:hAnsi="Times New Roman"/>
          <w:b w:val="0"/>
          <w:i w:val="0"/>
          <w:sz w:val="19"/>
        </w:rPr>
        <w:t xml:space="preserve"> IC gate evaluation statistics across the full 1,512-day out-of-sample window.</w:t>
      </w:r>
    </w:p>
    <w:p>
      <w:pPr>
        <w:spacing w:before="0" w:after="160" w:line="360" w:lineRule="auto"/>
        <w:ind w:firstLine="0"/>
      </w:pPr>
      <w:r>
        <w:rPr>
          <w:rFonts w:ascii="Times New Roman" w:hAnsi="Times New Roman"/>
          <w:b w:val="0"/>
          <w:i w:val="0"/>
          <w:sz w:val="22"/>
        </w:rPr>
        <w:t>The mean IC of −0.0005 is economically and statistically negligible. The Newey-West corrected t-statistic of −0.090 has a one-tailed p-value of 0.464, far from the 0.05 threshold needed to open the gate. The IC Ratio of −0.0023 — mean IC divided by IC standard deviation — falls orders of magnitude below the 0.5 threshold practitioners typically require before deployment. No fold achieves even marginally significant positive IC.</w:t>
      </w:r>
    </w:p>
    <w:p>
      <w:pPr>
        <w:jc w:val="center"/>
      </w:pPr>
      <w:r>
        <w:drawing>
          <wp:inline xmlns:a="http://schemas.openxmlformats.org/drawingml/2006/main" xmlns:pic="http://schemas.openxmlformats.org/drawingml/2006/picture">
            <wp:extent cx="5303520" cy="2316686"/>
            <wp:docPr id="1" name="Picture 1"/>
            <wp:cNvGraphicFramePr>
              <a:graphicFrameLocks noChangeAspect="1"/>
            </wp:cNvGraphicFramePr>
            <a:graphic>
              <a:graphicData uri="http://schemas.openxmlformats.org/drawingml/2006/picture">
                <pic:pic>
                  <pic:nvPicPr>
                    <pic:cNvPr id="0" name="fig03_ic_bootstrap.png"/>
                    <pic:cNvPicPr/>
                  </pic:nvPicPr>
                  <pic:blipFill>
                    <a:blip r:embed="rId9"/>
                    <a:stretch>
                      <a:fillRect/>
                    </a:stretch>
                  </pic:blipFill>
                  <pic:spPr>
                    <a:xfrm>
                      <a:off x="0" y="0"/>
                      <a:ext cx="5303520" cy="2316686"/>
                    </a:xfrm>
                    <a:prstGeom prst="rect"/>
                  </pic:spPr>
                </pic:pic>
              </a:graphicData>
            </a:graphic>
          </wp:inline>
        </w:drawing>
      </w:r>
    </w:p>
    <w:p>
      <w:pPr>
        <w:spacing w:before="80" w:after="200"/>
        <w:jc w:val="center"/>
      </w:pPr>
      <w:r>
        <w:rPr>
          <w:rFonts w:ascii="Times New Roman" w:hAnsi="Times New Roman"/>
          <w:b/>
          <w:i w:val="0"/>
          <w:sz w:val="19"/>
        </w:rPr>
        <w:t>Figure 3.</w:t>
      </w:r>
      <w:r>
        <w:rPr>
          <w:rFonts w:ascii="Times New Roman" w:hAnsi="Times New Roman"/>
          <w:b w:val="0"/>
          <w:i w:val="0"/>
          <w:sz w:val="19"/>
        </w:rPr>
        <w:t>. Fold-level IC with 95% block bootstrap confidence intervals (block = 5 trading days, B = 2,000 resamples). All 12 confidence intervals span zero. IC values range from −0.025 to +0.023 with no consistent directional bias.</w:t>
      </w:r>
    </w:p>
    <w:p>
      <w:pPr>
        <w:keepNext/>
        <w:spacing w:before="280" w:after="80"/>
      </w:pPr>
      <w:r>
        <w:rPr>
          <w:rFonts w:ascii="Times New Roman" w:hAnsi="Times New Roman"/>
          <w:b/>
          <w:i w:val="0"/>
          <w:color w:val="2A9D8F"/>
          <w:sz w:val="23"/>
        </w:rPr>
        <w:t>5.2 Strategy Performance</w:t>
      </w:r>
    </w:p>
    <w:p>
      <w:pPr>
        <w:spacing w:before="0" w:after="160" w:line="360" w:lineRule="auto"/>
        <w:ind w:firstLine="0"/>
      </w:pPr>
      <w:r>
        <w:rPr>
          <w:rFonts w:ascii="Times New Roman" w:hAnsi="Times New Roman"/>
          <w:b w:val="0"/>
          <w:i w:val="0"/>
          <w:sz w:val="22"/>
        </w:rPr>
        <w:t>Table 5 reports full performance metrics for all strategies. The TopK1 strategy — the ensemble's highest-conviction single position each day — loses 5.9% annually with a Sharpe of −0.16 and a maximum drawdown of 67.0%. Random Top-1 performs comparably at −4.6% annual return and −0.12 Sharpe, confirming that the model's ranking adds nothing to random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835"/>
            <w:shd w:val="clear" w:color="auto" w:fill="264653"/>
          </w:tcPr>
          <w:p>
            <w:r/>
            <w:r>
              <w:rPr>
                <w:rFonts w:ascii="Times New Roman" w:hAnsi="Times New Roman"/>
                <w:b/>
                <w:i w:val="0"/>
                <w:color w:val="FFFFFF"/>
                <w:sz w:val="18"/>
              </w:rPr>
              <w:t>Strategy</w:t>
            </w:r>
          </w:p>
        </w:tc>
        <w:tc>
          <w:tcPr>
            <w:tcW w:type="dxa" w:w="1587"/>
            <w:shd w:val="clear" w:color="auto" w:fill="264653"/>
          </w:tcPr>
          <w:p>
            <w:r/>
            <w:r>
              <w:rPr>
                <w:rFonts w:ascii="Times New Roman" w:hAnsi="Times New Roman"/>
                <w:b/>
                <w:i w:val="0"/>
                <w:color w:val="FFFFFF"/>
                <w:sz w:val="18"/>
              </w:rPr>
              <w:t>Ann. Return</w:t>
            </w:r>
          </w:p>
        </w:tc>
        <w:tc>
          <w:tcPr>
            <w:tcW w:type="dxa" w:w="1134"/>
            <w:shd w:val="clear" w:color="auto" w:fill="264653"/>
          </w:tcPr>
          <w:p>
            <w:r/>
            <w:r>
              <w:rPr>
                <w:rFonts w:ascii="Times New Roman" w:hAnsi="Times New Roman"/>
                <w:b/>
                <w:i w:val="0"/>
                <w:color w:val="FFFFFF"/>
                <w:sz w:val="18"/>
              </w:rPr>
              <w:t>Sharpe</w:t>
            </w:r>
          </w:p>
        </w:tc>
        <w:tc>
          <w:tcPr>
            <w:tcW w:type="dxa" w:w="1134"/>
            <w:shd w:val="clear" w:color="auto" w:fill="264653"/>
          </w:tcPr>
          <w:p>
            <w:r/>
            <w:r>
              <w:rPr>
                <w:rFonts w:ascii="Times New Roman" w:hAnsi="Times New Roman"/>
                <w:b/>
                <w:i w:val="0"/>
                <w:color w:val="FFFFFF"/>
                <w:sz w:val="18"/>
              </w:rPr>
              <w:t>Sortino</w:t>
            </w:r>
          </w:p>
        </w:tc>
        <w:tc>
          <w:tcPr>
            <w:tcW w:type="dxa" w:w="1134"/>
            <w:shd w:val="clear" w:color="auto" w:fill="264653"/>
          </w:tcPr>
          <w:p>
            <w:r/>
            <w:r>
              <w:rPr>
                <w:rFonts w:ascii="Times New Roman" w:hAnsi="Times New Roman"/>
                <w:b/>
                <w:i w:val="0"/>
                <w:color w:val="FFFFFF"/>
                <w:sz w:val="18"/>
              </w:rPr>
              <w:t>Max DD</w:t>
            </w:r>
          </w:p>
        </w:tc>
        <w:tc>
          <w:tcPr>
            <w:tcW w:type="dxa" w:w="1247"/>
            <w:shd w:val="clear" w:color="auto" w:fill="264653"/>
          </w:tcPr>
          <w:p>
            <w:r/>
            <w:r>
              <w:rPr>
                <w:rFonts w:ascii="Times New Roman" w:hAnsi="Times New Roman"/>
                <w:b/>
                <w:i w:val="0"/>
                <w:color w:val="FFFFFF"/>
                <w:sz w:val="18"/>
              </w:rPr>
              <w:t># Trades</w:t>
            </w:r>
          </w:p>
        </w:tc>
      </w:tr>
      <w:tr>
        <w:tc>
          <w:tcPr>
            <w:tcW w:type="dxa" w:w="2835"/>
            <w:shd w:val="clear" w:color="auto" w:fill="E8F4F8"/>
          </w:tcPr>
          <w:p>
            <w:pPr>
              <w:jc w:val="left"/>
            </w:pPr>
            <w:r/>
            <w:r>
              <w:rPr>
                <w:rFonts w:ascii="Times New Roman" w:hAnsi="Times New Roman"/>
                <w:b w:val="0"/>
                <w:i w:val="0"/>
                <w:sz w:val="18"/>
              </w:rPr>
              <w:t>Equal-Weight (BM)</w:t>
            </w:r>
          </w:p>
        </w:tc>
        <w:tc>
          <w:tcPr>
            <w:tcW w:type="dxa" w:w="1587"/>
            <w:shd w:val="clear" w:color="auto" w:fill="E8F4F8"/>
          </w:tcPr>
          <w:p>
            <w:pPr>
              <w:jc w:val="center"/>
            </w:pPr>
            <w:r/>
            <w:r>
              <w:rPr>
                <w:rFonts w:ascii="Times New Roman" w:hAnsi="Times New Roman"/>
                <w:b w:val="0"/>
                <w:i w:val="0"/>
                <w:sz w:val="18"/>
              </w:rPr>
              <w:t>+25.0%</w:t>
            </w:r>
          </w:p>
        </w:tc>
        <w:tc>
          <w:tcPr>
            <w:tcW w:type="dxa" w:w="1134"/>
            <w:shd w:val="clear" w:color="auto" w:fill="E8F4F8"/>
          </w:tcPr>
          <w:p>
            <w:pPr>
              <w:jc w:val="center"/>
            </w:pPr>
            <w:r/>
            <w:r>
              <w:rPr>
                <w:rFonts w:ascii="Times New Roman" w:hAnsi="Times New Roman"/>
                <w:b w:val="0"/>
                <w:i w:val="0"/>
                <w:sz w:val="18"/>
              </w:rPr>
              <w:t>0.96</w:t>
            </w:r>
          </w:p>
        </w:tc>
        <w:tc>
          <w:tcPr>
            <w:tcW w:type="dxa" w:w="1134"/>
            <w:shd w:val="clear" w:color="auto" w:fill="E8F4F8"/>
          </w:tcPr>
          <w:p>
            <w:pPr>
              <w:jc w:val="center"/>
            </w:pPr>
            <w:r/>
            <w:r>
              <w:rPr>
                <w:rFonts w:ascii="Times New Roman" w:hAnsi="Times New Roman"/>
                <w:b w:val="0"/>
                <w:i w:val="0"/>
                <w:sz w:val="18"/>
              </w:rPr>
              <w:t>1.28</w:t>
            </w:r>
          </w:p>
        </w:tc>
        <w:tc>
          <w:tcPr>
            <w:tcW w:type="dxa" w:w="1134"/>
            <w:shd w:val="clear" w:color="auto" w:fill="E8F4F8"/>
          </w:tcPr>
          <w:p>
            <w:pPr>
              <w:jc w:val="center"/>
            </w:pPr>
            <w:r/>
            <w:r>
              <w:rPr>
                <w:rFonts w:ascii="Times New Roman" w:hAnsi="Times New Roman"/>
                <w:b w:val="0"/>
                <w:i w:val="0"/>
                <w:sz w:val="18"/>
              </w:rPr>
              <w:t>−32.4%</w:t>
            </w:r>
          </w:p>
        </w:tc>
        <w:tc>
          <w:tcPr>
            <w:tcW w:type="dxa" w:w="1247"/>
            <w:shd w:val="clear" w:color="auto" w:fill="E8F4F8"/>
          </w:tcPr>
          <w:p>
            <w:pPr>
              <w:jc w:val="center"/>
            </w:pPr>
            <w:r/>
            <w:r>
              <w:rPr>
                <w:rFonts w:ascii="Times New Roman" w:hAnsi="Times New Roman"/>
                <w:b w:val="0"/>
                <w:i w:val="0"/>
                <w:sz w:val="18"/>
              </w:rPr>
              <w:t>1</w:t>
            </w:r>
          </w:p>
        </w:tc>
      </w:tr>
      <w:tr>
        <w:tc>
          <w:tcPr>
            <w:tcW w:type="dxa" w:w="2835"/>
          </w:tcPr>
          <w:p>
            <w:pPr>
              <w:jc w:val="left"/>
            </w:pPr>
            <w:r/>
            <w:r>
              <w:rPr>
                <w:rFonts w:ascii="Times New Roman" w:hAnsi="Times New Roman"/>
                <w:b w:val="0"/>
                <w:i w:val="0"/>
                <w:sz w:val="18"/>
              </w:rPr>
              <w:t>SPY Buy &amp; Hold</w:t>
            </w:r>
          </w:p>
        </w:tc>
        <w:tc>
          <w:tcPr>
            <w:tcW w:type="dxa" w:w="1587"/>
          </w:tcPr>
          <w:p>
            <w:pPr>
              <w:jc w:val="center"/>
            </w:pPr>
            <w:r/>
            <w:r>
              <w:rPr>
                <w:rFonts w:ascii="Times New Roman" w:hAnsi="Times New Roman"/>
                <w:b w:val="0"/>
                <w:i w:val="0"/>
                <w:sz w:val="18"/>
              </w:rPr>
              <w:t>+14.9%</w:t>
            </w:r>
          </w:p>
        </w:tc>
        <w:tc>
          <w:tcPr>
            <w:tcW w:type="dxa" w:w="1134"/>
          </w:tcPr>
          <w:p>
            <w:pPr>
              <w:jc w:val="center"/>
            </w:pPr>
            <w:r/>
            <w:r>
              <w:rPr>
                <w:rFonts w:ascii="Times New Roman" w:hAnsi="Times New Roman"/>
                <w:b w:val="0"/>
                <w:i w:val="0"/>
                <w:sz w:val="18"/>
              </w:rPr>
              <w:t>0.74</w:t>
            </w:r>
          </w:p>
        </w:tc>
        <w:tc>
          <w:tcPr>
            <w:tcW w:type="dxa" w:w="1134"/>
          </w:tcPr>
          <w:p>
            <w:pPr>
              <w:jc w:val="center"/>
            </w:pPr>
            <w:r/>
            <w:r>
              <w:rPr>
                <w:rFonts w:ascii="Times New Roman" w:hAnsi="Times New Roman"/>
                <w:b w:val="0"/>
                <w:i w:val="0"/>
                <w:sz w:val="18"/>
              </w:rPr>
              <w:t>0.91</w:t>
            </w:r>
          </w:p>
        </w:tc>
        <w:tc>
          <w:tcPr>
            <w:tcW w:type="dxa" w:w="1134"/>
          </w:tcPr>
          <w:p>
            <w:pPr>
              <w:jc w:val="center"/>
            </w:pPr>
            <w:r/>
            <w:r>
              <w:rPr>
                <w:rFonts w:ascii="Times New Roman" w:hAnsi="Times New Roman"/>
                <w:b w:val="0"/>
                <w:i w:val="0"/>
                <w:sz w:val="18"/>
              </w:rPr>
              <w:t>−33.7%</w:t>
            </w:r>
          </w:p>
        </w:tc>
        <w:tc>
          <w:tcPr>
            <w:tcW w:type="dxa" w:w="1247"/>
          </w:tcPr>
          <w:p>
            <w:pPr>
              <w:jc w:val="center"/>
            </w:pPr>
            <w:r/>
            <w:r>
              <w:rPr>
                <w:rFonts w:ascii="Times New Roman" w:hAnsi="Times New Roman"/>
                <w:b w:val="0"/>
                <w:i w:val="0"/>
                <w:sz w:val="18"/>
              </w:rPr>
              <w:t>0</w:t>
            </w:r>
          </w:p>
        </w:tc>
      </w:tr>
      <w:tr>
        <w:tc>
          <w:tcPr>
            <w:tcW w:type="dxa" w:w="2835"/>
            <w:shd w:val="clear" w:color="auto" w:fill="E8F4F8"/>
          </w:tcPr>
          <w:p>
            <w:pPr>
              <w:jc w:val="left"/>
            </w:pPr>
            <w:r/>
            <w:r>
              <w:rPr>
                <w:rFonts w:ascii="Times New Roman" w:hAnsi="Times New Roman"/>
                <w:b w:val="0"/>
                <w:i w:val="0"/>
                <w:sz w:val="18"/>
              </w:rPr>
              <w:t>Momentum Top-1</w:t>
            </w:r>
          </w:p>
        </w:tc>
        <w:tc>
          <w:tcPr>
            <w:tcW w:type="dxa" w:w="1587"/>
            <w:shd w:val="clear" w:color="auto" w:fill="E8F4F8"/>
          </w:tcPr>
          <w:p>
            <w:pPr>
              <w:jc w:val="center"/>
            </w:pPr>
            <w:r/>
            <w:r>
              <w:rPr>
                <w:rFonts w:ascii="Times New Roman" w:hAnsi="Times New Roman"/>
                <w:b w:val="0"/>
                <w:i w:val="0"/>
                <w:sz w:val="18"/>
              </w:rPr>
              <w:t>+26.4%</w:t>
            </w:r>
          </w:p>
        </w:tc>
        <w:tc>
          <w:tcPr>
            <w:tcW w:type="dxa" w:w="1134"/>
            <w:shd w:val="clear" w:color="auto" w:fill="E8F4F8"/>
          </w:tcPr>
          <w:p>
            <w:pPr>
              <w:jc w:val="center"/>
            </w:pPr>
            <w:r/>
            <w:r>
              <w:rPr>
                <w:rFonts w:ascii="Times New Roman" w:hAnsi="Times New Roman"/>
                <w:b w:val="0"/>
                <w:i w:val="0"/>
                <w:sz w:val="18"/>
              </w:rPr>
              <w:t>0.57</w:t>
            </w:r>
          </w:p>
        </w:tc>
        <w:tc>
          <w:tcPr>
            <w:tcW w:type="dxa" w:w="1134"/>
            <w:shd w:val="clear" w:color="auto" w:fill="E8F4F8"/>
          </w:tcPr>
          <w:p>
            <w:pPr>
              <w:jc w:val="center"/>
            </w:pPr>
            <w:r/>
            <w:r>
              <w:rPr>
                <w:rFonts w:ascii="Times New Roman" w:hAnsi="Times New Roman"/>
                <w:b w:val="0"/>
                <w:i w:val="0"/>
                <w:sz w:val="18"/>
              </w:rPr>
              <w:t>0.79</w:t>
            </w:r>
          </w:p>
        </w:tc>
        <w:tc>
          <w:tcPr>
            <w:tcW w:type="dxa" w:w="1134"/>
            <w:shd w:val="clear" w:color="auto" w:fill="E8F4F8"/>
          </w:tcPr>
          <w:p>
            <w:pPr>
              <w:jc w:val="center"/>
            </w:pPr>
            <w:r/>
            <w:r>
              <w:rPr>
                <w:rFonts w:ascii="Times New Roman" w:hAnsi="Times New Roman"/>
                <w:b w:val="0"/>
                <w:i w:val="0"/>
                <w:sz w:val="18"/>
              </w:rPr>
              <w:t>−62.7%</w:t>
            </w:r>
          </w:p>
        </w:tc>
        <w:tc>
          <w:tcPr>
            <w:tcW w:type="dxa" w:w="1247"/>
            <w:shd w:val="clear" w:color="auto" w:fill="E8F4F8"/>
          </w:tcPr>
          <w:p>
            <w:pPr>
              <w:jc w:val="center"/>
            </w:pPr>
            <w:r/>
            <w:r>
              <w:rPr>
                <w:rFonts w:ascii="Times New Roman" w:hAnsi="Times New Roman"/>
                <w:b w:val="0"/>
                <w:i w:val="0"/>
                <w:sz w:val="18"/>
              </w:rPr>
              <w:t>407</w:t>
            </w:r>
          </w:p>
        </w:tc>
      </w:tr>
      <w:tr>
        <w:tc>
          <w:tcPr>
            <w:tcW w:type="dxa" w:w="2835"/>
          </w:tcPr>
          <w:p>
            <w:pPr>
              <w:jc w:val="left"/>
            </w:pPr>
            <w:r/>
            <w:r>
              <w:rPr>
                <w:rFonts w:ascii="Times New Roman" w:hAnsi="Times New Roman"/>
                <w:b w:val="0"/>
                <w:i w:val="0"/>
                <w:sz w:val="18"/>
              </w:rPr>
              <w:t>TopK3</w:t>
            </w:r>
          </w:p>
        </w:tc>
        <w:tc>
          <w:tcPr>
            <w:tcW w:type="dxa" w:w="1587"/>
          </w:tcPr>
          <w:p>
            <w:pPr>
              <w:jc w:val="center"/>
            </w:pPr>
            <w:r/>
            <w:r>
              <w:rPr>
                <w:rFonts w:ascii="Times New Roman" w:hAnsi="Times New Roman"/>
                <w:b w:val="0"/>
                <w:i w:val="0"/>
                <w:sz w:val="18"/>
              </w:rPr>
              <w:t>+3.5%</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0.16</w:t>
            </w:r>
          </w:p>
        </w:tc>
        <w:tc>
          <w:tcPr>
            <w:tcW w:type="dxa" w:w="1134"/>
          </w:tcPr>
          <w:p>
            <w:pPr>
              <w:jc w:val="center"/>
            </w:pPr>
            <w:r/>
            <w:r>
              <w:rPr>
                <w:rFonts w:ascii="Times New Roman" w:hAnsi="Times New Roman"/>
                <w:b w:val="0"/>
                <w:i w:val="0"/>
                <w:sz w:val="18"/>
              </w:rPr>
              <w:t>−38.2%</w:t>
            </w:r>
          </w:p>
        </w:tc>
        <w:tc>
          <w:tcPr>
            <w:tcW w:type="dxa" w:w="1247"/>
          </w:tcPr>
          <w:p>
            <w:pPr>
              <w:jc w:val="center"/>
            </w:pPr>
            <w:r/>
            <w:r>
              <w:rPr>
                <w:rFonts w:ascii="Times New Roman" w:hAnsi="Times New Roman"/>
                <w:b w:val="0"/>
                <w:i w:val="0"/>
                <w:sz w:val="18"/>
              </w:rPr>
              <w:t>1,248</w:t>
            </w:r>
          </w:p>
        </w:tc>
      </w:tr>
      <w:tr>
        <w:tc>
          <w:tcPr>
            <w:tcW w:type="dxa" w:w="2835"/>
            <w:shd w:val="clear" w:color="auto" w:fill="E8F4F8"/>
          </w:tcPr>
          <w:p>
            <w:pPr>
              <w:jc w:val="left"/>
            </w:pPr>
            <w:r/>
            <w:r>
              <w:rPr>
                <w:rFonts w:ascii="Times New Roman" w:hAnsi="Times New Roman"/>
                <w:b w:val="0"/>
                <w:i w:val="0"/>
                <w:sz w:val="18"/>
              </w:rPr>
              <w:t>TopK2</w:t>
            </w:r>
          </w:p>
        </w:tc>
        <w:tc>
          <w:tcPr>
            <w:tcW w:type="dxa" w:w="1587"/>
            <w:shd w:val="clear" w:color="auto" w:fill="E8F4F8"/>
          </w:tcPr>
          <w:p>
            <w:pPr>
              <w:jc w:val="center"/>
            </w:pPr>
            <w:r/>
            <w:r>
              <w:rPr>
                <w:rFonts w:ascii="Times New Roman" w:hAnsi="Times New Roman"/>
                <w:b w:val="0"/>
                <w:i w:val="0"/>
                <w:sz w:val="18"/>
              </w:rPr>
              <w:t>−0.3%</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−53.9%</w:t>
            </w:r>
          </w:p>
        </w:tc>
        <w:tc>
          <w:tcPr>
            <w:tcW w:type="dxa" w:w="1247"/>
            <w:shd w:val="clear" w:color="auto" w:fill="E8F4F8"/>
          </w:tcPr>
          <w:p>
            <w:pPr>
              <w:jc w:val="center"/>
            </w:pPr>
            <w:r/>
            <w:r>
              <w:rPr>
                <w:rFonts w:ascii="Times New Roman" w:hAnsi="Times New Roman"/>
                <w:b w:val="0"/>
                <w:i w:val="0"/>
                <w:sz w:val="18"/>
              </w:rPr>
              <w:t>1,134</w:t>
            </w:r>
          </w:p>
        </w:tc>
      </w:tr>
      <w:tr>
        <w:tc>
          <w:tcPr>
            <w:tcW w:type="dxa" w:w="2835"/>
          </w:tcPr>
          <w:p>
            <w:pPr>
              <w:jc w:val="left"/>
            </w:pPr>
            <w:r/>
            <w:r>
              <w:rPr>
                <w:rFonts w:ascii="Times New Roman" w:hAnsi="Times New Roman"/>
                <w:b w:val="0"/>
                <w:i w:val="0"/>
                <w:sz w:val="18"/>
              </w:rPr>
              <w:t>Random Top-1</w:t>
            </w:r>
          </w:p>
        </w:tc>
        <w:tc>
          <w:tcPr>
            <w:tcW w:type="dxa" w:w="1587"/>
          </w:tcPr>
          <w:p>
            <w:pPr>
              <w:jc w:val="center"/>
            </w:pPr>
            <w:r/>
            <w:r>
              <w:rPr>
                <w:rFonts w:ascii="Times New Roman" w:hAnsi="Times New Roman"/>
                <w:b w:val="0"/>
                <w:i w:val="0"/>
                <w:sz w:val="18"/>
              </w:rPr>
              <w:t>−4.6%</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−0.15</w:t>
            </w:r>
          </w:p>
        </w:tc>
        <w:tc>
          <w:tcPr>
            <w:tcW w:type="dxa" w:w="1134"/>
          </w:tcPr>
          <w:p>
            <w:pPr>
              <w:jc w:val="center"/>
            </w:pPr>
            <w:r/>
            <w:r>
              <w:rPr>
                <w:rFonts w:ascii="Times New Roman" w:hAnsi="Times New Roman"/>
                <w:b w:val="0"/>
                <w:i w:val="0"/>
                <w:sz w:val="18"/>
              </w:rPr>
              <w:t>−65.6%</w:t>
            </w:r>
          </w:p>
        </w:tc>
        <w:tc>
          <w:tcPr>
            <w:tcW w:type="dxa" w:w="1247"/>
          </w:tcPr>
          <w:p>
            <w:pPr>
              <w:jc w:val="center"/>
            </w:pPr>
            <w:r/>
            <w:r>
              <w:rPr>
                <w:rFonts w:ascii="Times New Roman" w:hAnsi="Times New Roman"/>
                <w:b w:val="0"/>
                <w:i w:val="0"/>
                <w:sz w:val="18"/>
              </w:rPr>
              <w:t>1,461</w:t>
            </w:r>
          </w:p>
        </w:tc>
      </w:tr>
      <w:tr>
        <w:tc>
          <w:tcPr>
            <w:tcW w:type="dxa" w:w="2835"/>
            <w:shd w:val="clear" w:color="auto" w:fill="E8F4F8"/>
          </w:tcPr>
          <w:p>
            <w:pPr>
              <w:jc w:val="left"/>
            </w:pPr>
            <w:r/>
            <w:r>
              <w:rPr>
                <w:rFonts w:ascii="Times New Roman" w:hAnsi="Times New Roman"/>
                <w:b/>
                <w:i w:val="0"/>
                <w:sz w:val="18"/>
              </w:rPr>
              <w:t>TopK1 (ML, gate closed)</w:t>
            </w:r>
          </w:p>
        </w:tc>
        <w:tc>
          <w:tcPr>
            <w:tcW w:type="dxa" w:w="1587"/>
            <w:shd w:val="clear" w:color="auto" w:fill="E8F4F8"/>
          </w:tcPr>
          <w:p>
            <w:pPr>
              <w:jc w:val="center"/>
            </w:pPr>
            <w:r/>
            <w:r>
              <w:rPr>
                <w:rFonts w:ascii="Times New Roman" w:hAnsi="Times New Roman"/>
                <w:b/>
                <w:i w:val="0"/>
                <w:sz w:val="18"/>
              </w:rPr>
              <w:t>−5.9%</w:t>
            </w:r>
          </w:p>
        </w:tc>
        <w:tc>
          <w:tcPr>
            <w:tcW w:type="dxa" w:w="1134"/>
            <w:shd w:val="clear" w:color="auto" w:fill="E8F4F8"/>
          </w:tcPr>
          <w:p>
            <w:pPr>
              <w:jc w:val="center"/>
            </w:pPr>
            <w:r/>
            <w:r>
              <w:rPr>
                <w:rFonts w:ascii="Times New Roman" w:hAnsi="Times New Roman"/>
                <w:b/>
                <w:i w:val="0"/>
                <w:sz w:val="18"/>
              </w:rPr>
              <w:t>−0.16</w:t>
            </w:r>
          </w:p>
        </w:tc>
        <w:tc>
          <w:tcPr>
            <w:tcW w:type="dxa" w:w="1134"/>
            <w:shd w:val="clear" w:color="auto" w:fill="E8F4F8"/>
          </w:tcPr>
          <w:p>
            <w:pPr>
              <w:jc w:val="center"/>
            </w:pPr>
            <w:r/>
            <w:r>
              <w:rPr>
                <w:rFonts w:ascii="Times New Roman" w:hAnsi="Times New Roman"/>
                <w:b/>
                <w:i w:val="0"/>
                <w:sz w:val="18"/>
              </w:rPr>
              <w:t>−0.21</w:t>
            </w:r>
          </w:p>
        </w:tc>
        <w:tc>
          <w:tcPr>
            <w:tcW w:type="dxa" w:w="1134"/>
            <w:shd w:val="clear" w:color="auto" w:fill="E8F4F8"/>
          </w:tcPr>
          <w:p>
            <w:pPr>
              <w:jc w:val="center"/>
            </w:pPr>
            <w:r/>
            <w:r>
              <w:rPr>
                <w:rFonts w:ascii="Times New Roman" w:hAnsi="Times New Roman"/>
                <w:b/>
                <w:i w:val="0"/>
                <w:sz w:val="18"/>
              </w:rPr>
              <w:t>−67.0%</w:t>
            </w:r>
          </w:p>
        </w:tc>
        <w:tc>
          <w:tcPr>
            <w:tcW w:type="dxa" w:w="1247"/>
            <w:shd w:val="clear" w:color="auto" w:fill="E8F4F8"/>
          </w:tcPr>
          <w:p>
            <w:pPr>
              <w:jc w:val="center"/>
            </w:pPr>
            <w:r/>
            <w:r>
              <w:rPr>
                <w:rFonts w:ascii="Times New Roman" w:hAnsi="Times New Roman"/>
                <w:b/>
                <w:i w:val="0"/>
                <w:sz w:val="18"/>
              </w:rPr>
              <w:t>833</w:t>
            </w:r>
          </w:p>
        </w:tc>
      </w:tr>
    </w:tbl>
    <w:p>
      <w:pPr>
        <w:spacing w:before="80" w:after="200"/>
        <w:jc w:val="center"/>
      </w:pPr>
      <w:r>
        <w:rPr>
          <w:rFonts w:ascii="Times New Roman" w:hAnsi="Times New Roman"/>
          <w:b/>
          <w:i w:val="0"/>
          <w:sz w:val="19"/>
        </w:rPr>
        <w:t>Table 5.</w:t>
      </w:r>
      <w:r>
        <w:rPr>
          <w:rFonts w:ascii="Times New Roman" w:hAnsi="Times New Roman"/>
          <w:b w:val="0"/>
          <w:i w:val="0"/>
          <w:sz w:val="19"/>
        </w:rPr>
        <w:t xml:space="preserve"> Strategy performance summary, October 2018 – October 2024 (1,512 trading days). Transaction cost: 5 bps round-trip. BM = benchmark.</w:t>
      </w:r>
    </w:p>
    <w:p>
      <w:pPr>
        <w:jc w:val="center"/>
      </w:pPr>
      <w:r>
        <w:drawing>
          <wp:inline xmlns:a="http://schemas.openxmlformats.org/drawingml/2006/main" xmlns:pic="http://schemas.openxmlformats.org/drawingml/2006/picture">
            <wp:extent cx="5486400" cy="1824544"/>
            <wp:docPr id="2" name="Picture 2"/>
            <wp:cNvGraphicFramePr>
              <a:graphicFrameLocks noChangeAspect="1"/>
            </wp:cNvGraphicFramePr>
            <a:graphic>
              <a:graphicData uri="http://schemas.openxmlformats.org/drawingml/2006/picture">
                <pic:pic>
                  <pic:nvPicPr>
                    <pic:cNvPr id="0" name="fig01_strategy_comparison.png"/>
                    <pic:cNvPicPr/>
                  </pic:nvPicPr>
                  <pic:blipFill>
                    <a:blip r:embed="rId10"/>
                    <a:stretch>
                      <a:fillRect/>
                    </a:stretch>
                  </pic:blipFill>
                  <pic:spPr>
                    <a:xfrm>
                      <a:off x="0" y="0"/>
                      <a:ext cx="5486400" cy="1824544"/>
                    </a:xfrm>
                    <a:prstGeom prst="rect"/>
                  </pic:spPr>
                </pic:pic>
              </a:graphicData>
            </a:graphic>
          </wp:inline>
        </w:drawing>
      </w:r>
    </w:p>
    <w:p>
      <w:pPr>
        <w:spacing w:before="80" w:after="200"/>
        <w:jc w:val="center"/>
      </w:pPr>
      <w:r>
        <w:rPr>
          <w:rFonts w:ascii="Times New Roman" w:hAnsi="Times New Roman"/>
          <w:b/>
          <w:i w:val="0"/>
          <w:sz w:val="19"/>
        </w:rPr>
        <w:t>Figure 1.</w:t>
      </w:r>
      <w:r>
        <w:rPr>
          <w:rFonts w:ascii="Times New Roman" w:hAnsi="Times New Roman"/>
          <w:b w:val="0"/>
          <w:i w:val="0"/>
          <w:sz w:val="19"/>
        </w:rPr>
        <w:t>. Strategy performance across three dimensions: annualised return, Sharpe ratio, and maximum drawdown. The benchmark convergence signature is clear — Sharpe increases monotonically as K increases toward the equal-weight limit, consistent with an uninformative ranker.</w:t>
      </w:r>
    </w:p>
    <w:p>
      <w:pPr>
        <w:spacing w:before="0" w:after="160" w:line="360" w:lineRule="auto"/>
        <w:ind w:firstLine="0"/>
      </w:pPr>
      <w:r>
        <w:rPr>
          <w:rFonts w:ascii="Times New Roman" w:hAnsi="Times New Roman"/>
          <w:b w:val="0"/>
          <w:i w:val="0"/>
          <w:sz w:val="22"/>
        </w:rPr>
        <w:t>The benchmark convergence signature is the key diagnostic. 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pPr>
        <w:jc w:val="center"/>
      </w:pPr>
      <w:r>
        <w:drawing>
          <wp:inline xmlns:a="http://schemas.openxmlformats.org/drawingml/2006/main" xmlns:pic="http://schemas.openxmlformats.org/drawingml/2006/picture">
            <wp:extent cx="5029200" cy="2980536"/>
            <wp:docPr id="3" name="Picture 3"/>
            <wp:cNvGraphicFramePr>
              <a:graphicFrameLocks noChangeAspect="1"/>
            </wp:cNvGraphicFramePr>
            <a:graphic>
              <a:graphicData uri="http://schemas.openxmlformats.org/drawingml/2006/picture">
                <pic:pic>
                  <pic:nvPicPr>
                    <pic:cNvPr id="0" name="fig04_k_sensitivity.png"/>
                    <pic:cNvPicPr/>
                  </pic:nvPicPr>
                  <pic:blipFill>
                    <a:blip r:embed="rId11"/>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4.</w:t>
      </w:r>
      <w:r>
        <w:rPr>
          <w:rFonts w:ascii="Times New Roman" w:hAnsi="Times New Roman"/>
          <w:b w:val="0"/>
          <w:i w:val="0"/>
          <w:sz w:val="19"/>
        </w:rPr>
        <w:t>. Benchmark convergence signature: Sharpe ratio as a function of K (number of conviction positions). Monotonic increase from K=1 to K=30 (equal weight) is the diagnostic of an uninformative cross-sectional ranker.</w:t>
      </w:r>
    </w:p>
    <w:p>
      <w:pPr>
        <w:keepNext/>
        <w:spacing w:before="280" w:after="80"/>
      </w:pPr>
      <w:r>
        <w:rPr>
          <w:rFonts w:ascii="Times New Roman" w:hAnsi="Times New Roman"/>
          <w:b/>
          <w:i w:val="0"/>
          <w:color w:val="2A9D8F"/>
          <w:sz w:val="23"/>
        </w:rPr>
        <w:t>5.3 Permutation Test</w:t>
      </w:r>
    </w:p>
    <w:p>
      <w:pPr>
        <w:spacing w:before="0" w:after="160" w:line="360" w:lineRule="auto"/>
        <w:ind w:firstLine="0"/>
      </w:pPr>
      <w:r>
        <w:rPr>
          <w:rFonts w:ascii="Times New Roman" w:hAnsi="Times New Roman"/>
          <w:b w:val="0"/>
          <w:i w:val="0"/>
          <w:sz w:val="22"/>
        </w:rPr>
        <w:t>The permutation test shuffles the cross-sectional rank ordering of conviction scores 1,000 times, computing the TopK1 Sharpe ratio for each shuffle under the null hypothesis of no signal. The observed Sharpe (−0.16) falls at the 25.8th percentile of the null distribution. The permutation p-value of 0.742 is far from the 0.05 threshold, confirming the strategy performs no differently from random stock selection.</w:t>
      </w:r>
    </w:p>
    <w:p>
      <w:pPr>
        <w:jc w:val="center"/>
      </w:pPr>
      <w:r>
        <w:drawing>
          <wp:inline xmlns:a="http://schemas.openxmlformats.org/drawingml/2006/main" xmlns:pic="http://schemas.openxmlformats.org/drawingml/2006/picture">
            <wp:extent cx="5029200" cy="2980536"/>
            <wp:docPr id="4" name="Picture 4"/>
            <wp:cNvGraphicFramePr>
              <a:graphicFrameLocks noChangeAspect="1"/>
            </wp:cNvGraphicFramePr>
            <a:graphic>
              <a:graphicData uri="http://schemas.openxmlformats.org/drawingml/2006/picture">
                <pic:pic>
                  <pic:nvPicPr>
                    <pic:cNvPr id="0" name="fig02_permutation.png"/>
                    <pic:cNvPicPr/>
                  </pic:nvPicPr>
                  <pic:blipFill>
                    <a:blip r:embed="rId12"/>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2.</w:t>
      </w:r>
      <w:r>
        <w:rPr>
          <w:rFonts w:ascii="Times New Roman" w:hAnsi="Times New Roman"/>
          <w:b w:val="0"/>
          <w:i w:val="0"/>
          <w:sz w:val="19"/>
        </w:rPr>
        <w:t>. Permutation null distribution (1,000 shuffles). The observed TopK1 Sharpe of −0.16 falls well below the null 95th percentile of +0.44, and at the 25.8th percentile of the null distribution (p = 0.742).</w:t>
      </w:r>
    </w:p>
    <w:p>
      <w:pPr>
        <w:keepNext/>
        <w:spacing w:before="280" w:after="80"/>
      </w:pPr>
      <w:r>
        <w:rPr>
          <w:rFonts w:ascii="Times New Roman" w:hAnsi="Times New Roman"/>
          <w:b/>
          <w:i w:val="0"/>
          <w:color w:val="2A9D8F"/>
          <w:sz w:val="23"/>
        </w:rPr>
        <w:t>5.4 Calibration Quality</w:t>
      </w:r>
    </w:p>
    <w:p>
      <w:pPr>
        <w:spacing w:before="0" w:after="160" w:line="360" w:lineRule="auto"/>
        <w:ind w:firstLine="0"/>
      </w:pPr>
      <w:r>
        <w:rPr>
          <w:rFonts w:ascii="Times New Roman" w:hAnsi="Times New Roman"/>
          <w:b w:val="0"/>
          <w:i w:val="0"/>
          <w:sz w:val="22"/>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well-trained but the signal class has no content.</w:t>
      </w:r>
    </w:p>
    <w:p>
      <w:pPr>
        <w:keepNext/>
        <w:spacing w:before="280" w:after="80"/>
      </w:pPr>
      <w:r>
        <w:rPr>
          <w:rFonts w:ascii="Times New Roman" w:hAnsi="Times New Roman"/>
          <w:b/>
          <w:i w:val="0"/>
          <w:color w:val="2A9D8F"/>
          <w:sz w:val="23"/>
        </w:rPr>
        <w:t>5.5 Subperiod Analysis</w:t>
      </w:r>
    </w:p>
    <w:p>
      <w:pPr>
        <w:spacing w:before="0" w:after="160" w:line="360" w:lineRule="auto"/>
        <w:ind w:firstLine="0"/>
      </w:pPr>
      <w:r>
        <w:rPr>
          <w:rFonts w:ascii="Times New Roman" w:hAnsi="Times New Roman"/>
          <w:b w:val="0"/>
          <w:i w:val="0"/>
          <w:sz w:val="22"/>
        </w:rPr>
        <w:t>Table 6 and Figure 6 disaggregate performance across three market regimes. The TopK1 strategy underperforms in all three periods: the ZIRP bull market (Period 1, Oct 2018 – Feb 2020, Sharpe −1.60), the COVID/Growth recovery (Period 2, Mar 2020 – Dec 2021, Sharpe +0.76), and the rate-shock bear market (Period 3, Jan 2022 – Oct 2024, Sharpe −0.59). The brief positive Sharpe in Period 2 reflects the general equity market's strong recovery from the March 2020 trough — any long-only position would have benefited.</w:t>
      </w:r>
    </w:p>
    <w:p>
      <w:pPr>
        <w:jc w:val="center"/>
      </w:pPr>
      <w:r>
        <w:drawing>
          <wp:inline xmlns:a="http://schemas.openxmlformats.org/drawingml/2006/main" xmlns:pic="http://schemas.openxmlformats.org/drawingml/2006/picture">
            <wp:extent cx="5486400" cy="2545620"/>
            <wp:docPr id="5" name="Picture 5"/>
            <wp:cNvGraphicFramePr>
              <a:graphicFrameLocks noChangeAspect="1"/>
            </wp:cNvGraphicFramePr>
            <a:graphic>
              <a:graphicData uri="http://schemas.openxmlformats.org/drawingml/2006/picture">
                <pic:pic>
                  <pic:nvPicPr>
                    <pic:cNvPr id="0" name="fig06_subperiod_heatmap.png"/>
                    <pic:cNvPicPr/>
                  </pic:nvPicPr>
                  <pic:blipFill>
                    <a:blip r:embed="rId13"/>
                    <a:stretch>
                      <a:fillRect/>
                    </a:stretch>
                  </pic:blipFill>
                  <pic:spPr>
                    <a:xfrm>
                      <a:off x="0" y="0"/>
                      <a:ext cx="5486400" cy="2545620"/>
                    </a:xfrm>
                    <a:prstGeom prst="rect"/>
                  </pic:spPr>
                </pic:pic>
              </a:graphicData>
            </a:graphic>
          </wp:inline>
        </w:drawing>
      </w:r>
    </w:p>
    <w:p>
      <w:pPr>
        <w:spacing w:before="80" w:after="200"/>
        <w:jc w:val="center"/>
      </w:pPr>
      <w:r>
        <w:rPr>
          <w:rFonts w:ascii="Times New Roman" w:hAnsi="Times New Roman"/>
          <w:b/>
          <w:i w:val="0"/>
          <w:sz w:val="19"/>
        </w:rPr>
        <w:t>Figure 6.</w:t>
      </w:r>
      <w:r>
        <w:rPr>
          <w:rFonts w:ascii="Times New Roman" w:hAnsi="Times New Roman"/>
          <w:b w:val="0"/>
          <w:i w:val="0"/>
          <w:sz w:val="19"/>
        </w:rPr>
        <w:t>. Subperiod Sharpe ratio heatmap across three market regimes. TopK1 underperforms the benchmarks in all three periods. The brief positive Period 2 Sharpe reflects broad market recovery, not ML signal quality.</w:t>
      </w:r>
    </w:p>
    <w:p>
      <w:pPr>
        <w:keepNext/>
        <w:spacing w:before="280" w:after="80"/>
      </w:pPr>
      <w:r>
        <w:rPr>
          <w:rFonts w:ascii="Times New Roman" w:hAnsi="Times New Roman"/>
          <w:b/>
          <w:i w:val="0"/>
          <w:color w:val="2A9D8F"/>
          <w:sz w:val="23"/>
        </w:rPr>
        <w:t>5.6 Transaction Cost Sensitivity</w:t>
      </w:r>
    </w:p>
    <w:p>
      <w:pPr>
        <w:spacing w:before="0" w:after="160" w:line="360" w:lineRule="auto"/>
        <w:ind w:firstLine="0"/>
      </w:pPr>
      <w:r>
        <w:rPr>
          <w:rFonts w:ascii="Times New Roman" w:hAnsi="Times New Roman"/>
          <w:b w:val="0"/>
          <w:i w:val="0"/>
          <w:sz w:val="22"/>
        </w:rPr>
        <w:t>Even at zero transaction costs, the TopK1 strategy produces a Sharpe of only +0.22 — negative returns remain once even the most conservative cost assumption is applied. At the baseline of 5 bps, Sharpe drops to −0.16. At 10 bps, it falls to −0.49. The TopK1 strategy requires impossibly low costs to break even, confirming that the performance problem is in the signal, not the cost model.</w:t>
      </w:r>
    </w:p>
    <w:p>
      <w:pPr>
        <w:jc w:val="center"/>
      </w:pPr>
      <w:r>
        <w:drawing>
          <wp:inline xmlns:a="http://schemas.openxmlformats.org/drawingml/2006/main" xmlns:pic="http://schemas.openxmlformats.org/drawingml/2006/picture">
            <wp:extent cx="5486400" cy="2043755"/>
            <wp:docPr id="6" name="Picture 6"/>
            <wp:cNvGraphicFramePr>
              <a:graphicFrameLocks noChangeAspect="1"/>
            </wp:cNvGraphicFramePr>
            <a:graphic>
              <a:graphicData uri="http://schemas.openxmlformats.org/drawingml/2006/picture">
                <pic:pic>
                  <pic:nvPicPr>
                    <pic:cNvPr id="0" name="fig05_cost_sensitivity.png"/>
                    <pic:cNvPicPr/>
                  </pic:nvPicPr>
                  <pic:blipFill>
                    <a:blip r:embed="rId14"/>
                    <a:stretch>
                      <a:fillRect/>
                    </a:stretch>
                  </pic:blipFill>
                  <pic:spPr>
                    <a:xfrm>
                      <a:off x="0" y="0"/>
                      <a:ext cx="5486400" cy="2043755"/>
                    </a:xfrm>
                    <a:prstGeom prst="rect"/>
                  </pic:spPr>
                </pic:pic>
              </a:graphicData>
            </a:graphic>
          </wp:inline>
        </w:drawing>
      </w:r>
    </w:p>
    <w:p>
      <w:pPr>
        <w:spacing w:before="80" w:after="200"/>
        <w:jc w:val="center"/>
      </w:pPr>
      <w:r>
        <w:rPr>
          <w:rFonts w:ascii="Times New Roman" w:hAnsi="Times New Roman"/>
          <w:b/>
          <w:i w:val="0"/>
          <w:sz w:val="19"/>
        </w:rPr>
        <w:t>Figure 5.</w:t>
      </w:r>
      <w:r>
        <w:rPr>
          <w:rFonts w:ascii="Times New Roman" w:hAnsi="Times New Roman"/>
          <w:b w:val="0"/>
          <w:i w:val="0"/>
          <w:sz w:val="19"/>
        </w:rPr>
        <w:t>. Transaction cost sensitivity for the TopK1 strategy. Sharpe ratio deteriorates monotonically with cost. Even at 0 bps, Sharpe is only +0.22, confirming that the signal quality problem is the binding constraint, not friction.</w:t>
      </w:r>
    </w:p>
    <w:p>
      <w:pPr>
        <w:keepNext/>
        <w:spacing w:before="280" w:after="80"/>
      </w:pPr>
      <w:r>
        <w:rPr>
          <w:rFonts w:ascii="Times New Roman" w:hAnsi="Times New Roman"/>
          <w:b/>
          <w:i w:val="0"/>
          <w:color w:val="2A9D8F"/>
          <w:sz w:val="23"/>
        </w:rPr>
        <w:t>5.7 Fama-French Factor Regression</w:t>
      </w:r>
    </w:p>
    <w:p>
      <w:pPr>
        <w:spacing w:before="0" w:after="160" w:line="360" w:lineRule="auto"/>
        <w:ind w:firstLine="0"/>
      </w:pPr>
      <w:r>
        <w:rPr>
          <w:rFonts w:ascii="Times New Roman" w:hAnsi="Times New Roman"/>
          <w:b w:val="0"/>
          <w:i w:val="0"/>
          <w:sz w:val="22"/>
        </w:rPr>
        <w:t>Table 7 reports factor regressions of the 30-stock equal-weight portfolio's daily excess returns against the CAPM, Fama-French 3-factor, 5-factor, and 5-factor-plus-momentum specifications. The concentrated NASDAQ-100 portfolio earns significant positive alpha across all specifications (α ≈ +42% annualised, t &gt; 2.8, p &lt; 0.01), driven by tech-sector concentration during a prolonged NASDAQ bull market. The adjusted R² is essentially zero across all models, confirming that daily variation in the 30-stock concentrated portfolio is not explained by standard factors — technology sector concentration dominates.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shd w:val="clear" w:color="auto" w:fill="264653"/>
          </w:tcPr>
          <w:p>
            <w:r/>
            <w:r>
              <w:rPr>
                <w:rFonts w:ascii="Times New Roman" w:hAnsi="Times New Roman"/>
                <w:b/>
                <w:i w:val="0"/>
                <w:color w:val="FFFFFF"/>
                <w:sz w:val="18"/>
              </w:rPr>
              <w:t>Spec</w:t>
            </w:r>
          </w:p>
        </w:tc>
        <w:tc>
          <w:tcPr>
            <w:tcW w:type="dxa" w:w="1417"/>
            <w:shd w:val="clear" w:color="auto" w:fill="264653"/>
          </w:tcPr>
          <w:p>
            <w:r/>
            <w:r>
              <w:rPr>
                <w:rFonts w:ascii="Times New Roman" w:hAnsi="Times New Roman"/>
                <w:b/>
                <w:i w:val="0"/>
                <w:color w:val="FFFFFF"/>
                <w:sz w:val="18"/>
              </w:rPr>
              <w:t>α (ann.)</w:t>
            </w:r>
          </w:p>
        </w:tc>
        <w:tc>
          <w:tcPr>
            <w:tcW w:type="dxa" w:w="1020"/>
            <w:shd w:val="clear" w:color="auto" w:fill="264653"/>
          </w:tcPr>
          <w:p>
            <w:r/>
            <w:r>
              <w:rPr>
                <w:rFonts w:ascii="Times New Roman" w:hAnsi="Times New Roman"/>
                <w:b/>
                <w:i w:val="0"/>
                <w:color w:val="FFFFFF"/>
                <w:sz w:val="18"/>
              </w:rPr>
              <w:t>t(α)</w:t>
            </w:r>
          </w:p>
        </w:tc>
        <w:tc>
          <w:tcPr>
            <w:tcW w:type="dxa" w:w="1417"/>
            <w:shd w:val="clear" w:color="auto" w:fill="264653"/>
          </w:tcPr>
          <w:p>
            <w:r/>
            <w:r>
              <w:rPr>
                <w:rFonts w:ascii="Times New Roman" w:hAnsi="Times New Roman"/>
                <w:b/>
                <w:i w:val="0"/>
                <w:color w:val="FFFFFF"/>
                <w:sz w:val="18"/>
              </w:rPr>
              <w:t>p(α)</w:t>
            </w:r>
          </w:p>
        </w:tc>
        <w:tc>
          <w:tcPr>
            <w:tcW w:type="dxa" w:w="1134"/>
            <w:shd w:val="clear" w:color="auto" w:fill="264653"/>
          </w:tcPr>
          <w:p>
            <w:r/>
            <w:r>
              <w:rPr>
                <w:rFonts w:ascii="Times New Roman" w:hAnsi="Times New Roman"/>
                <w:b/>
                <w:i w:val="0"/>
                <w:color w:val="FFFFFF"/>
                <w:sz w:val="18"/>
              </w:rPr>
              <w:t>β(Mkt)</w:t>
            </w:r>
          </w:p>
        </w:tc>
        <w:tc>
          <w:tcPr>
            <w:tcW w:type="dxa" w:w="1134"/>
            <w:shd w:val="clear" w:color="auto" w:fill="264653"/>
          </w:tcPr>
          <w:p>
            <w:r/>
            <w:r>
              <w:rPr>
                <w:rFonts w:ascii="Times New Roman" w:hAnsi="Times New Roman"/>
                <w:b/>
                <w:i w:val="0"/>
                <w:color w:val="FFFFFF"/>
                <w:sz w:val="18"/>
              </w:rPr>
              <w:t>Adj. R²</w:t>
            </w:r>
          </w:p>
        </w:tc>
        <w:tc>
          <w:tcPr>
            <w:tcW w:type="dxa" w:w="850"/>
            <w:shd w:val="clear" w:color="auto" w:fill="264653"/>
          </w:tcPr>
          <w:p>
            <w:r/>
            <w:r>
              <w:rPr>
                <w:rFonts w:ascii="Times New Roman" w:hAnsi="Times New Roman"/>
                <w:b/>
                <w:i w:val="0"/>
                <w:color w:val="FFFFFF"/>
                <w:sz w:val="18"/>
              </w:rPr>
              <w:t>N</w:t>
            </w:r>
          </w:p>
        </w:tc>
      </w:tr>
      <w:tr>
        <w:tc>
          <w:tcPr>
            <w:tcW w:type="dxa" w:w="1417"/>
            <w:shd w:val="clear" w:color="auto" w:fill="E8F4F8"/>
          </w:tcPr>
          <w:p>
            <w:pPr>
              <w:jc w:val="left"/>
            </w:pPr>
            <w:r/>
            <w:r>
              <w:rPr>
                <w:rFonts w:ascii="Times New Roman" w:hAnsi="Times New Roman"/>
                <w:b w:val="0"/>
                <w:i w:val="0"/>
                <w:sz w:val="18"/>
              </w:rPr>
              <w:t>CAPM</w:t>
            </w:r>
          </w:p>
        </w:tc>
        <w:tc>
          <w:tcPr>
            <w:tcW w:type="dxa" w:w="1417"/>
            <w:shd w:val="clear" w:color="auto" w:fill="E8F4F8"/>
          </w:tcPr>
          <w:p>
            <w:pPr>
              <w:jc w:val="center"/>
            </w:pPr>
            <w:r/>
            <w:r>
              <w:rPr>
                <w:rFonts w:ascii="Times New Roman" w:hAnsi="Times New Roman"/>
                <w:b w:val="0"/>
                <w:i w:val="0"/>
                <w:sz w:val="18"/>
              </w:rPr>
              <w:t>+41.9%</w:t>
            </w:r>
          </w:p>
        </w:tc>
        <w:tc>
          <w:tcPr>
            <w:tcW w:type="dxa" w:w="1020"/>
            <w:shd w:val="clear" w:color="auto" w:fill="E8F4F8"/>
          </w:tcPr>
          <w:p>
            <w:pPr>
              <w:jc w:val="center"/>
            </w:pPr>
            <w:r/>
            <w:r>
              <w:rPr>
                <w:rFonts w:ascii="Times New Roman" w:hAnsi="Times New Roman"/>
                <w:b w:val="0"/>
                <w:i w:val="0"/>
                <w:sz w:val="18"/>
              </w:rPr>
              <w:t>2.82</w:t>
            </w:r>
          </w:p>
        </w:tc>
        <w:tc>
          <w:tcPr>
            <w:tcW w:type="dxa" w:w="1417"/>
            <w:shd w:val="clear" w:color="auto" w:fill="E8F4F8"/>
          </w:tcPr>
          <w:p>
            <w:pPr>
              <w:jc w:val="center"/>
            </w:pPr>
            <w:r/>
            <w:r>
              <w:rPr>
                <w:rFonts w:ascii="Times New Roman" w:hAnsi="Times New Roman"/>
                <w:b w:val="0"/>
                <w:i w:val="0"/>
                <w:sz w:val="18"/>
              </w:rPr>
              <w:t>0.005**</w:t>
            </w:r>
          </w:p>
        </w:tc>
        <w:tc>
          <w:tcPr>
            <w:tcW w:type="dxa" w:w="1134"/>
            <w:shd w:val="clear" w:color="auto" w:fill="E8F4F8"/>
          </w:tcPr>
          <w:p>
            <w:pPr>
              <w:jc w:val="center"/>
            </w:pPr>
            <w:r/>
            <w:r>
              <w:rPr>
                <w:rFonts w:ascii="Times New Roman" w:hAnsi="Times New Roman"/>
                <w:b w:val="0"/>
                <w:i w:val="0"/>
                <w:sz w:val="18"/>
              </w:rPr>
              <w:t>0.074</w:t>
            </w:r>
          </w:p>
        </w:tc>
        <w:tc>
          <w:tcPr>
            <w:tcW w:type="dxa" w:w="1134"/>
            <w:shd w:val="clear" w:color="auto" w:fill="E8F4F8"/>
          </w:tcPr>
          <w:p>
            <w:pPr>
              <w:jc w:val="center"/>
            </w:pPr>
            <w:r/>
            <w:r>
              <w:rPr>
                <w:rFonts w:ascii="Times New Roman" w:hAnsi="Times New Roman"/>
                <w:b w:val="0"/>
                <w:i w:val="0"/>
                <w:sz w:val="18"/>
              </w:rPr>
              <w:t>0.001</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FF3</w:t>
            </w:r>
          </w:p>
        </w:tc>
        <w:tc>
          <w:tcPr>
            <w:tcW w:type="dxa" w:w="1417"/>
          </w:tcPr>
          <w:p>
            <w:pPr>
              <w:jc w:val="center"/>
            </w:pPr>
            <w:r/>
            <w:r>
              <w:rPr>
                <w:rFonts w:ascii="Times New Roman" w:hAnsi="Times New Roman"/>
                <w:b w:val="0"/>
                <w:i w:val="0"/>
                <w:sz w:val="18"/>
              </w:rPr>
              <w:t>+41.9%</w:t>
            </w:r>
          </w:p>
        </w:tc>
        <w:tc>
          <w:tcPr>
            <w:tcW w:type="dxa" w:w="1020"/>
          </w:tcPr>
          <w:p>
            <w:pPr>
              <w:jc w:val="center"/>
            </w:pPr>
            <w:r/>
            <w:r>
              <w:rPr>
                <w:rFonts w:ascii="Times New Roman" w:hAnsi="Times New Roman"/>
                <w:b w:val="0"/>
                <w:i w:val="0"/>
                <w:sz w:val="18"/>
              </w:rPr>
              <w:t>2.80</w:t>
            </w:r>
          </w:p>
        </w:tc>
        <w:tc>
          <w:tcPr>
            <w:tcW w:type="dxa" w:w="1417"/>
          </w:tcPr>
          <w:p>
            <w:pPr>
              <w:jc w:val="center"/>
            </w:pPr>
            <w:r/>
            <w:r>
              <w:rPr>
                <w:rFonts w:ascii="Times New Roman" w:hAnsi="Times New Roman"/>
                <w:b w:val="0"/>
                <w:i w:val="0"/>
                <w:sz w:val="18"/>
              </w:rPr>
              <w:t>0.005**</w:t>
            </w:r>
          </w:p>
        </w:tc>
        <w:tc>
          <w:tcPr>
            <w:tcW w:type="dxa" w:w="1134"/>
          </w:tcPr>
          <w:p>
            <w:pPr>
              <w:jc w:val="center"/>
            </w:pPr>
            <w:r/>
            <w:r>
              <w:rPr>
                <w:rFonts w:ascii="Times New Roman" w:hAnsi="Times New Roman"/>
                <w:b w:val="0"/>
                <w:i w:val="0"/>
                <w:sz w:val="18"/>
              </w:rPr>
              <w:t>0.078</w:t>
            </w:r>
          </w:p>
        </w:tc>
        <w:tc>
          <w:tcPr>
            <w:tcW w:type="dxa" w:w="1134"/>
          </w:tcPr>
          <w:p>
            <w:pPr>
              <w:jc w:val="center"/>
            </w:pPr>
            <w:r/>
            <w:r>
              <w:rPr>
                <w:rFonts w:ascii="Times New Roman" w:hAnsi="Times New Roman"/>
                <w:b w:val="0"/>
                <w:i w:val="0"/>
                <w:sz w:val="18"/>
              </w:rPr>
              <w:t>0.000</w:t>
            </w:r>
          </w:p>
        </w:tc>
        <w:tc>
          <w:tcPr>
            <w:tcW w:type="dxa" w:w="850"/>
          </w:tcPr>
          <w:p>
            <w:pPr>
              <w:jc w:val="center"/>
            </w:pPr>
            <w:r/>
            <w:r>
              <w:rPr>
                <w:rFonts w:ascii="Times New Roman" w:hAnsi="Times New Roman"/>
                <w:b w:val="0"/>
                <w:i w:val="0"/>
                <w:sz w:val="18"/>
              </w:rPr>
              <w:t>1,512</w:t>
            </w:r>
          </w:p>
        </w:tc>
      </w:tr>
      <w:tr>
        <w:tc>
          <w:tcPr>
            <w:tcW w:type="dxa" w:w="1417"/>
            <w:shd w:val="clear" w:color="auto" w:fill="E8F4F8"/>
          </w:tcPr>
          <w:p>
            <w:pPr>
              <w:jc w:val="left"/>
            </w:pPr>
            <w:r/>
            <w:r>
              <w:rPr>
                <w:rFonts w:ascii="Times New Roman" w:hAnsi="Times New Roman"/>
                <w:b w:val="0"/>
                <w:i w:val="0"/>
                <w:sz w:val="18"/>
              </w:rPr>
              <w:t>FF5</w:t>
            </w:r>
          </w:p>
        </w:tc>
        <w:tc>
          <w:tcPr>
            <w:tcW w:type="dxa" w:w="1417"/>
            <w:shd w:val="clear" w:color="auto" w:fill="E8F4F8"/>
          </w:tcPr>
          <w:p>
            <w:pPr>
              <w:jc w:val="center"/>
            </w:pPr>
            <w:r/>
            <w:r>
              <w:rPr>
                <w:rFonts w:ascii="Times New Roman" w:hAnsi="Times New Roman"/>
                <w:b w:val="0"/>
                <w:i w:val="0"/>
                <w:sz w:val="18"/>
              </w:rPr>
              <w:t>+43.3%</w:t>
            </w:r>
          </w:p>
        </w:tc>
        <w:tc>
          <w:tcPr>
            <w:tcW w:type="dxa" w:w="1020"/>
            <w:shd w:val="clear" w:color="auto" w:fill="E8F4F8"/>
          </w:tcPr>
          <w:p>
            <w:pPr>
              <w:jc w:val="center"/>
            </w:pPr>
            <w:r/>
            <w:r>
              <w:rPr>
                <w:rFonts w:ascii="Times New Roman" w:hAnsi="Times New Roman"/>
                <w:b w:val="0"/>
                <w:i w:val="0"/>
                <w:sz w:val="18"/>
              </w:rPr>
              <w:t>2.86</w:t>
            </w:r>
          </w:p>
        </w:tc>
        <w:tc>
          <w:tcPr>
            <w:tcW w:type="dxa" w:w="1417"/>
            <w:shd w:val="clear" w:color="auto" w:fill="E8F4F8"/>
          </w:tcPr>
          <w:p>
            <w:pPr>
              <w:jc w:val="center"/>
            </w:pPr>
            <w:r/>
            <w:r>
              <w:rPr>
                <w:rFonts w:ascii="Times New Roman" w:hAnsi="Times New Roman"/>
                <w:b w:val="0"/>
                <w:i w:val="0"/>
                <w:sz w:val="18"/>
              </w:rPr>
              <w:t>0.004**</w:t>
            </w:r>
          </w:p>
        </w:tc>
        <w:tc>
          <w:tcPr>
            <w:tcW w:type="dxa" w:w="1134"/>
            <w:shd w:val="clear" w:color="auto" w:fill="E8F4F8"/>
          </w:tcPr>
          <w:p>
            <w:pPr>
              <w:jc w:val="center"/>
            </w:pPr>
            <w:r/>
            <w:r>
              <w:rPr>
                <w:rFonts w:ascii="Times New Roman" w:hAnsi="Times New Roman"/>
                <w:b w:val="0"/>
                <w:i w:val="0"/>
                <w:sz w:val="18"/>
              </w:rPr>
              <w:t>0.043</w:t>
            </w:r>
          </w:p>
        </w:tc>
        <w:tc>
          <w:tcPr>
            <w:tcW w:type="dxa" w:w="1134"/>
            <w:shd w:val="clear" w:color="auto" w:fill="E8F4F8"/>
          </w:tcPr>
          <w:p>
            <w:pPr>
              <w:jc w:val="center"/>
            </w:pPr>
            <w:r/>
            <w:r>
              <w:rPr>
                <w:rFonts w:ascii="Times New Roman" w:hAnsi="Times New Roman"/>
                <w:b w:val="0"/>
                <w:i w:val="0"/>
                <w:sz w:val="18"/>
              </w:rPr>
              <w:t>0.002</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FF5+MOM</w:t>
            </w:r>
          </w:p>
        </w:tc>
        <w:tc>
          <w:tcPr>
            <w:tcW w:type="dxa" w:w="1417"/>
          </w:tcPr>
          <w:p>
            <w:pPr>
              <w:jc w:val="center"/>
            </w:pPr>
            <w:r/>
            <w:r>
              <w:rPr>
                <w:rFonts w:ascii="Times New Roman" w:hAnsi="Times New Roman"/>
                <w:b w:val="0"/>
                <w:i w:val="0"/>
                <w:sz w:val="18"/>
              </w:rPr>
              <w:t>+43.3%</w:t>
            </w:r>
          </w:p>
        </w:tc>
        <w:tc>
          <w:tcPr>
            <w:tcW w:type="dxa" w:w="1020"/>
          </w:tcPr>
          <w:p>
            <w:pPr>
              <w:jc w:val="center"/>
            </w:pPr>
            <w:r/>
            <w:r>
              <w:rPr>
                <w:rFonts w:ascii="Times New Roman" w:hAnsi="Times New Roman"/>
                <w:b w:val="0"/>
                <w:i w:val="0"/>
                <w:sz w:val="18"/>
              </w:rPr>
              <w:t>2.86</w:t>
            </w:r>
          </w:p>
        </w:tc>
        <w:tc>
          <w:tcPr>
            <w:tcW w:type="dxa" w:w="1417"/>
          </w:tcPr>
          <w:p>
            <w:pPr>
              <w:jc w:val="center"/>
            </w:pPr>
            <w:r/>
            <w:r>
              <w:rPr>
                <w:rFonts w:ascii="Times New Roman" w:hAnsi="Times New Roman"/>
                <w:b w:val="0"/>
                <w:i w:val="0"/>
                <w:sz w:val="18"/>
              </w:rPr>
              <w:t>0.004**</w:t>
            </w:r>
          </w:p>
        </w:tc>
        <w:tc>
          <w:tcPr>
            <w:tcW w:type="dxa" w:w="1134"/>
          </w:tcPr>
          <w:p>
            <w:pPr>
              <w:jc w:val="center"/>
            </w:pPr>
            <w:r/>
            <w:r>
              <w:rPr>
                <w:rFonts w:ascii="Times New Roman" w:hAnsi="Times New Roman"/>
                <w:b w:val="0"/>
                <w:i w:val="0"/>
                <w:sz w:val="18"/>
              </w:rPr>
              <w:t>0.041</w:t>
            </w:r>
          </w:p>
        </w:tc>
        <w:tc>
          <w:tcPr>
            <w:tcW w:type="dxa" w:w="1134"/>
          </w:tcPr>
          <w:p>
            <w:pPr>
              <w:jc w:val="center"/>
            </w:pPr>
            <w:r/>
            <w:r>
              <w:rPr>
                <w:rFonts w:ascii="Times New Roman" w:hAnsi="Times New Roman"/>
                <w:b w:val="0"/>
                <w:i w:val="0"/>
                <w:sz w:val="18"/>
              </w:rPr>
              <w:t>0.002</w:t>
            </w:r>
          </w:p>
        </w:tc>
        <w:tc>
          <w:tcPr>
            <w:tcW w:type="dxa" w:w="850"/>
          </w:tcPr>
          <w:p>
            <w:pPr>
              <w:jc w:val="center"/>
            </w:pPr>
            <w:r/>
            <w:r>
              <w:rPr>
                <w:rFonts w:ascii="Times New Roman" w:hAnsi="Times New Roman"/>
                <w:b w:val="0"/>
                <w:i w:val="0"/>
                <w:sz w:val="18"/>
              </w:rPr>
              <w:t>1,512</w:t>
            </w:r>
          </w:p>
        </w:tc>
      </w:tr>
    </w:tbl>
    <w:p>
      <w:pPr>
        <w:spacing w:before="80" w:after="200"/>
        <w:jc w:val="center"/>
      </w:pPr>
      <w:r>
        <w:rPr>
          <w:rFonts w:ascii="Times New Roman" w:hAnsi="Times New Roman"/>
          <w:b/>
          <w:i w:val="0"/>
          <w:sz w:val="19"/>
        </w:rPr>
        <w:t>Table 7.</w:t>
      </w:r>
      <w:r>
        <w:rPr>
          <w:rFonts w:ascii="Times New Roman" w:hAnsi="Times New Roman"/>
          <w:b w:val="0"/>
          <w:i w:val="0"/>
          <w:sz w:val="19"/>
        </w:rPr>
        <w:t xml:space="preserve"> Fama-French factor regressions of the 30-stock NASDAQ equal-weight portfolio daily excess returns. ** = p &lt; 0.01. The positive alpha reflects tech-sector concentration, not ML signal quality.</w:t>
      </w:r>
    </w:p>
    <w:p>
      <w:pPr>
        <w:jc w:val="center"/>
      </w:pPr>
      <w:r>
        <w:drawing>
          <wp:inline xmlns:a="http://schemas.openxmlformats.org/drawingml/2006/main" xmlns:pic="http://schemas.openxmlformats.org/drawingml/2006/picture">
            <wp:extent cx="5303520" cy="2086015"/>
            <wp:docPr id="7" name="Picture 7"/>
            <wp:cNvGraphicFramePr>
              <a:graphicFrameLocks noChangeAspect="1"/>
            </wp:cNvGraphicFramePr>
            <a:graphic>
              <a:graphicData uri="http://schemas.openxmlformats.org/drawingml/2006/picture">
                <pic:pic>
                  <pic:nvPicPr>
                    <pic:cNvPr id="0" name="fig07_ff_alpha.png"/>
                    <pic:cNvPicPr/>
                  </pic:nvPicPr>
                  <pic:blipFill>
                    <a:blip r:embed="rId15"/>
                    <a:stretch>
                      <a:fillRect/>
                    </a:stretch>
                  </pic:blipFill>
                  <pic:spPr>
                    <a:xfrm>
                      <a:off x="0" y="0"/>
                      <a:ext cx="5303520" cy="2086015"/>
                    </a:xfrm>
                    <a:prstGeom prst="rect"/>
                  </pic:spPr>
                </pic:pic>
              </a:graphicData>
            </a:graphic>
          </wp:inline>
        </w:drawing>
      </w:r>
    </w:p>
    <w:p>
      <w:pPr>
        <w:spacing w:before="80" w:after="200"/>
        <w:jc w:val="center"/>
      </w:pPr>
      <w:r>
        <w:rPr>
          <w:rFonts w:ascii="Times New Roman" w:hAnsi="Times New Roman"/>
          <w:b/>
          <w:i w:val="0"/>
          <w:sz w:val="19"/>
        </w:rPr>
        <w:t>Figure 7.</w:t>
      </w:r>
      <w:r>
        <w:rPr>
          <w:rFonts w:ascii="Times New Roman" w:hAnsi="Times New Roman"/>
          <w:b w:val="0"/>
          <w:i w:val="0"/>
          <w:sz w:val="19"/>
        </w:rPr>
        <w:t>. Factor regression alpha and t-statistics across CAPM, FF3, FF5, and FF5+MOM specifications. The concentrated NASDAQ-100 portfolio earns significant alpha through sector exposure, not through ML-derived conviction ranking.</w:t>
      </w:r>
    </w:p>
    <w:p>
      <w:pPr>
        <w:keepNext/>
        <w:spacing w:before="280" w:after="80"/>
      </w:pPr>
      <w:r>
        <w:rPr>
          <w:rFonts w:ascii="Times New Roman" w:hAnsi="Times New Roman"/>
          <w:b/>
          <w:i w:val="0"/>
          <w:color w:val="264653"/>
          <w:sz w:val="26"/>
        </w:rPr>
        <w:t>6. Robustness Analysis</w:t>
      </w:r>
    </w:p>
    <w:p>
      <w:pPr>
        <w:spacing w:before="0" w:after="160" w:line="360" w:lineRule="auto"/>
        <w:ind w:firstLine="0"/>
      </w:pPr>
      <w:r>
        <w:rPr>
          <w:rFonts w:ascii="Times New Roman" w:hAnsi="Times New Roman"/>
          <w:b w:val="0"/>
          <w:i w:val="0"/>
          <w:sz w:val="22"/>
        </w:rPr>
        <w:t>We report five robustness checks, each targeting a distinct potential criticism of the null result. All five confirm that the gate-closed outcome is not an artifact of the primary design choice.</w:t>
      </w:r>
    </w:p>
    <w:p>
      <w:pPr>
        <w:keepNext/>
        <w:spacing w:before="280" w:after="80"/>
      </w:pPr>
      <w:r>
        <w:rPr>
          <w:rFonts w:ascii="Times New Roman" w:hAnsi="Times New Roman"/>
          <w:b/>
          <w:i w:val="0"/>
          <w:color w:val="2A9D8F"/>
          <w:sz w:val="23"/>
        </w:rPr>
        <w:t>6.1 Expanded Universe (N=100)</w:t>
      </w:r>
    </w:p>
    <w:p>
      <w:pPr>
        <w:spacing w:before="0" w:after="160" w:line="360" w:lineRule="auto"/>
        <w:ind w:firstLine="0"/>
      </w:pPr>
      <w:r>
        <w:rPr>
          <w:rFonts w:ascii="Times New Roman" w:hAnsi="Times New Roman"/>
          <w:b w:val="0"/>
          <w:i w:val="0"/>
          <w:sz w:val="22"/>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10 compare IC statistics across universes.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51"/>
            <w:shd w:val="clear" w:color="auto" w:fill="264653"/>
          </w:tcPr>
          <w:p>
            <w:r/>
            <w:r>
              <w:rPr>
                <w:rFonts w:ascii="Times New Roman" w:hAnsi="Times New Roman"/>
                <w:b/>
                <w:i w:val="0"/>
                <w:color w:val="FFFFFF"/>
                <w:sz w:val="19"/>
              </w:rPr>
              <w:t>Universe</w:t>
            </w:r>
          </w:p>
        </w:tc>
        <w:tc>
          <w:tcPr>
            <w:tcW w:type="dxa" w:w="1417"/>
            <w:shd w:val="clear" w:color="auto" w:fill="264653"/>
          </w:tcPr>
          <w:p>
            <w:r/>
            <w:r>
              <w:rPr>
                <w:rFonts w:ascii="Times New Roman" w:hAnsi="Times New Roman"/>
                <w:b/>
                <w:i w:val="0"/>
                <w:color w:val="FFFFFF"/>
                <w:sz w:val="19"/>
              </w:rPr>
              <w:t>Mean IC</w:t>
            </w:r>
          </w:p>
        </w:tc>
        <w:tc>
          <w:tcPr>
            <w:tcW w:type="dxa" w:w="1417"/>
            <w:shd w:val="clear" w:color="auto" w:fill="264653"/>
          </w:tcPr>
          <w:p>
            <w:r/>
            <w:r>
              <w:rPr>
                <w:rFonts w:ascii="Times New Roman" w:hAnsi="Times New Roman"/>
                <w:b/>
                <w:i w:val="0"/>
                <w:color w:val="FFFFFF"/>
                <w:sz w:val="19"/>
              </w:rPr>
              <w:t>ICIR</w:t>
            </w:r>
          </w:p>
        </w:tc>
        <w:tc>
          <w:tcPr>
            <w:tcW w:type="dxa" w:w="1417"/>
            <w:shd w:val="clear" w:color="auto" w:fill="264653"/>
          </w:tcPr>
          <w:p>
            <w:r/>
            <w:r>
              <w:rPr>
                <w:rFonts w:ascii="Times New Roman" w:hAnsi="Times New Roman"/>
                <w:b/>
                <w:i w:val="0"/>
                <w:color w:val="FFFFFF"/>
                <w:sz w:val="19"/>
              </w:rPr>
              <w:t>t-stat</w:t>
            </w:r>
          </w:p>
        </w:tc>
        <w:tc>
          <w:tcPr>
            <w:tcW w:type="dxa" w:w="1417"/>
            <w:shd w:val="clear" w:color="auto" w:fill="264653"/>
          </w:tcPr>
          <w:p>
            <w:r/>
            <w:r>
              <w:rPr>
                <w:rFonts w:ascii="Times New Roman" w:hAnsi="Times New Roman"/>
                <w:b/>
                <w:i w:val="0"/>
                <w:color w:val="FFFFFF"/>
                <w:sz w:val="19"/>
              </w:rPr>
              <w:t>p-value</w:t>
            </w:r>
          </w:p>
        </w:tc>
        <w:tc>
          <w:tcPr>
            <w:tcW w:type="dxa" w:w="1417"/>
            <w:shd w:val="clear" w:color="auto" w:fill="264653"/>
          </w:tcPr>
          <w:p>
            <w:r/>
            <w:r>
              <w:rPr>
                <w:rFonts w:ascii="Times New Roman" w:hAnsi="Times New Roman"/>
                <w:b/>
                <w:i w:val="0"/>
                <w:color w:val="FFFFFF"/>
                <w:sz w:val="19"/>
              </w:rPr>
              <w:t>Gate</w:t>
            </w:r>
          </w:p>
        </w:tc>
      </w:tr>
      <w:tr>
        <w:tc>
          <w:tcPr>
            <w:tcW w:type="dxa" w:w="2551"/>
            <w:shd w:val="clear" w:color="auto" w:fill="E8F4F8"/>
          </w:tcPr>
          <w:p>
            <w:pPr>
              <w:jc w:val="left"/>
            </w:pPr>
            <w:r/>
            <w:r>
              <w:rPr>
                <w:rFonts w:ascii="Times New Roman" w:hAnsi="Times New Roman"/>
                <w:b w:val="0"/>
                <w:i w:val="0"/>
                <w:sz w:val="19"/>
              </w:rPr>
              <w:t>N=30 (Paper)</w:t>
            </w:r>
          </w:p>
        </w:tc>
        <w:tc>
          <w:tcPr>
            <w:tcW w:type="dxa" w:w="1417"/>
            <w:shd w:val="clear" w:color="auto" w:fill="E8F4F8"/>
          </w:tcPr>
          <w:p>
            <w:pPr>
              <w:jc w:val="center"/>
            </w:pPr>
            <w:r/>
            <w:r>
              <w:rPr>
                <w:rFonts w:ascii="Times New Roman" w:hAnsi="Times New Roman"/>
                <w:b w:val="0"/>
                <w:i w:val="0"/>
                <w:sz w:val="19"/>
              </w:rPr>
              <w:t>−0.0005</w:t>
            </w:r>
          </w:p>
        </w:tc>
        <w:tc>
          <w:tcPr>
            <w:tcW w:type="dxa" w:w="1417"/>
            <w:shd w:val="clear" w:color="auto" w:fill="E8F4F8"/>
          </w:tcPr>
          <w:p>
            <w:pPr>
              <w:jc w:val="center"/>
            </w:pPr>
            <w:r/>
            <w:r>
              <w:rPr>
                <w:rFonts w:ascii="Times New Roman" w:hAnsi="Times New Roman"/>
                <w:b w:val="0"/>
                <w:i w:val="0"/>
                <w:sz w:val="19"/>
              </w:rPr>
              <w:t>−0.0023</w:t>
            </w:r>
          </w:p>
        </w:tc>
        <w:tc>
          <w:tcPr>
            <w:tcW w:type="dxa" w:w="1417"/>
            <w:shd w:val="clear" w:color="auto" w:fill="E8F4F8"/>
          </w:tcPr>
          <w:p>
            <w:pPr>
              <w:jc w:val="center"/>
            </w:pPr>
            <w:r/>
            <w:r>
              <w:rPr>
                <w:rFonts w:ascii="Times New Roman" w:hAnsi="Times New Roman"/>
                <w:b w:val="0"/>
                <w:i w:val="0"/>
                <w:sz w:val="19"/>
              </w:rPr>
              <w:t>−0.090</w:t>
            </w:r>
          </w:p>
        </w:tc>
        <w:tc>
          <w:tcPr>
            <w:tcW w:type="dxa" w:w="1417"/>
            <w:shd w:val="clear" w:color="auto" w:fill="E8F4F8"/>
          </w:tcPr>
          <w:p>
            <w:pPr>
              <w:jc w:val="center"/>
            </w:pPr>
            <w:r/>
            <w:r>
              <w:rPr>
                <w:rFonts w:ascii="Times New Roman" w:hAnsi="Times New Roman"/>
                <w:b w:val="0"/>
                <w:i w:val="0"/>
                <w:sz w:val="19"/>
              </w:rPr>
              <w:t>0.464</w:t>
            </w:r>
          </w:p>
        </w:tc>
        <w:tc>
          <w:tcPr>
            <w:tcW w:type="dxa" w:w="1417"/>
            <w:shd w:val="clear" w:color="auto" w:fill="E8F4F8"/>
          </w:tcPr>
          <w:p>
            <w:pPr>
              <w:jc w:val="center"/>
            </w:pPr>
            <w:r/>
            <w:r>
              <w:rPr>
                <w:rFonts w:ascii="Times New Roman" w:hAnsi="Times New Roman"/>
                <w:b w:val="0"/>
                <w:i w:val="0"/>
                <w:sz w:val="19"/>
              </w:rPr>
              <w:t>CLOSED</w:t>
            </w:r>
          </w:p>
        </w:tc>
      </w:tr>
      <w:tr>
        <w:tc>
          <w:tcPr>
            <w:tcW w:type="dxa" w:w="2551"/>
          </w:tcPr>
          <w:p>
            <w:pPr>
              <w:jc w:val="left"/>
            </w:pPr>
            <w:r/>
            <w:r>
              <w:rPr>
                <w:rFonts w:ascii="Times New Roman" w:hAnsi="Times New Roman"/>
                <w:b w:val="0"/>
                <w:i w:val="0"/>
                <w:sz w:val="19"/>
              </w:rPr>
              <w:t>N=100 (Robustness)</w:t>
            </w:r>
          </w:p>
        </w:tc>
        <w:tc>
          <w:tcPr>
            <w:tcW w:type="dxa" w:w="1417"/>
          </w:tcPr>
          <w:p>
            <w:pPr>
              <w:jc w:val="center"/>
            </w:pPr>
            <w:r/>
            <w:r>
              <w:rPr>
                <w:rFonts w:ascii="Times New Roman" w:hAnsi="Times New Roman"/>
                <w:b w:val="0"/>
                <w:i w:val="0"/>
                <w:sz w:val="19"/>
              </w:rPr>
              <w:t>−0.0062</w:t>
            </w:r>
          </w:p>
        </w:tc>
        <w:tc>
          <w:tcPr>
            <w:tcW w:type="dxa" w:w="1417"/>
          </w:tcPr>
          <w:p>
            <w:pPr>
              <w:jc w:val="center"/>
            </w:pPr>
            <w:r/>
            <w:r>
              <w:rPr>
                <w:rFonts w:ascii="Times New Roman" w:hAnsi="Times New Roman"/>
                <w:b w:val="0"/>
                <w:i w:val="0"/>
                <w:sz w:val="19"/>
              </w:rPr>
              <w:t>−0.0404</w:t>
            </w:r>
          </w:p>
        </w:tc>
        <w:tc>
          <w:tcPr>
            <w:tcW w:type="dxa" w:w="1417"/>
          </w:tcPr>
          <w:p>
            <w:pPr>
              <w:jc w:val="center"/>
            </w:pPr>
            <w:r/>
            <w:r>
              <w:rPr>
                <w:rFonts w:ascii="Times New Roman" w:hAnsi="Times New Roman"/>
                <w:b w:val="0"/>
                <w:i w:val="0"/>
                <w:sz w:val="19"/>
              </w:rPr>
              <w:t>−1.623</w:t>
            </w:r>
          </w:p>
        </w:tc>
        <w:tc>
          <w:tcPr>
            <w:tcW w:type="dxa" w:w="1417"/>
          </w:tcPr>
          <w:p>
            <w:pPr>
              <w:jc w:val="center"/>
            </w:pPr>
            <w:r/>
            <w:r>
              <w:rPr>
                <w:rFonts w:ascii="Times New Roman" w:hAnsi="Times New Roman"/>
                <w:b w:val="0"/>
                <w:i w:val="0"/>
                <w:sz w:val="19"/>
              </w:rPr>
              <w:t>0.948</w:t>
            </w:r>
          </w:p>
        </w:tc>
        <w:tc>
          <w:tcPr>
            <w:tcW w:type="dxa" w:w="1417"/>
          </w:tcPr>
          <w:p>
            <w:pPr>
              <w:jc w:val="center"/>
            </w:pPr>
            <w:r/>
            <w:r>
              <w:rPr>
                <w:rFonts w:ascii="Times New Roman" w:hAnsi="Times New Roman"/>
                <w:b w:val="0"/>
                <w:i w:val="0"/>
                <w:sz w:val="19"/>
              </w:rPr>
              <w:t>CLOSED</w:t>
            </w:r>
          </w:p>
        </w:tc>
      </w:tr>
    </w:tbl>
    <w:p>
      <w:pPr>
        <w:spacing w:before="80" w:after="200"/>
        <w:jc w:val="center"/>
      </w:pPr>
      <w:r>
        <w:rPr>
          <w:rFonts w:ascii="Times New Roman" w:hAnsi="Times New Roman"/>
          <w:b/>
          <w:i w:val="0"/>
          <w:sz w:val="19"/>
        </w:rPr>
        <w:t>Table 8.</w:t>
      </w:r>
      <w:r>
        <w:rPr>
          <w:rFonts w:ascii="Times New Roman" w:hAnsi="Times New Roman"/>
          <w:b w:val="0"/>
          <w:i w:val="0"/>
          <w:sz w:val="19"/>
        </w:rPr>
        <w:t xml:space="preserve"> IC comparison: 30-stock paper universe versus 100-stock expanded universe. Both produce near-zero IC with the gate closed.</w:t>
      </w:r>
    </w:p>
    <w:p>
      <w:pPr>
        <w:spacing w:before="0" w:after="160" w:line="360" w:lineRule="auto"/>
        <w:ind w:firstLine="0"/>
      </w:pPr>
      <w:r>
        <w:rPr>
          <w:rFonts w:ascii="Times New Roman" w:hAnsi="Times New Roman"/>
          <w:b w:val="0"/>
          <w:i w:val="0"/>
          <w:sz w:val="22"/>
        </w:rPr>
        <w:t>The expanded universe produces mean IC of −0.0062 with t = −1.62 and p = 0.948. The IC gate stays closed. The result is not specific to the 30-stock primary universe — a three times broader universe of survivorship-bias-controlled NASDAQ-100 candidates also shows no exploitable cross-sectional signal from 49 technical indicators.</w:t>
      </w:r>
    </w:p>
    <w:p>
      <w:pPr>
        <w:jc w:val="center"/>
      </w:pPr>
      <w:r>
        <w:drawing>
          <wp:inline xmlns:a="http://schemas.openxmlformats.org/drawingml/2006/main" xmlns:pic="http://schemas.openxmlformats.org/drawingml/2006/picture">
            <wp:extent cx="5303520" cy="2314816"/>
            <wp:docPr id="8" name="Picture 8"/>
            <wp:cNvGraphicFramePr>
              <a:graphicFrameLocks noChangeAspect="1"/>
            </wp:cNvGraphicFramePr>
            <a:graphic>
              <a:graphicData uri="http://schemas.openxmlformats.org/drawingml/2006/picture">
                <pic:pic>
                  <pic:nvPicPr>
                    <pic:cNvPr id="0" name="fig10_expanded_universe.png"/>
                    <pic:cNvPicPr/>
                  </pic:nvPicPr>
                  <pic:blipFill>
                    <a:blip r:embed="rId16"/>
                    <a:stretch>
                      <a:fillRect/>
                    </a:stretch>
                  </pic:blipFill>
                  <pic:spPr>
                    <a:xfrm>
                      <a:off x="0" y="0"/>
                      <a:ext cx="5303520" cy="2314816"/>
                    </a:xfrm>
                    <a:prstGeom prst="rect"/>
                  </pic:spPr>
                </pic:pic>
              </a:graphicData>
            </a:graphic>
          </wp:inline>
        </w:drawing>
      </w:r>
    </w:p>
    <w:p>
      <w:pPr>
        <w:spacing w:before="80" w:after="200"/>
        <w:jc w:val="center"/>
      </w:pPr>
      <w:r>
        <w:rPr>
          <w:rFonts w:ascii="Times New Roman" w:hAnsi="Times New Roman"/>
          <w:b/>
          <w:i w:val="0"/>
          <w:sz w:val="19"/>
        </w:rPr>
        <w:t>Figure 10.</w:t>
      </w:r>
      <w:r>
        <w:rPr>
          <w:rFonts w:ascii="Times New Roman" w:hAnsi="Times New Roman"/>
          <w:b w:val="0"/>
          <w:i w:val="0"/>
          <w:sz w:val="19"/>
        </w:rPr>
        <w:t>. Expanded universe robustness check: N=30 vs N=100. Both universes produce near-zero mean IC and near-zero ICIR. The IC gate stays closed in both settings.</w:t>
      </w:r>
    </w:p>
    <w:p>
      <w:pPr>
        <w:keepNext/>
        <w:spacing w:before="280" w:after="80"/>
      </w:pPr>
      <w:r>
        <w:rPr>
          <w:rFonts w:ascii="Times New Roman" w:hAnsi="Times New Roman"/>
          <w:b/>
          <w:i w:val="0"/>
          <w:color w:val="2A9D8F"/>
          <w:sz w:val="23"/>
        </w:rPr>
        <w:t>6.2 Feature Attribution (Gradient Saliency)</w:t>
      </w:r>
    </w:p>
    <w:p>
      <w:pPr>
        <w:spacing w:before="0" w:after="160" w:line="360" w:lineRule="auto"/>
        <w:ind w:firstLine="0"/>
      </w:pPr>
      <w:r>
        <w:rPr>
          <w:rFonts w:ascii="Times New Roman" w:hAnsi="Times New Roman"/>
          <w:b w:val="0"/>
          <w:i w:val="0"/>
          <w:sz w:val="22"/>
        </w:rPr>
        <w:t>We compute gradient-based feature importance scores (equivalent to SHAP magnitude for tree models) across the last four test folds (Folds 9–12). Figure 8 shows the top-20 features by mean absolute importance. The scores are uniformly small — rolling 63-day volatility tops the list at 3.4 × 10⁻³, barely above other features.</w:t>
      </w:r>
    </w:p>
    <w:p>
      <w:pPr>
        <w:spacing w:before="0" w:after="160" w:line="360" w:lineRule="auto"/>
        <w:ind w:firstLine="0"/>
      </w:pPr>
      <w:r>
        <w:rPr>
          <w:rFonts w:ascii="Times New Roman" w:hAnsi="Times New Roman"/>
          <w:b w:val="0"/>
          <w:i w:val="0"/>
          <w:sz w:val="22"/>
        </w:rPr>
        <w:t>More important is feature rank stability across folds. Spearman rank correlation of the top-feature orderings between adjacent folds ranges from 0.13 to 0.40, with a mean below 0.30. This low stability confirms that different folds use different features — the ensemble is fitting fold-specific noise patterns rather than a stable, generalisable signal. No feature class (momentum, volatility, trend, volume) consistently dominates across folds.</w:t>
      </w:r>
    </w:p>
    <w:p>
      <w:pPr>
        <w:jc w:val="center"/>
      </w:pPr>
      <w:r>
        <w:drawing>
          <wp:inline xmlns:a="http://schemas.openxmlformats.org/drawingml/2006/main" xmlns:pic="http://schemas.openxmlformats.org/drawingml/2006/picture">
            <wp:extent cx="5029200" cy="3325792"/>
            <wp:docPr id="9" name="Picture 9"/>
            <wp:cNvGraphicFramePr>
              <a:graphicFrameLocks noChangeAspect="1"/>
            </wp:cNvGraphicFramePr>
            <a:graphic>
              <a:graphicData uri="http://schemas.openxmlformats.org/drawingml/2006/picture">
                <pic:pic>
                  <pic:nvPicPr>
                    <pic:cNvPr id="0" name="fig08_shap_importance.png"/>
                    <pic:cNvPicPr/>
                  </pic:nvPicPr>
                  <pic:blipFill>
                    <a:blip r:embed="rId17"/>
                    <a:stretch>
                      <a:fillRect/>
                    </a:stretch>
                  </pic:blipFill>
                  <pic:spPr>
                    <a:xfrm>
                      <a:off x="0" y="0"/>
                      <a:ext cx="5029200" cy="3325792"/>
                    </a:xfrm>
                    <a:prstGeom prst="rect"/>
                  </pic:spPr>
                </pic:pic>
              </a:graphicData>
            </a:graphic>
          </wp:inline>
        </w:drawing>
      </w:r>
    </w:p>
    <w:p>
      <w:pPr>
        <w:spacing w:before="80" w:after="200"/>
        <w:jc w:val="center"/>
      </w:pPr>
      <w:r>
        <w:rPr>
          <w:rFonts w:ascii="Times New Roman" w:hAnsi="Times New Roman"/>
          <w:b/>
          <w:i w:val="0"/>
          <w:sz w:val="19"/>
        </w:rPr>
        <w:t>Figure 8.</w:t>
      </w:r>
      <w:r>
        <w:rPr>
          <w:rFonts w:ascii="Times New Roman" w:hAnsi="Times New Roman"/>
          <w:b w:val="0"/>
          <w:i w:val="0"/>
          <w:sz w:val="19"/>
        </w:rPr>
        <w:t>. Top-20 features by mean absolute gradient saliency (last 4 folds). Scores are uniformly small with no dominant feature. Inter-fold Spearman rank ρ = 0.13–0.40 confirms instability consistent with noise-fitting.</w:t>
      </w:r>
    </w:p>
    <w:p>
      <w:pPr>
        <w:keepNext/>
        <w:spacing w:before="280" w:after="80"/>
      </w:pPr>
      <w:r>
        <w:rPr>
          <w:rFonts w:ascii="Times New Roman" w:hAnsi="Times New Roman"/>
          <w:b/>
          <w:i w:val="0"/>
          <w:color w:val="2A9D8F"/>
          <w:sz w:val="23"/>
        </w:rPr>
        <w:t>6.3 Diebold-Mariano Predictive Accuracy Test</w:t>
      </w:r>
    </w:p>
    <w:p>
      <w:pPr>
        <w:spacing w:before="0" w:after="120" w:line="360" w:lineRule="auto"/>
        <w:ind w:firstLine="0"/>
      </w:pPr>
      <w:r>
        <w:rPr>
          <w:rFonts w:ascii="Times New Roman" w:hAnsi="Times New Roman"/>
          <w:b w:val="0"/>
          <w:i w:val="0"/>
          <w:sz w:val="22"/>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key test is TopK1 versus Random Top-1:</w:t>
      </w:r>
    </w:p>
    <w:p>
      <w:pPr>
        <w:spacing w:before="0" w:after="160" w:line="360" w:lineRule="auto"/>
        <w:ind w:firstLine="0"/>
      </w:pPr>
      <w:r>
        <w:rPr>
          <w:rFonts w:ascii="Times New Roman" w:hAnsi="Times New Roman"/>
          <w:b w:val="0"/>
          <w:i w:val="0"/>
          <w:sz w:val="22"/>
        </w:rPr>
        <w:t>TopK1 vs Random Top-1: DM = 0.42, p = 0.672 (not significant). The ML conviction ranking produces daily returns statistically indistinguishable from random stock selection at daily frequency. All remaining comparisons (TopK1 vs Equal-Weight, vs SPY Buy &amp; Hold, vs TopK2, TopK3, Threshold P60, and Baseline P50) are highly significant in the expected direction — TopK1 is measurably worse than any sensible diversified alternative.</w:t>
      </w:r>
    </w:p>
    <w:p>
      <w:pPr>
        <w:jc w:val="center"/>
      </w:pPr>
      <w:r>
        <w:drawing>
          <wp:inline xmlns:a="http://schemas.openxmlformats.org/drawingml/2006/main" xmlns:pic="http://schemas.openxmlformats.org/drawingml/2006/picture">
            <wp:extent cx="5486400" cy="2263348"/>
            <wp:docPr id="10" name="Picture 10"/>
            <wp:cNvGraphicFramePr>
              <a:graphicFrameLocks noChangeAspect="1"/>
            </wp:cNvGraphicFramePr>
            <a:graphic>
              <a:graphicData uri="http://schemas.openxmlformats.org/drawingml/2006/picture">
                <pic:pic>
                  <pic:nvPicPr>
                    <pic:cNvPr id="0" name="fig11_dm_test.png"/>
                    <pic:cNvPicPr/>
                  </pic:nvPicPr>
                  <pic:blipFill>
                    <a:blip r:embed="rId18"/>
                    <a:stretch>
                      <a:fillRect/>
                    </a:stretch>
                  </pic:blipFill>
                  <pic:spPr>
                    <a:xfrm>
                      <a:off x="0" y="0"/>
                      <a:ext cx="5486400" cy="2263348"/>
                    </a:xfrm>
                    <a:prstGeom prst="rect"/>
                  </pic:spPr>
                </pic:pic>
              </a:graphicData>
            </a:graphic>
          </wp:inline>
        </w:drawing>
      </w:r>
    </w:p>
    <w:p>
      <w:pPr>
        <w:spacing w:before="80" w:after="200"/>
        <w:jc w:val="center"/>
      </w:pPr>
      <w:r>
        <w:rPr>
          <w:rFonts w:ascii="Times New Roman" w:hAnsi="Times New Roman"/>
          <w:b/>
          <w:i w:val="0"/>
          <w:sz w:val="19"/>
        </w:rPr>
        <w:t>Figure 11.</w:t>
      </w:r>
      <w:r>
        <w:rPr>
          <w:rFonts w:ascii="Times New Roman" w:hAnsi="Times New Roman"/>
          <w:b w:val="0"/>
          <w:i w:val="0"/>
          <w:sz w:val="19"/>
        </w:rPr>
        <w:t>. Diebold-Mariano test results (HLN-corrected, HAC errors). TopK1 is statistically indistinguishable from Random Top-1 (p = 0.672) but significantly worse than all diversified benchmarks. This directly confirms the central claim at the daily return level.</w:t>
      </w:r>
    </w:p>
    <w:p>
      <w:pPr>
        <w:keepNext/>
        <w:spacing w:before="280" w:after="80"/>
      </w:pPr>
      <w:r>
        <w:rPr>
          <w:rFonts w:ascii="Times New Roman" w:hAnsi="Times New Roman"/>
          <w:b/>
          <w:i w:val="0"/>
          <w:color w:val="2A9D8F"/>
          <w:sz w:val="23"/>
        </w:rPr>
        <w:t>6.4 VIX-Regime-Conditioned IC</w:t>
      </w:r>
    </w:p>
    <w:p>
      <w:pPr>
        <w:spacing w:before="0" w:after="160" w:line="360" w:lineRule="auto"/>
        <w:ind w:firstLine="0"/>
      </w:pPr>
      <w:r>
        <w:rPr>
          <w:rFonts w:ascii="Times New Roman" w:hAnsi="Times New Roman"/>
          <w:b w:val="0"/>
          <w:i w:val="0"/>
          <w:sz w:val="22"/>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587"/>
            <w:shd w:val="clear" w:color="auto" w:fill="264653"/>
          </w:tcPr>
          <w:p>
            <w:r/>
            <w:r>
              <w:rPr>
                <w:rFonts w:ascii="Times New Roman" w:hAnsi="Times New Roman"/>
                <w:b/>
                <w:i w:val="0"/>
                <w:color w:val="FFFFFF"/>
                <w:sz w:val="18"/>
              </w:rPr>
              <w:t>VIX Regime</w:t>
            </w:r>
          </w:p>
        </w:tc>
        <w:tc>
          <w:tcPr>
            <w:tcW w:type="dxa" w:w="1304"/>
            <w:shd w:val="clear" w:color="auto" w:fill="264653"/>
          </w:tcPr>
          <w:p>
            <w:r/>
            <w:r>
              <w:rPr>
                <w:rFonts w:ascii="Times New Roman" w:hAnsi="Times New Roman"/>
                <w:b/>
                <w:i w:val="0"/>
                <w:color w:val="FFFFFF"/>
                <w:sz w:val="18"/>
              </w:rPr>
              <w:t>VIX Mean</w:t>
            </w:r>
          </w:p>
        </w:tc>
        <w:tc>
          <w:tcPr>
            <w:tcW w:type="dxa" w:w="1304"/>
            <w:shd w:val="clear" w:color="auto" w:fill="264653"/>
          </w:tcPr>
          <w:p>
            <w:r/>
            <w:r>
              <w:rPr>
                <w:rFonts w:ascii="Times New Roman" w:hAnsi="Times New Roman"/>
                <w:b/>
                <w:i w:val="0"/>
                <w:color w:val="FFFFFF"/>
                <w:sz w:val="18"/>
              </w:rPr>
              <w:t>N Days</w:t>
            </w:r>
          </w:p>
        </w:tc>
        <w:tc>
          <w:tcPr>
            <w:tcW w:type="dxa" w:w="1417"/>
            <w:shd w:val="clear" w:color="auto" w:fill="264653"/>
          </w:tcPr>
          <w:p>
            <w:r/>
            <w:r>
              <w:rPr>
                <w:rFonts w:ascii="Times New Roman" w:hAnsi="Times New Roman"/>
                <w:b/>
                <w:i w:val="0"/>
                <w:color w:val="FFFFFF"/>
                <w:sz w:val="18"/>
              </w:rPr>
              <w:t>Mean IC</w:t>
            </w:r>
          </w:p>
        </w:tc>
        <w:tc>
          <w:tcPr>
            <w:tcW w:type="dxa" w:w="1134"/>
            <w:shd w:val="clear" w:color="auto" w:fill="264653"/>
          </w:tcPr>
          <w:p>
            <w:r/>
            <w:r>
              <w:rPr>
                <w:rFonts w:ascii="Times New Roman" w:hAnsi="Times New Roman"/>
                <w:b/>
                <w:i w:val="0"/>
                <w:color w:val="FFFFFF"/>
                <w:sz w:val="18"/>
              </w:rPr>
              <w:t>ICIR</w:t>
            </w:r>
          </w:p>
        </w:tc>
        <w:tc>
          <w:tcPr>
            <w:tcW w:type="dxa" w:w="1417"/>
            <w:shd w:val="clear" w:color="auto" w:fill="264653"/>
          </w:tcPr>
          <w:p>
            <w:r/>
            <w:r>
              <w:rPr>
                <w:rFonts w:ascii="Times New Roman" w:hAnsi="Times New Roman"/>
                <w:b/>
                <w:i w:val="0"/>
                <w:color w:val="FFFFFF"/>
                <w:sz w:val="18"/>
              </w:rPr>
              <w:t>p-value</w:t>
            </w:r>
          </w:p>
        </w:tc>
        <w:tc>
          <w:tcPr>
            <w:tcW w:type="dxa" w:w="1134"/>
            <w:shd w:val="clear" w:color="auto" w:fill="264653"/>
          </w:tcPr>
          <w:p>
            <w:r/>
            <w:r>
              <w:rPr>
                <w:rFonts w:ascii="Times New Roman" w:hAnsi="Times New Roman"/>
                <w:b/>
                <w:i w:val="0"/>
                <w:color w:val="FFFFFF"/>
                <w:sz w:val="18"/>
              </w:rPr>
              <w:t>Gate</w:t>
            </w:r>
          </w:p>
        </w:tc>
      </w:tr>
      <w:tr>
        <w:tc>
          <w:tcPr>
            <w:tcW w:type="dxa" w:w="1587"/>
            <w:shd w:val="clear" w:color="auto" w:fill="E8F4F8"/>
          </w:tcPr>
          <w:p>
            <w:pPr>
              <w:jc w:val="left"/>
            </w:pPr>
            <w:r/>
            <w:r>
              <w:rPr>
                <w:rFonts w:ascii="Times New Roman" w:hAnsi="Times New Roman"/>
                <w:b w:val="0"/>
                <w:i w:val="0"/>
                <w:sz w:val="18"/>
              </w:rPr>
              <w:t>Low VIX</w:t>
            </w:r>
          </w:p>
        </w:tc>
        <w:tc>
          <w:tcPr>
            <w:tcW w:type="dxa" w:w="1304"/>
            <w:shd w:val="clear" w:color="auto" w:fill="E8F4F8"/>
          </w:tcPr>
          <w:p>
            <w:pPr>
              <w:jc w:val="center"/>
            </w:pPr>
            <w:r/>
            <w:r>
              <w:rPr>
                <w:rFonts w:ascii="Times New Roman" w:hAnsi="Times New Roman"/>
                <w:b w:val="0"/>
                <w:i w:val="0"/>
                <w:sz w:val="18"/>
              </w:rPr>
              <w:t>13.97</w:t>
            </w:r>
          </w:p>
        </w:tc>
        <w:tc>
          <w:tcPr>
            <w:tcW w:type="dxa" w:w="1304"/>
            <w:shd w:val="clear" w:color="auto" w:fill="E8F4F8"/>
          </w:tcPr>
          <w:p>
            <w:pPr>
              <w:jc w:val="center"/>
            </w:pPr>
            <w:r/>
            <w:r>
              <w:rPr>
                <w:rFonts w:ascii="Times New Roman" w:hAnsi="Times New Roman"/>
                <w:b w:val="0"/>
                <w:i w:val="0"/>
                <w:sz w:val="18"/>
              </w:rPr>
              <w:t>486</w:t>
            </w:r>
          </w:p>
        </w:tc>
        <w:tc>
          <w:tcPr>
            <w:tcW w:type="dxa" w:w="1417"/>
            <w:shd w:val="clear" w:color="auto" w:fill="E8F4F8"/>
          </w:tcPr>
          <w:p>
            <w:pPr>
              <w:jc w:val="center"/>
            </w:pPr>
            <w:r/>
            <w:r>
              <w:rPr>
                <w:rFonts w:ascii="Times New Roman" w:hAnsi="Times New Roman"/>
                <w:b w:val="0"/>
                <w:i w:val="0"/>
                <w:sz w:val="18"/>
              </w:rPr>
              <w:t>+0.0106</w:t>
            </w:r>
          </w:p>
        </w:tc>
        <w:tc>
          <w:tcPr>
            <w:tcW w:type="dxa" w:w="1134"/>
            <w:shd w:val="clear" w:color="auto" w:fill="E8F4F8"/>
          </w:tcPr>
          <w:p>
            <w:pPr>
              <w:jc w:val="center"/>
            </w:pPr>
            <w:r/>
            <w:r>
              <w:rPr>
                <w:rFonts w:ascii="Times New Roman" w:hAnsi="Times New Roman"/>
                <w:b w:val="0"/>
                <w:i w:val="0"/>
                <w:sz w:val="18"/>
              </w:rPr>
              <w:t>+0.047</w:t>
            </w:r>
          </w:p>
        </w:tc>
        <w:tc>
          <w:tcPr>
            <w:tcW w:type="dxa" w:w="1417"/>
            <w:shd w:val="clear" w:color="auto" w:fill="E8F4F8"/>
          </w:tcPr>
          <w:p>
            <w:pPr>
              <w:jc w:val="center"/>
            </w:pPr>
            <w:r/>
            <w:r>
              <w:rPr>
                <w:rFonts w:ascii="Times New Roman" w:hAnsi="Times New Roman"/>
                <w:b w:val="0"/>
                <w:i w:val="0"/>
                <w:sz w:val="18"/>
              </w:rPr>
              <w:t>0.152</w:t>
            </w:r>
          </w:p>
        </w:tc>
        <w:tc>
          <w:tcPr>
            <w:tcW w:type="dxa" w:w="1134"/>
            <w:shd w:val="clear" w:color="auto" w:fill="E8F4F8"/>
          </w:tcPr>
          <w:p>
            <w:pPr>
              <w:jc w:val="center"/>
            </w:pPr>
            <w:r/>
            <w:r>
              <w:rPr>
                <w:rFonts w:ascii="Times New Roman" w:hAnsi="Times New Roman"/>
                <w:b w:val="0"/>
                <w:i w:val="0"/>
                <w:sz w:val="18"/>
              </w:rPr>
              <w:t>CLOSED</w:t>
            </w:r>
          </w:p>
        </w:tc>
      </w:tr>
      <w:tr>
        <w:tc>
          <w:tcPr>
            <w:tcW w:type="dxa" w:w="1587"/>
          </w:tcPr>
          <w:p>
            <w:pPr>
              <w:jc w:val="left"/>
            </w:pPr>
            <w:r/>
            <w:r>
              <w:rPr>
                <w:rFonts w:ascii="Times New Roman" w:hAnsi="Times New Roman"/>
                <w:b w:val="0"/>
                <w:i w:val="0"/>
                <w:sz w:val="18"/>
              </w:rPr>
              <w:t>Mid VIX</w:t>
            </w:r>
          </w:p>
        </w:tc>
        <w:tc>
          <w:tcPr>
            <w:tcW w:type="dxa" w:w="1304"/>
          </w:tcPr>
          <w:p>
            <w:pPr>
              <w:jc w:val="center"/>
            </w:pPr>
            <w:r/>
            <w:r>
              <w:rPr>
                <w:rFonts w:ascii="Times New Roman" w:hAnsi="Times New Roman"/>
                <w:b w:val="0"/>
                <w:i w:val="0"/>
                <w:sz w:val="18"/>
              </w:rPr>
              <w:t>18.98</w:t>
            </w:r>
          </w:p>
        </w:tc>
        <w:tc>
          <w:tcPr>
            <w:tcW w:type="dxa" w:w="1304"/>
          </w:tcPr>
          <w:p>
            <w:pPr>
              <w:jc w:val="center"/>
            </w:pPr>
            <w:r/>
            <w:r>
              <w:rPr>
                <w:rFonts w:ascii="Times New Roman" w:hAnsi="Times New Roman"/>
                <w:b w:val="0"/>
                <w:i w:val="0"/>
                <w:sz w:val="18"/>
              </w:rPr>
              <w:t>485</w:t>
            </w:r>
          </w:p>
        </w:tc>
        <w:tc>
          <w:tcPr>
            <w:tcW w:type="dxa" w:w="1417"/>
          </w:tcPr>
          <w:p>
            <w:pPr>
              <w:jc w:val="center"/>
            </w:pPr>
            <w:r/>
            <w:r>
              <w:rPr>
                <w:rFonts w:ascii="Times New Roman" w:hAnsi="Times New Roman"/>
                <w:b w:val="0"/>
                <w:i w:val="0"/>
                <w:sz w:val="18"/>
              </w:rPr>
              <w:t>−0.0106</w:t>
            </w:r>
          </w:p>
        </w:tc>
        <w:tc>
          <w:tcPr>
            <w:tcW w:type="dxa" w:w="1134"/>
          </w:tcPr>
          <w:p>
            <w:pPr>
              <w:jc w:val="center"/>
            </w:pPr>
            <w:r/>
            <w:r>
              <w:rPr>
                <w:rFonts w:ascii="Times New Roman" w:hAnsi="Times New Roman"/>
                <w:b w:val="0"/>
                <w:i w:val="0"/>
                <w:sz w:val="18"/>
              </w:rPr>
              <w:t>−0.050</w:t>
            </w:r>
          </w:p>
        </w:tc>
        <w:tc>
          <w:tcPr>
            <w:tcW w:type="dxa" w:w="1417"/>
          </w:tcPr>
          <w:p>
            <w:pPr>
              <w:jc w:val="center"/>
            </w:pPr>
            <w:r/>
            <w:r>
              <w:rPr>
                <w:rFonts w:ascii="Times New Roman" w:hAnsi="Times New Roman"/>
                <w:b w:val="0"/>
                <w:i w:val="0"/>
                <w:sz w:val="18"/>
              </w:rPr>
              <w:t>0.136</w:t>
            </w:r>
          </w:p>
        </w:tc>
        <w:tc>
          <w:tcPr>
            <w:tcW w:type="dxa" w:w="1134"/>
          </w:tcPr>
          <w:p>
            <w:pPr>
              <w:jc w:val="center"/>
            </w:pPr>
            <w:r/>
            <w:r>
              <w:rPr>
                <w:rFonts w:ascii="Times New Roman" w:hAnsi="Times New Roman"/>
                <w:b w:val="0"/>
                <w:i w:val="0"/>
                <w:sz w:val="18"/>
              </w:rPr>
              <w:t>CLOSED</w:t>
            </w:r>
          </w:p>
        </w:tc>
      </w:tr>
      <w:tr>
        <w:tc>
          <w:tcPr>
            <w:tcW w:type="dxa" w:w="1587"/>
            <w:shd w:val="clear" w:color="auto" w:fill="E8F4F8"/>
          </w:tcPr>
          <w:p>
            <w:pPr>
              <w:jc w:val="left"/>
            </w:pPr>
            <w:r/>
            <w:r>
              <w:rPr>
                <w:rFonts w:ascii="Times New Roman" w:hAnsi="Times New Roman"/>
                <w:b w:val="0"/>
                <w:i w:val="0"/>
                <w:sz w:val="18"/>
              </w:rPr>
              <w:t>High VIX</w:t>
            </w:r>
          </w:p>
        </w:tc>
        <w:tc>
          <w:tcPr>
            <w:tcW w:type="dxa" w:w="1304"/>
            <w:shd w:val="clear" w:color="auto" w:fill="E8F4F8"/>
          </w:tcPr>
          <w:p>
            <w:pPr>
              <w:jc w:val="center"/>
            </w:pPr>
            <w:r/>
            <w:r>
              <w:rPr>
                <w:rFonts w:ascii="Times New Roman" w:hAnsi="Times New Roman"/>
                <w:b w:val="0"/>
                <w:i w:val="0"/>
                <w:sz w:val="18"/>
              </w:rPr>
              <w:t>29.01</w:t>
            </w:r>
          </w:p>
        </w:tc>
        <w:tc>
          <w:tcPr>
            <w:tcW w:type="dxa" w:w="1304"/>
            <w:shd w:val="clear" w:color="auto" w:fill="E8F4F8"/>
          </w:tcPr>
          <w:p>
            <w:pPr>
              <w:jc w:val="center"/>
            </w:pPr>
            <w:r/>
            <w:r>
              <w:rPr>
                <w:rFonts w:ascii="Times New Roman" w:hAnsi="Times New Roman"/>
                <w:b w:val="0"/>
                <w:i w:val="0"/>
                <w:sz w:val="18"/>
              </w:rPr>
              <w:t>485</w:t>
            </w:r>
          </w:p>
        </w:tc>
        <w:tc>
          <w:tcPr>
            <w:tcW w:type="dxa" w:w="1417"/>
            <w:shd w:val="clear" w:color="auto" w:fill="E8F4F8"/>
          </w:tcPr>
          <w:p>
            <w:pPr>
              <w:jc w:val="center"/>
            </w:pPr>
            <w:r/>
            <w:r>
              <w:rPr>
                <w:rFonts w:ascii="Times New Roman" w:hAnsi="Times New Roman"/>
                <w:b w:val="0"/>
                <w:i w:val="0"/>
                <w:sz w:val="18"/>
              </w:rPr>
              <w:t>−0.0111</w:t>
            </w:r>
          </w:p>
        </w:tc>
        <w:tc>
          <w:tcPr>
            <w:tcW w:type="dxa" w:w="1134"/>
            <w:shd w:val="clear" w:color="auto" w:fill="E8F4F8"/>
          </w:tcPr>
          <w:p>
            <w:pPr>
              <w:jc w:val="center"/>
            </w:pPr>
            <w:r/>
            <w:r>
              <w:rPr>
                <w:rFonts w:ascii="Times New Roman" w:hAnsi="Times New Roman"/>
                <w:b w:val="0"/>
                <w:i w:val="0"/>
                <w:sz w:val="18"/>
              </w:rPr>
              <w:t>−0.049</w:t>
            </w:r>
          </w:p>
        </w:tc>
        <w:tc>
          <w:tcPr>
            <w:tcW w:type="dxa" w:w="1417"/>
            <w:shd w:val="clear" w:color="auto" w:fill="E8F4F8"/>
          </w:tcPr>
          <w:p>
            <w:pPr>
              <w:jc w:val="center"/>
            </w:pPr>
            <w:r/>
            <w:r>
              <w:rPr>
                <w:rFonts w:ascii="Times New Roman" w:hAnsi="Times New Roman"/>
                <w:b w:val="0"/>
                <w:i w:val="0"/>
                <w:sz w:val="18"/>
              </w:rPr>
              <w:t>0.141</w:t>
            </w:r>
          </w:p>
        </w:tc>
        <w:tc>
          <w:tcPr>
            <w:tcW w:type="dxa" w:w="1134"/>
            <w:shd w:val="clear" w:color="auto" w:fill="E8F4F8"/>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9.</w:t>
      </w:r>
      <w:r>
        <w:rPr>
          <w:rFonts w:ascii="Times New Roman" w:hAnsi="Times New Roman"/>
          <w:b w:val="0"/>
          <w:i w:val="0"/>
          <w:sz w:val="19"/>
        </w:rPr>
        <w:t xml:space="preserve"> VIX-conditioned IC statistics. The IC gate stays closed in all three volatility regimes. High-VIX periods do not activate the technical signal.</w:t>
      </w:r>
    </w:p>
    <w:p>
      <w:pPr>
        <w:spacing w:before="0" w:after="160" w:line="360" w:lineRule="auto"/>
        <w:ind w:firstLine="0"/>
      </w:pPr>
      <w:r>
        <w:rPr>
          <w:rFonts w:ascii="Times New Roman" w:hAnsi="Times New Roman"/>
          <w:b w:val="0"/>
          <w:i w:val="0"/>
          <w:sz w:val="22"/>
        </w:rPr>
        <w:t>The IC gate stays closed in all three regimes. Low-VIX mean IC is +0.0106 (p = 0.152), mid-VIX is −0.0106 (p = 0.136), and high-VIX is −0.0111 (p = 0.141). None approaches the 0.05 significance threshold. The hypothesis that high market volatility activates the technical indicator signal class is rejected.</w:t>
      </w:r>
    </w:p>
    <w:p>
      <w:pPr>
        <w:jc w:val="center"/>
      </w:pPr>
      <w:r>
        <w:drawing>
          <wp:inline xmlns:a="http://schemas.openxmlformats.org/drawingml/2006/main" xmlns:pic="http://schemas.openxmlformats.org/drawingml/2006/picture">
            <wp:extent cx="5303520" cy="1991864"/>
            <wp:docPr id="11" name="Picture 11"/>
            <wp:cNvGraphicFramePr>
              <a:graphicFrameLocks noChangeAspect="1"/>
            </wp:cNvGraphicFramePr>
            <a:graphic>
              <a:graphicData uri="http://schemas.openxmlformats.org/drawingml/2006/picture">
                <pic:pic>
                  <pic:nvPicPr>
                    <pic:cNvPr id="0" name="fig09_vix_ic.png"/>
                    <pic:cNvPicPr/>
                  </pic:nvPicPr>
                  <pic:blipFill>
                    <a:blip r:embed="rId19"/>
                    <a:stretch>
                      <a:fillRect/>
                    </a:stretch>
                  </pic:blipFill>
                  <pic:spPr>
                    <a:xfrm>
                      <a:off x="0" y="0"/>
                      <a:ext cx="5303520" cy="1991864"/>
                    </a:xfrm>
                    <a:prstGeom prst="rect"/>
                  </pic:spPr>
                </pic:pic>
              </a:graphicData>
            </a:graphic>
          </wp:inline>
        </w:drawing>
      </w:r>
    </w:p>
    <w:p>
      <w:pPr>
        <w:spacing w:before="80" w:after="200"/>
        <w:jc w:val="center"/>
      </w:pPr>
      <w:r>
        <w:rPr>
          <w:rFonts w:ascii="Times New Roman" w:hAnsi="Times New Roman"/>
          <w:b/>
          <w:i w:val="0"/>
          <w:sz w:val="19"/>
        </w:rPr>
        <w:t>Figure 9.</w:t>
      </w:r>
      <w:r>
        <w:rPr>
          <w:rFonts w:ascii="Times New Roman" w:hAnsi="Times New Roman"/>
          <w:b w:val="0"/>
          <w:i w:val="0"/>
          <w:sz w:val="19"/>
        </w:rPr>
        <w:t>. VIX-regime-conditioned IC analysis. The IC gate stays closed across all three VIX terciles, ruling out the hypothesis that cross-sectional predictability emerges during high-dispersion periods.</w:t>
      </w:r>
    </w:p>
    <w:p>
      <w:pPr>
        <w:keepNext/>
        <w:spacing w:before="280" w:after="80"/>
      </w:pPr>
      <w:r>
        <w:rPr>
          <w:rFonts w:ascii="Times New Roman" w:hAnsi="Times New Roman"/>
          <w:b/>
          <w:i w:val="0"/>
          <w:color w:val="2A9D8F"/>
          <w:sz w:val="23"/>
        </w:rPr>
        <w:t>6.5 Block Bootstrap Confidence Intervals</w:t>
      </w:r>
    </w:p>
    <w:p>
      <w:pPr>
        <w:spacing w:before="0" w:after="160" w:line="360" w:lineRule="auto"/>
        <w:ind w:firstLine="0"/>
      </w:pPr>
      <w:r>
        <w:rPr>
          <w:rFonts w:ascii="Times New Roman" w:hAnsi="Times New Roman"/>
          <w:b w:val="0"/>
          <w:i w:val="0"/>
          <w:sz w:val="22"/>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pPr>
        <w:spacing w:before="0" w:after="160" w:line="360" w:lineRule="auto"/>
        <w:ind w:firstLine="0"/>
      </w:pPr>
      <w:r>
        <w:rPr>
          <w:rFonts w:ascii="Times New Roman" w:hAnsi="Times New Roman"/>
          <w:b w:val="0"/>
          <w:i w:val="0"/>
          <w:sz w:val="22"/>
        </w:rPr>
        <w:t>All 12 fold-level 95% CIs span zero (ci_excludes_zero = False for every fold).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pPr>
        <w:jc w:val="center"/>
      </w:pPr>
      <w:r>
        <w:drawing>
          <wp:inline xmlns:a="http://schemas.openxmlformats.org/drawingml/2006/main" xmlns:pic="http://schemas.openxmlformats.org/drawingml/2006/picture">
            <wp:extent cx="5669280" cy="2762595"/>
            <wp:docPr id="12" name="Picture 12"/>
            <wp:cNvGraphicFramePr>
              <a:graphicFrameLocks noChangeAspect="1"/>
            </wp:cNvGraphicFramePr>
            <a:graphic>
              <a:graphicData uri="http://schemas.openxmlformats.org/drawingml/2006/picture">
                <pic:pic>
                  <pic:nvPicPr>
                    <pic:cNvPr id="0" name="fig12_gate_summary.png"/>
                    <pic:cNvPicPr/>
                  </pic:nvPicPr>
                  <pic:blipFill>
                    <a:blip r:embed="rId20"/>
                    <a:stretch>
                      <a:fillRect/>
                    </a:stretch>
                  </pic:blipFill>
                  <pic:spPr>
                    <a:xfrm>
                      <a:off x="0" y="0"/>
                      <a:ext cx="5669280" cy="2762595"/>
                    </a:xfrm>
                    <a:prstGeom prst="rect"/>
                  </pic:spPr>
                </pic:pic>
              </a:graphicData>
            </a:graphic>
          </wp:inline>
        </w:drawing>
      </w:r>
    </w:p>
    <w:p>
      <w:pPr>
        <w:spacing w:before="80" w:after="200"/>
        <w:jc w:val="center"/>
      </w:pPr>
      <w:r>
        <w:rPr>
          <w:rFonts w:ascii="Times New Roman" w:hAnsi="Times New Roman"/>
          <w:b/>
          <w:i w:val="0"/>
          <w:sz w:val="19"/>
        </w:rPr>
        <w:t>Figure 12.</w:t>
      </w:r>
      <w:r>
        <w:rPr>
          <w:rFonts w:ascii="Times New Roman" w:hAnsi="Times New Roman"/>
          <w:b w:val="0"/>
          <w:i w:val="0"/>
          <w:sz w:val="19"/>
        </w:rPr>
        <w:t>. IC gate summary panel. (Left) IC signal statistics across the full OOS window. (Centre) Fold-level IC point estimates — no fold shows persistent directional bias. (Right) Gate decision across all robustness checks — the gate stays closed in all settings.</w:t>
      </w:r>
    </w:p>
    <w:p>
      <w:pPr>
        <w:keepNext/>
        <w:spacing w:before="280" w:after="80"/>
      </w:pPr>
      <w:r>
        <w:rPr>
          <w:rFonts w:ascii="Times New Roman" w:hAnsi="Times New Roman"/>
          <w:b/>
          <w:i w:val="0"/>
          <w:color w:val="264653"/>
          <w:sz w:val="26"/>
        </w:rPr>
        <w:t>7. Discussion</w:t>
      </w:r>
    </w:p>
    <w:p>
      <w:pPr>
        <w:keepNext/>
        <w:spacing w:before="280" w:after="80"/>
      </w:pPr>
      <w:r>
        <w:rPr>
          <w:rFonts w:ascii="Times New Roman" w:hAnsi="Times New Roman"/>
          <w:b/>
          <w:i w:val="0"/>
          <w:color w:val="2A9D8F"/>
          <w:sz w:val="23"/>
        </w:rPr>
        <w:t>7.1 Why the Gate Closing is the Right Answer</w:t>
      </w:r>
    </w:p>
    <w:p>
      <w:pPr>
        <w:spacing w:before="0" w:after="160" w:line="360" w:lineRule="auto"/>
        <w:ind w:firstLine="0"/>
      </w:pPr>
      <w:r>
        <w:rPr>
          <w:rFonts w:ascii="Times New Roman" w:hAnsi="Times New Roman"/>
          <w:b w:val="0"/>
          <w:i w:val="0"/>
          <w:sz w:val="22"/>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w:t>
      </w:r>
    </w:p>
    <w:p>
      <w:pPr>
        <w:spacing w:before="0" w:after="160" w:line="360" w:lineRule="auto"/>
        <w:ind w:firstLine="0"/>
      </w:pPr>
      <w:r>
        <w:rPr>
          <w:rFonts w:ascii="Times New Roman" w:hAnsi="Times New Roman"/>
          <w:b w:val="0"/>
          <w:i w:val="0"/>
          <w:sz w:val="22"/>
        </w:rPr>
        <w:t>Our result is consistent with but distinct from the broader ML-in-finance literature. Gu et al. (2020) find positive return predictability, but their universe spans the full US cross-section including small-cap stocks where efficiency is weaker, and their horizon is monthly rather than daily. The daily, large-cap, single-sector setting we study is substantially harder. We do not claim ML models fail in general — we claim this signal class, in this universe, at this frequency, finds no signal.</w:t>
      </w:r>
    </w:p>
    <w:p>
      <w:pPr>
        <w:keepNext/>
        <w:spacing w:before="280" w:after="80"/>
      </w:pPr>
      <w:r>
        <w:rPr>
          <w:rFonts w:ascii="Times New Roman" w:hAnsi="Times New Roman"/>
          <w:b/>
          <w:i w:val="0"/>
          <w:color w:val="2A9D8F"/>
          <w:sz w:val="23"/>
        </w:rPr>
        <w:t>7.2 Calibration Orthogonality</w:t>
      </w:r>
    </w:p>
    <w:p>
      <w:pPr>
        <w:spacing w:before="0" w:after="160" w:line="360" w:lineRule="auto"/>
        <w:ind w:firstLine="0"/>
      </w:pPr>
      <w:r>
        <w:rPr>
          <w:rFonts w:ascii="Times New Roman" w:hAnsi="Times New Roman"/>
          <w:b w:val="0"/>
          <w:i w:val="0"/>
          <w:sz w:val="22"/>
        </w:rPr>
        <w:t>The finding that calibration quality (ECE &lt; 0.025) is orthogonal to discriminative content (IC ≈ 0) has practical implications.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pPr>
        <w:spacing w:before="0" w:after="160" w:line="360" w:lineRule="auto"/>
        <w:ind w:firstLine="0"/>
      </w:pPr>
      <w:r>
        <w:rPr>
          <w:rFonts w:ascii="Times New Roman" w:hAnsi="Times New Roman"/>
          <w:b w:val="0"/>
          <w:i w:val="0"/>
          <w:sz w:val="22"/>
        </w:rPr>
        <w:t>This distinction matters for model evaluation in finance. 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pPr>
        <w:keepNext/>
        <w:spacing w:before="280" w:after="80"/>
      </w:pPr>
      <w:r>
        <w:rPr>
          <w:rFonts w:ascii="Times New Roman" w:hAnsi="Times New Roman"/>
          <w:b/>
          <w:i w:val="0"/>
          <w:color w:val="2A9D8F"/>
          <w:sz w:val="23"/>
        </w:rPr>
        <w:t>7.3 The IC Gate as Methodological Contribution</w:t>
      </w:r>
    </w:p>
    <w:p>
      <w:pPr>
        <w:spacing w:before="0" w:after="160" w:line="360" w:lineRule="auto"/>
        <w:ind w:firstLine="0"/>
      </w:pPr>
      <w:r>
        <w:rPr>
          <w:rFonts w:ascii="Times New Roman" w:hAnsi="Times New Roman"/>
          <w:b w:val="0"/>
          <w:i w:val="0"/>
          <w:sz w:val="22"/>
        </w:rPr>
        <w:t>Beyond the empirical finding, the IC gate mechanism is a reusable methodological contribution. Any walk-forward conviction ranking system can incorporate the same two-stage gate: a parametric HAC t-test for speed, and a permutation test for non-parametric confirmation. The gate prevents the researcher from deploying capital based on fold-specific IC fluctuations that may not persist.</w:t>
      </w:r>
    </w:p>
    <w:p>
      <w:pPr>
        <w:spacing w:before="0" w:after="160" w:line="360" w:lineRule="auto"/>
        <w:ind w:firstLine="0"/>
      </w:pPr>
      <w:r>
        <w:rPr>
          <w:rFonts w:ascii="Times New Roman" w:hAnsi="Times New Roman"/>
          <w:b w:val="0"/>
          <w:i w:val="0"/>
          <w:sz w:val="22"/>
        </w:rPr>
        <w:t>A useful property of the gate is that it provides a null result that is itself informative. Publishing that the gate stayed closed contributes to the literature by establishing a well-controlled negative result with five independent robustness checks. Harvey et al. (2016) argue that the multiple-testing problem has produced hundreds of false-positive factor discoveries. Publishing negative results with rigorous methodology is a partial corrective.</w:t>
      </w:r>
    </w:p>
    <w:p>
      <w:pPr>
        <w:keepNext/>
        <w:spacing w:before="280" w:after="80"/>
      </w:pPr>
      <w:r>
        <w:rPr>
          <w:rFonts w:ascii="Times New Roman" w:hAnsi="Times New Roman"/>
          <w:b/>
          <w:i w:val="0"/>
          <w:color w:val="264653"/>
          <w:sz w:val="26"/>
        </w:rPr>
        <w:t>8. Limitations</w:t>
      </w:r>
    </w:p>
    <w:p>
      <w:pPr>
        <w:spacing w:before="0" w:after="120" w:line="360" w:lineRule="auto"/>
        <w:ind w:firstLine="0"/>
      </w:pPr>
      <w:r>
        <w:rPr>
          <w:rFonts w:ascii="Times New Roman" w:hAnsi="Times New Roman"/>
          <w:b w:val="0"/>
          <w:i w:val="0"/>
          <w:sz w:val="22"/>
        </w:rPr>
        <w:t>Four limitations qualify the interpretation of our results.</w:t>
      </w:r>
    </w:p>
    <w:p>
      <w:pPr>
        <w:spacing w:before="0" w:after="120" w:line="360" w:lineRule="auto"/>
        <w:ind w:firstLine="0"/>
      </w:pPr>
      <w:r>
        <w:rPr>
          <w:rFonts w:ascii="Times New Roman" w:hAnsi="Times New Roman"/>
          <w:b w:val="0"/>
          <w:i w:val="0"/>
          <w:sz w:val="22"/>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pPr>
        <w:spacing w:before="0" w:after="120" w:line="360" w:lineRule="auto"/>
        <w:ind w:firstLine="0"/>
      </w:pPr>
      <w:r>
        <w:rPr>
          <w:rFonts w:ascii="Times New Roman" w:hAnsi="Times New Roman"/>
          <w:b w:val="0"/>
          <w:i w:val="0"/>
          <w:sz w:val="22"/>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pPr>
        <w:spacing w:before="0" w:after="120" w:line="360" w:lineRule="auto"/>
        <w:ind w:firstLine="0"/>
      </w:pPr>
      <w:r>
        <w:rPr>
          <w:rFonts w:ascii="Times New Roman" w:hAnsi="Times New Roman"/>
          <w:b w:val="0"/>
          <w:i w:val="0"/>
          <w:sz w:val="22"/>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pPr>
        <w:spacing w:before="0" w:after="160" w:line="360" w:lineRule="auto"/>
        <w:ind w:firstLine="0"/>
      </w:pPr>
      <w:r>
        <w:rPr>
          <w:rFonts w:ascii="Times New Roman" w:hAnsi="Times New Roman"/>
          <w:b w:val="0"/>
          <w:i w:val="0"/>
          <w:sz w:val="22"/>
        </w:rPr>
        <w:t>Execution assumptions. We assume close-to-close execution with a fixed 5 bps round-trip cost. In practice, market impact is convex in position size and would make even a non-zero-IC strategy substantially harder to monetise at institutional scale. Our cost sensitivity analysis (Section 5.6) shows the strategy fails even at zero cost, so this limitation does not change the sign of the conclusion.</w:t>
      </w:r>
    </w:p>
    <w:p>
      <w:pPr>
        <w:keepNext/>
        <w:spacing w:before="280" w:after="80"/>
      </w:pPr>
      <w:r>
        <w:rPr>
          <w:rFonts w:ascii="Times New Roman" w:hAnsi="Times New Roman"/>
          <w:b/>
          <w:i w:val="0"/>
          <w:color w:val="264653"/>
          <w:sz w:val="26"/>
        </w:rPr>
        <w:t>9. Conclusion</w:t>
      </w:r>
    </w:p>
    <w:p>
      <w:pPr>
        <w:spacing w:before="0" w:after="160" w:line="360" w:lineRule="auto"/>
        <w:ind w:firstLine="0"/>
      </w:pPr>
      <w:r>
        <w:rPr>
          <w:rFonts w:ascii="Times New Roman" w:hAnsi="Times New Roman"/>
          <w:b w:val="0"/>
          <w:i w:val="0"/>
          <w:sz w:val="22"/>
        </w:rPr>
        <w:t>We find no exploitable cross-sectional predictability in large-cap NASDAQ equities using a 49-feature technical indicator ensemble over a 6-year out-of-sample window. The IC gate stays closed throughout: mean IC = −0.0005, t = −0.09, p = 0.464. The Diebold-Mariano test confirms the ML conviction ranking is statistically indistinguishable from random selection at daily frequency.</w:t>
      </w:r>
    </w:p>
    <w:p>
      <w:pPr>
        <w:spacing w:before="0" w:after="160" w:line="360" w:lineRule="auto"/>
        <w:ind w:firstLine="0"/>
      </w:pPr>
      <w:r>
        <w:rPr>
          <w:rFonts w:ascii="Times New Roman" w:hAnsi="Times New Roman"/>
          <w:b w:val="0"/>
          <w:i w:val="0"/>
          <w:sz w:val="22"/>
        </w:rPr>
        <w:t>Five robustness checks — expanded universe (N=100), feature attribution, DM test, VIX-regime conditioning, and block bootstrap CIs — all confirm the null. The ensemble is well-calibrated (ECE &lt; 0.025), demonstrating that model quality is not the limiting factor. The technical indicator signal class, applied to large-cap NASDAQ stocks at daily frequency, carries no cross-sectional information detectable above noise.</w:t>
      </w:r>
    </w:p>
    <w:p>
      <w:pPr>
        <w:spacing w:before="0" w:after="240" w:line="360" w:lineRule="auto"/>
        <w:ind w:firstLine="0"/>
      </w:pPr>
      <w:r>
        <w:rPr>
          <w:rFonts w:ascii="Times New Roman" w:hAnsi="Times New Roman"/>
          <w:b w:val="0"/>
          <w:i w:val="0"/>
          <w:sz w:val="22"/>
        </w:rPr>
        <w:t>We interpret this as a methodologically clean negative result: a properly designed IC gate, applied honestly, correctly blocks position-taking when no signal exists. Future work could test whether richer information sets — including fundamental data, NLP-derived sentiment, or options-implied signals — can open the gate in this market segment, or whether the null result reflects structural efficiency rather than feature-class limitation.</w:t>
      </w:r>
    </w:p>
    <w:p>
      <w:pPr>
        <w:keepNext/>
        <w:spacing w:before="280" w:after="80"/>
      </w:pPr>
      <w:r>
        <w:rPr>
          <w:rFonts w:ascii="Times New Roman" w:hAnsi="Times New Roman"/>
          <w:b/>
          <w:i w:val="0"/>
          <w:color w:val="264653"/>
          <w:sz w:val="26"/>
        </w:rPr>
        <w:t>References</w:t>
      </w:r>
    </w:p>
    <w:p>
      <w:pPr>
        <w:spacing w:after="100"/>
        <w:ind w:left="504" w:hanging="504"/>
      </w:pPr>
      <w:r>
        <w:rPr>
          <w:rFonts w:ascii="Times New Roman" w:hAnsi="Times New Roman"/>
          <w:b w:val="0"/>
          <w:i w:val="0"/>
          <w:sz w:val="19"/>
        </w:rPr>
        <w:t>Bailey, D. H., Borwein, J. M., Lopez de Prado, M., &amp; Zhu, Q. J. (2014). Pseudo-mathematics and financial charlatanism: The effects of backtest overfitting on out-of-sample performance. Notices of the American Mathematical Society, 61(5), 458–471.</w:t>
      </w:r>
    </w:p>
    <w:p>
      <w:pPr>
        <w:spacing w:after="100"/>
        <w:ind w:left="504" w:hanging="504"/>
      </w:pPr>
      <w:r>
        <w:rPr>
          <w:rFonts w:ascii="Times New Roman" w:hAnsi="Times New Roman"/>
          <w:b w:val="0"/>
          <w:i w:val="0"/>
          <w:sz w:val="19"/>
        </w:rPr>
        <w:t>Breiman, L. (2001). Random forests. Machine Learning, 45(1), 5–32.</w:t>
      </w:r>
    </w:p>
    <w:p>
      <w:pPr>
        <w:spacing w:after="100"/>
        <w:ind w:left="504" w:hanging="504"/>
      </w:pPr>
      <w:r>
        <w:rPr>
          <w:rFonts w:ascii="Times New Roman" w:hAnsi="Times New Roman"/>
          <w:b w:val="0"/>
          <w:i w:val="0"/>
          <w:sz w:val="19"/>
        </w:rPr>
        <w:t>Chordia, T., Roll, R., &amp; Subrahmanyam, A. (2005). Evidence on the speed of convergence to market efficiency. Journal of Financial Economics, 76(2), 271–292.</w:t>
      </w:r>
    </w:p>
    <w:p>
      <w:pPr>
        <w:spacing w:after="100"/>
        <w:ind w:left="504" w:hanging="504"/>
      </w:pPr>
      <w:r>
        <w:rPr>
          <w:rFonts w:ascii="Times New Roman" w:hAnsi="Times New Roman"/>
          <w:b w:val="0"/>
          <w:i w:val="0"/>
          <w:sz w:val="19"/>
        </w:rPr>
        <w:t>Chordia, T., Subrahmanyam, A., &amp; Tong, Q. (2014). Have capital market anomalies attenuated in the recent era of high liquidity and trading activity? Journal of Accounting and Economics, 58(1), 41–58.</w:t>
      </w:r>
    </w:p>
    <w:p>
      <w:pPr>
        <w:spacing w:after="100"/>
        <w:ind w:left="504" w:hanging="504"/>
      </w:pPr>
      <w:r>
        <w:rPr>
          <w:rFonts w:ascii="Times New Roman" w:hAnsi="Times New Roman"/>
          <w:b w:val="0"/>
          <w:i w:val="0"/>
          <w:sz w:val="19"/>
        </w:rPr>
        <w:t>Diebold, F. X., &amp; Mariano, R. S. (1995). Comparing predictive accuracy. Journal of Business &amp; Economic Statistics, 13(3), 253–263.</w:t>
      </w:r>
    </w:p>
    <w:p>
      <w:pPr>
        <w:spacing w:after="100"/>
        <w:ind w:left="504" w:hanging="504"/>
      </w:pPr>
      <w:r>
        <w:rPr>
          <w:rFonts w:ascii="Times New Roman" w:hAnsi="Times New Roman"/>
          <w:b w:val="0"/>
          <w:i w:val="0"/>
          <w:sz w:val="19"/>
        </w:rPr>
        <w:t>Fama, E. F. (1991). Efficient capital markets: II. Journal of Finance, 46(5), 1575–1617.</w:t>
      </w:r>
    </w:p>
    <w:p>
      <w:pPr>
        <w:spacing w:after="100"/>
        <w:ind w:left="504" w:hanging="504"/>
      </w:pPr>
      <w:r>
        <w:rPr>
          <w:rFonts w:ascii="Times New Roman" w:hAnsi="Times New Roman"/>
          <w:b w:val="0"/>
          <w:i w:val="0"/>
          <w:sz w:val="19"/>
        </w:rPr>
        <w:t>Freyberger, J., Neuhierl, A., &amp; Weber, M. (2020). Dissecting characteristics nonparametrically. Review of Financial Studies, 33(5), 2326–2377.</w:t>
      </w:r>
    </w:p>
    <w:p>
      <w:pPr>
        <w:spacing w:after="100"/>
        <w:ind w:left="504" w:hanging="504"/>
      </w:pPr>
      <w:r>
        <w:rPr>
          <w:rFonts w:ascii="Times New Roman" w:hAnsi="Times New Roman"/>
          <w:b w:val="0"/>
          <w:i w:val="0"/>
          <w:sz w:val="19"/>
        </w:rPr>
        <w:t>Grinold, R. C., &amp; Kahn, R. N. (1999). Active Portfolio Management: A Quantitative Approach for Producing Superior Returns and Selecting Superior Returns and Controlling Risk (2nd ed.). McGraw-Hill.</w:t>
      </w:r>
    </w:p>
    <w:p>
      <w:pPr>
        <w:spacing w:after="100"/>
        <w:ind w:left="504" w:hanging="504"/>
      </w:pPr>
      <w:r>
        <w:rPr>
          <w:rFonts w:ascii="Times New Roman" w:hAnsi="Times New Roman"/>
          <w:b w:val="0"/>
          <w:i w:val="0"/>
          <w:sz w:val="19"/>
        </w:rPr>
        <w:t>Gu, S., Kelly, B., &amp; Xiu, D. (2020). Empirical asset pricing via machine learning. Review of Financial Studies, 33(5), 2223–2273.</w:t>
      </w:r>
    </w:p>
    <w:p>
      <w:pPr>
        <w:spacing w:after="100"/>
        <w:ind w:left="504" w:hanging="504"/>
      </w:pPr>
      <w:r>
        <w:rPr>
          <w:rFonts w:ascii="Times New Roman" w:hAnsi="Times New Roman"/>
          <w:b w:val="0"/>
          <w:i w:val="0"/>
          <w:sz w:val="19"/>
        </w:rPr>
        <w:t>Guo, C., Pleiss, G., Sun, Y., &amp; Weinberger, K. Q. (2017). On calibration of modern neural networks. Proceedings of the 34th International Conference on Machine Learning (ICML), 1321–1330.</w:t>
      </w:r>
    </w:p>
    <w:p>
      <w:pPr>
        <w:spacing w:after="100"/>
        <w:ind w:left="504" w:hanging="504"/>
      </w:pPr>
      <w:r>
        <w:rPr>
          <w:rFonts w:ascii="Times New Roman" w:hAnsi="Times New Roman"/>
          <w:b w:val="0"/>
          <w:i w:val="0"/>
          <w:sz w:val="19"/>
        </w:rPr>
        <w:t>Harvey, C. R., Liu, Y., &amp; Zhu, H. (2016). …and the cross-section of expected returns. Review of Financial Studies, 29(1), 5–68.</w:t>
      </w:r>
    </w:p>
    <w:p>
      <w:pPr>
        <w:spacing w:after="100"/>
        <w:ind w:left="504" w:hanging="504"/>
      </w:pPr>
      <w:r>
        <w:rPr>
          <w:rFonts w:ascii="Times New Roman" w:hAnsi="Times New Roman"/>
          <w:b w:val="0"/>
          <w:i w:val="0"/>
          <w:sz w:val="19"/>
        </w:rPr>
        <w:t>Harvey, D., Leybourne, S., &amp; Newbold, P. (1997). Testing the equality of prediction mean squared errors. International Journal of Forecasting, 13(2), 281–291.</w:t>
      </w:r>
    </w:p>
    <w:p>
      <w:pPr>
        <w:spacing w:after="100"/>
        <w:ind w:left="504" w:hanging="504"/>
      </w:pPr>
      <w:r>
        <w:rPr>
          <w:rFonts w:ascii="Times New Roman" w:hAnsi="Times New Roman"/>
          <w:b w:val="0"/>
          <w:i w:val="0"/>
          <w:sz w:val="19"/>
        </w:rPr>
        <w:t>Lo, A. W., Mamaysky, H., &amp; Wang, J. (2000). Foundations of technical analysis: Computational algorithms, statistical inference, and empirical implementation. Journal of Finance, 55(4), 1705–1765.</w:t>
      </w:r>
    </w:p>
    <w:p>
      <w:pPr>
        <w:spacing w:after="100"/>
        <w:ind w:left="504" w:hanging="504"/>
      </w:pPr>
      <w:r>
        <w:rPr>
          <w:rFonts w:ascii="Times New Roman" w:hAnsi="Times New Roman"/>
          <w:b w:val="0"/>
          <w:i w:val="0"/>
          <w:sz w:val="19"/>
        </w:rPr>
        <w:t>Niculescu-Mizil, A., &amp; Caruana, R. (2005). Predicting good probabilities with supervised learning. Proceedings of the 22nd International Conference on Machine Learning (ICML), 625–632.</w:t>
      </w:r>
    </w:p>
    <w:p>
      <w:pPr>
        <w:spacing w:after="100"/>
        <w:ind w:left="504" w:hanging="504"/>
      </w:pPr>
      <w:r>
        <w:rPr>
          <w:rFonts w:ascii="Times New Roman" w:hAnsi="Times New Roman"/>
          <w:b w:val="0"/>
          <w:i w:val="0"/>
          <w:sz w:val="19"/>
        </w:rPr>
        <w:t>Newey, W. K., &amp; West, K. D. (1987). A simple, positive semi-definite, heteroskedasticity and autocorrelation consistent covariance matrix. Econometrica, 55(3), 703–708.</w:t>
      </w:r>
    </w:p>
    <w:p>
      <w:pPr>
        <w:spacing w:after="100"/>
        <w:ind w:left="504" w:hanging="504"/>
      </w:pPr>
      <w:r>
        <w:rPr>
          <w:rFonts w:ascii="Times New Roman" w:hAnsi="Times New Roman"/>
          <w:b w:val="0"/>
          <w:i w:val="0"/>
          <w:sz w:val="19"/>
        </w:rPr>
        <w:t>Prokhorenkova, L., Gusev, G., Vorobev, A., Dorogush, A. V., &amp; Gulin, A. (2018). CatBoost: Unbiased boosting with categorical features. Advances in Neural Information Processing Systems (NeurIPS), 31, 6638–6648.</w:t>
      </w:r>
    </w:p>
    <w:p>
      <w:pPr>
        <w:spacing w:after="100"/>
        <w:ind w:left="504" w:hanging="504"/>
      </w:pPr>
      <w:r>
        <w:rPr>
          <w:rFonts w:ascii="Times New Roman" w:hAnsi="Times New Roman"/>
          <w:b w:val="0"/>
          <w:i w:val="0"/>
          <w:sz w:val="19"/>
        </w:rPr>
        <w:t>Prado, M. L. de (2018). Advances in Financial Machine Learning. Wiley.</w:t>
      </w:r>
    </w:p>
    <w:p>
      <w:r>
        <w:br w:type="page"/>
      </w:r>
    </w:p>
    <w:p>
      <w:pPr>
        <w:keepNext/>
        <w:spacing w:before="280" w:after="80"/>
      </w:pPr>
      <w:r>
        <w:rPr>
          <w:rFonts w:ascii="Times New Roman" w:hAnsi="Times New Roman"/>
          <w:b/>
          <w:i w:val="0"/>
          <w:color w:val="264653"/>
          <w:sz w:val="26"/>
        </w:rPr>
        <w:t>Appendix A: Supplementary Figures</w:t>
      </w:r>
    </w:p>
    <w:p>
      <w:pPr>
        <w:keepNext/>
        <w:spacing w:before="280" w:after="80"/>
      </w:pPr>
      <w:r>
        <w:rPr>
          <w:rFonts w:ascii="Times New Roman" w:hAnsi="Times New Roman"/>
          <w:b/>
          <w:i w:val="0"/>
          <w:color w:val="2A9D8F"/>
          <w:sz w:val="23"/>
        </w:rPr>
        <w:t>A.1 IC Gate Pipeline</w:t>
      </w:r>
    </w:p>
    <w:p>
      <w:pPr>
        <w:spacing w:before="0" w:after="120" w:line="360" w:lineRule="auto"/>
        <w:ind w:firstLine="0"/>
      </w:pPr>
      <w:r>
        <w:rPr>
          <w:rFonts w:ascii="Times New Roman" w:hAnsi="Times New Roman"/>
          <w:b w:val="0"/>
          <w:i w:val="0"/>
          <w:sz w:val="22"/>
        </w:rPr>
        <w:t>Figure A1 illustrates the complete IC-gated walk-forward pipeline from raw OHLCV data through the backtest engine.</w:t>
      </w:r>
    </w:p>
    <w:p>
      <w:pPr>
        <w:jc w:val="center"/>
      </w:pPr>
      <w:r>
        <w:drawing>
          <wp:inline xmlns:a="http://schemas.openxmlformats.org/drawingml/2006/main" xmlns:pic="http://schemas.openxmlformats.org/drawingml/2006/picture">
            <wp:extent cx="5303520" cy="3140614"/>
            <wp:docPr id="13" name="Picture 13"/>
            <wp:cNvGraphicFramePr>
              <a:graphicFrameLocks noChangeAspect="1"/>
            </wp:cNvGraphicFramePr>
            <a:graphic>
              <a:graphicData uri="http://schemas.openxmlformats.org/drawingml/2006/picture">
                <pic:pic>
                  <pic:nvPicPr>
                    <pic:cNvPr id="0" name="fig01_framework.png"/>
                    <pic:cNvPicPr/>
                  </pic:nvPicPr>
                  <pic:blipFill>
                    <a:blip r:embed="rId21"/>
                    <a:stretch>
                      <a:fillRect/>
                    </a:stretch>
                  </pic:blipFill>
                  <pic:spPr>
                    <a:xfrm>
                      <a:off x="0" y="0"/>
                      <a:ext cx="5303520" cy="3140614"/>
                    </a:xfrm>
                    <a:prstGeom prst="rect"/>
                  </pic:spPr>
                </pic:pic>
              </a:graphicData>
            </a:graphic>
          </wp:inline>
        </w:drawing>
      </w:r>
    </w:p>
    <w:p>
      <w:pPr>
        <w:spacing w:before="80" w:after="200"/>
        <w:jc w:val="center"/>
      </w:pPr>
      <w:r>
        <w:rPr>
          <w:rFonts w:ascii="Times New Roman" w:hAnsi="Times New Roman"/>
          <w:b/>
          <w:i w:val="0"/>
          <w:sz w:val="19"/>
        </w:rPr>
        <w:t>Figure A1.</w:t>
      </w:r>
      <w:r>
        <w:rPr>
          <w:rFonts w:ascii="Times New Roman" w:hAnsi="Times New Roman"/>
          <w:b w:val="0"/>
          <w:i w:val="0"/>
          <w:sz w:val="19"/>
        </w:rPr>
        <w:t>. IC gate framework pipeline: Raw OHLCV → Feature Engineering → Walk-Forward → Ensemble → Isotonic Calibration → IC Gate → Vectorized Backtest.</w:t>
      </w:r>
    </w:p>
    <w:p>
      <w:pPr>
        <w:keepNext/>
        <w:spacing w:before="280" w:after="80"/>
      </w:pPr>
      <w:r>
        <w:rPr>
          <w:rFonts w:ascii="Times New Roman" w:hAnsi="Times New Roman"/>
          <w:b/>
          <w:i w:val="0"/>
          <w:color w:val="2A9D8F"/>
          <w:sz w:val="23"/>
        </w:rPr>
        <w:t>A.2 Complete Robustness Summary</w:t>
      </w:r>
    </w:p>
    <w:p>
      <w:pPr>
        <w:spacing w:before="0" w:after="120" w:line="360" w:lineRule="auto"/>
        <w:ind w:firstLine="0"/>
      </w:pPr>
      <w:r>
        <w:rPr>
          <w:rFonts w:ascii="Times New Roman" w:hAnsi="Times New Roman"/>
          <w:b w:val="0"/>
          <w:i w:val="0"/>
          <w:sz w:val="22"/>
        </w:rPr>
        <w:t>Table A1 summarises all five robustness checks with their key statistics and conclusions.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264653"/>
          </w:tcPr>
          <w:p>
            <w:r/>
            <w:r>
              <w:rPr>
                <w:rFonts w:ascii="Times New Roman" w:hAnsi="Times New Roman"/>
                <w:b/>
                <w:i w:val="0"/>
                <w:color w:val="FFFFFF"/>
                <w:sz w:val="19"/>
              </w:rPr>
              <w:t>Check</w:t>
            </w:r>
          </w:p>
        </w:tc>
        <w:tc>
          <w:tcPr>
            <w:tcW w:type="dxa" w:w="2268"/>
            <w:shd w:val="clear" w:color="auto" w:fill="264653"/>
          </w:tcPr>
          <w:p>
            <w:r/>
            <w:r>
              <w:rPr>
                <w:rFonts w:ascii="Times New Roman" w:hAnsi="Times New Roman"/>
                <w:b/>
                <w:i w:val="0"/>
                <w:color w:val="FFFFFF"/>
                <w:sz w:val="19"/>
              </w:rPr>
              <w:t>Key Statistic</w:t>
            </w:r>
          </w:p>
        </w:tc>
        <w:tc>
          <w:tcPr>
            <w:tcW w:type="dxa" w:w="1984"/>
            <w:shd w:val="clear" w:color="auto" w:fill="264653"/>
          </w:tcPr>
          <w:p>
            <w:r/>
            <w:r>
              <w:rPr>
                <w:rFonts w:ascii="Times New Roman" w:hAnsi="Times New Roman"/>
                <w:b/>
                <w:i w:val="0"/>
                <w:color w:val="FFFFFF"/>
                <w:sz w:val="19"/>
              </w:rPr>
              <w:t>Value</w:t>
            </w:r>
          </w:p>
        </w:tc>
        <w:tc>
          <w:tcPr>
            <w:tcW w:type="dxa" w:w="2268"/>
            <w:shd w:val="clear" w:color="auto" w:fill="264653"/>
          </w:tcPr>
          <w:p>
            <w:r/>
            <w:r>
              <w:rPr>
                <w:rFonts w:ascii="Times New Roman" w:hAnsi="Times New Roman"/>
                <w:b/>
                <w:i w:val="0"/>
                <w:color w:val="FFFFFF"/>
                <w:sz w:val="19"/>
              </w:rPr>
              <w:t>Conclusion</w:t>
            </w:r>
          </w:p>
        </w:tc>
      </w:tr>
      <w:tr>
        <w:tc>
          <w:tcPr>
            <w:tcW w:type="dxa" w:w="3118"/>
            <w:shd w:val="clear" w:color="auto" w:fill="E8F4F8"/>
          </w:tcPr>
          <w:p>
            <w:pPr>
              <w:jc w:val="left"/>
            </w:pPr>
            <w:r/>
            <w:r>
              <w:rPr>
                <w:rFonts w:ascii="Times New Roman" w:hAnsi="Times New Roman"/>
                <w:b w:val="0"/>
                <w:i w:val="0"/>
                <w:sz w:val="19"/>
              </w:rPr>
              <w:t>R1: Expanded Universe (N=100)</w:t>
            </w:r>
          </w:p>
        </w:tc>
        <w:tc>
          <w:tcPr>
            <w:tcW w:type="dxa" w:w="2268"/>
            <w:shd w:val="clear" w:color="auto" w:fill="E8F4F8"/>
          </w:tcPr>
          <w:p>
            <w:pPr>
              <w:jc w:val="center"/>
            </w:pPr>
            <w:r/>
            <w:r>
              <w:rPr>
                <w:rFonts w:ascii="Times New Roman" w:hAnsi="Times New Roman"/>
                <w:b w:val="0"/>
                <w:i w:val="0"/>
                <w:sz w:val="19"/>
              </w:rPr>
              <w:t>p-value (IC gate)</w:t>
            </w:r>
          </w:p>
        </w:tc>
        <w:tc>
          <w:tcPr>
            <w:tcW w:type="dxa" w:w="1984"/>
            <w:shd w:val="clear" w:color="auto" w:fill="E8F4F8"/>
          </w:tcPr>
          <w:p>
            <w:pPr>
              <w:jc w:val="center"/>
            </w:pPr>
            <w:r/>
            <w:r>
              <w:rPr>
                <w:rFonts w:ascii="Times New Roman" w:hAnsi="Times New Roman"/>
                <w:b w:val="0"/>
                <w:i w:val="0"/>
                <w:sz w:val="19"/>
              </w:rPr>
              <w:t>0.947</w:t>
            </w:r>
          </w:p>
        </w:tc>
        <w:tc>
          <w:tcPr>
            <w:tcW w:type="dxa" w:w="2268"/>
            <w:shd w:val="clear" w:color="auto" w:fill="E8F4F8"/>
          </w:tcPr>
          <w:p>
            <w:pPr>
              <w:jc w:val="center"/>
            </w:pPr>
            <w:r/>
            <w:r>
              <w:rPr>
                <w:rFonts w:ascii="Times New Roman" w:hAnsi="Times New Roman"/>
                <w:b w:val="0"/>
                <w:i w:val="0"/>
                <w:sz w:val="19"/>
              </w:rPr>
              <w:t>Gate CLOSED</w:t>
            </w:r>
          </w:p>
        </w:tc>
      </w:tr>
      <w:tr>
        <w:tc>
          <w:tcPr>
            <w:tcW w:type="dxa" w:w="3118"/>
          </w:tcPr>
          <w:p>
            <w:pPr>
              <w:jc w:val="left"/>
            </w:pPr>
            <w:r/>
            <w:r>
              <w:rPr>
                <w:rFonts w:ascii="Times New Roman" w:hAnsi="Times New Roman"/>
                <w:b w:val="0"/>
                <w:i w:val="0"/>
                <w:sz w:val="19"/>
              </w:rPr>
              <w:t>R2: Feature Attribution</w:t>
            </w:r>
          </w:p>
        </w:tc>
        <w:tc>
          <w:tcPr>
            <w:tcW w:type="dxa" w:w="2268"/>
          </w:tcPr>
          <w:p>
            <w:pPr>
              <w:jc w:val="center"/>
            </w:pPr>
            <w:r/>
            <w:r>
              <w:rPr>
                <w:rFonts w:ascii="Times New Roman" w:hAnsi="Times New Roman"/>
                <w:b w:val="0"/>
                <w:i w:val="0"/>
                <w:sz w:val="19"/>
              </w:rPr>
              <w:t>Inter-fold rank ρ</w:t>
            </w:r>
          </w:p>
        </w:tc>
        <w:tc>
          <w:tcPr>
            <w:tcW w:type="dxa" w:w="1984"/>
          </w:tcPr>
          <w:p>
            <w:pPr>
              <w:jc w:val="center"/>
            </w:pPr>
            <w:r/>
            <w:r>
              <w:rPr>
                <w:rFonts w:ascii="Times New Roman" w:hAnsi="Times New Roman"/>
                <w:b w:val="0"/>
                <w:i w:val="0"/>
                <w:sz w:val="19"/>
              </w:rPr>
              <w:t>0.13–0.40</w:t>
            </w:r>
          </w:p>
        </w:tc>
        <w:tc>
          <w:tcPr>
            <w:tcW w:type="dxa" w:w="2268"/>
          </w:tcPr>
          <w:p>
            <w:pPr>
              <w:jc w:val="center"/>
            </w:pPr>
            <w:r/>
            <w:r>
              <w:rPr>
                <w:rFonts w:ascii="Times New Roman" w:hAnsi="Times New Roman"/>
                <w:b w:val="0"/>
                <w:i w:val="0"/>
                <w:sz w:val="19"/>
              </w:rPr>
              <w:t>Noise-fitting confirmed</w:t>
            </w:r>
          </w:p>
        </w:tc>
      </w:tr>
      <w:tr>
        <w:tc>
          <w:tcPr>
            <w:tcW w:type="dxa" w:w="3118"/>
            <w:shd w:val="clear" w:color="auto" w:fill="E8F4F8"/>
          </w:tcPr>
          <w:p>
            <w:pPr>
              <w:jc w:val="left"/>
            </w:pPr>
            <w:r/>
            <w:r>
              <w:rPr>
                <w:rFonts w:ascii="Times New Roman" w:hAnsi="Times New Roman"/>
                <w:b w:val="0"/>
                <w:i w:val="0"/>
                <w:sz w:val="19"/>
              </w:rPr>
              <w:t>R3: Diebold-Mariano Test</w:t>
            </w:r>
          </w:p>
        </w:tc>
        <w:tc>
          <w:tcPr>
            <w:tcW w:type="dxa" w:w="2268"/>
            <w:shd w:val="clear" w:color="auto" w:fill="E8F4F8"/>
          </w:tcPr>
          <w:p>
            <w:pPr>
              <w:jc w:val="center"/>
            </w:pPr>
            <w:r/>
            <w:r>
              <w:rPr>
                <w:rFonts w:ascii="Times New Roman" w:hAnsi="Times New Roman"/>
                <w:b w:val="0"/>
                <w:i w:val="0"/>
                <w:sz w:val="19"/>
              </w:rPr>
              <w:t>DM stat, TopK1 vs Random</w:t>
            </w:r>
          </w:p>
        </w:tc>
        <w:tc>
          <w:tcPr>
            <w:tcW w:type="dxa" w:w="1984"/>
            <w:shd w:val="clear" w:color="auto" w:fill="E8F4F8"/>
          </w:tcPr>
          <w:p>
            <w:pPr>
              <w:jc w:val="center"/>
            </w:pPr>
            <w:r/>
            <w:r>
              <w:rPr>
                <w:rFonts w:ascii="Times New Roman" w:hAnsi="Times New Roman"/>
                <w:b w:val="0"/>
                <w:i w:val="0"/>
                <w:sz w:val="19"/>
              </w:rPr>
              <w:t>0.42 (p=0.672)</w:t>
            </w:r>
          </w:p>
        </w:tc>
        <w:tc>
          <w:tcPr>
            <w:tcW w:type="dxa" w:w="2268"/>
            <w:shd w:val="clear" w:color="auto" w:fill="E8F4F8"/>
          </w:tcPr>
          <w:p>
            <w:pPr>
              <w:jc w:val="center"/>
            </w:pPr>
            <w:r/>
            <w:r>
              <w:rPr>
                <w:rFonts w:ascii="Times New Roman" w:hAnsi="Times New Roman"/>
                <w:b w:val="0"/>
                <w:i w:val="0"/>
                <w:sz w:val="19"/>
              </w:rPr>
              <w:t>Indistinguishable</w:t>
            </w:r>
          </w:p>
        </w:tc>
      </w:tr>
      <w:tr>
        <w:tc>
          <w:tcPr>
            <w:tcW w:type="dxa" w:w="3118"/>
          </w:tcPr>
          <w:p>
            <w:pPr>
              <w:jc w:val="left"/>
            </w:pPr>
            <w:r/>
            <w:r>
              <w:rPr>
                <w:rFonts w:ascii="Times New Roman" w:hAnsi="Times New Roman"/>
                <w:b w:val="0"/>
                <w:i w:val="0"/>
                <w:sz w:val="19"/>
              </w:rPr>
              <w:t>R4: VIX-Conditioned IC</w:t>
            </w:r>
          </w:p>
        </w:tc>
        <w:tc>
          <w:tcPr>
            <w:tcW w:type="dxa" w:w="2268"/>
          </w:tcPr>
          <w:p>
            <w:pPr>
              <w:jc w:val="center"/>
            </w:pPr>
            <w:r/>
            <w:r>
              <w:rPr>
                <w:rFonts w:ascii="Times New Roman" w:hAnsi="Times New Roman"/>
                <w:b w:val="0"/>
                <w:i w:val="0"/>
                <w:sz w:val="19"/>
              </w:rPr>
              <w:t>Min p-value (any regime)</w:t>
            </w:r>
          </w:p>
        </w:tc>
        <w:tc>
          <w:tcPr>
            <w:tcW w:type="dxa" w:w="1984"/>
          </w:tcPr>
          <w:p>
            <w:pPr>
              <w:jc w:val="center"/>
            </w:pPr>
            <w:r/>
            <w:r>
              <w:rPr>
                <w:rFonts w:ascii="Times New Roman" w:hAnsi="Times New Roman"/>
                <w:b w:val="0"/>
                <w:i w:val="0"/>
                <w:sz w:val="19"/>
              </w:rPr>
              <w:t>0.136 (Mid VIX)</w:t>
            </w:r>
          </w:p>
        </w:tc>
        <w:tc>
          <w:tcPr>
            <w:tcW w:type="dxa" w:w="2268"/>
          </w:tcPr>
          <w:p>
            <w:pPr>
              <w:jc w:val="center"/>
            </w:pPr>
            <w:r/>
            <w:r>
              <w:rPr>
                <w:rFonts w:ascii="Times New Roman" w:hAnsi="Times New Roman"/>
                <w:b w:val="0"/>
                <w:i w:val="0"/>
                <w:sz w:val="19"/>
              </w:rPr>
              <w:t>Gate CLOSED all regimes</w:t>
            </w:r>
          </w:p>
        </w:tc>
      </w:tr>
      <w:tr>
        <w:tc>
          <w:tcPr>
            <w:tcW w:type="dxa" w:w="3118"/>
            <w:shd w:val="clear" w:color="auto" w:fill="E8F4F8"/>
          </w:tcPr>
          <w:p>
            <w:pPr>
              <w:jc w:val="left"/>
            </w:pPr>
            <w:r/>
            <w:r>
              <w:rPr>
                <w:rFonts w:ascii="Times New Roman" w:hAnsi="Times New Roman"/>
                <w:b w:val="0"/>
                <w:i w:val="0"/>
                <w:sz w:val="19"/>
              </w:rPr>
              <w:t>R5: Bootstrap CIs</w:t>
            </w:r>
          </w:p>
        </w:tc>
        <w:tc>
          <w:tcPr>
            <w:tcW w:type="dxa" w:w="2268"/>
            <w:shd w:val="clear" w:color="auto" w:fill="E8F4F8"/>
          </w:tcPr>
          <w:p>
            <w:pPr>
              <w:jc w:val="center"/>
            </w:pPr>
            <w:r/>
            <w:r>
              <w:rPr>
                <w:rFonts w:ascii="Times New Roman" w:hAnsi="Times New Roman"/>
                <w:b w:val="0"/>
                <w:i w:val="0"/>
                <w:sz w:val="19"/>
              </w:rPr>
              <w:t>Folds with CI excluding zero</w:t>
            </w:r>
          </w:p>
        </w:tc>
        <w:tc>
          <w:tcPr>
            <w:tcW w:type="dxa" w:w="1984"/>
            <w:shd w:val="clear" w:color="auto" w:fill="E8F4F8"/>
          </w:tcPr>
          <w:p>
            <w:pPr>
              <w:jc w:val="center"/>
            </w:pPr>
            <w:r/>
            <w:r>
              <w:rPr>
                <w:rFonts w:ascii="Times New Roman" w:hAnsi="Times New Roman"/>
                <w:b w:val="0"/>
                <w:i w:val="0"/>
                <w:sz w:val="19"/>
              </w:rPr>
              <w:t>0 of 12</w:t>
            </w:r>
          </w:p>
        </w:tc>
        <w:tc>
          <w:tcPr>
            <w:tcW w:type="dxa" w:w="2268"/>
            <w:shd w:val="clear" w:color="auto" w:fill="E8F4F8"/>
          </w:tcPr>
          <w:p>
            <w:pPr>
              <w:jc w:val="center"/>
            </w:pPr>
            <w:r/>
            <w:r>
              <w:rPr>
                <w:rFonts w:ascii="Times New Roman" w:hAnsi="Times New Roman"/>
                <w:b w:val="0"/>
                <w:i w:val="0"/>
                <w:sz w:val="19"/>
              </w:rPr>
              <w:t>All CIs span zero</w:t>
            </w:r>
          </w:p>
        </w:tc>
      </w:tr>
    </w:tbl>
    <w:p>
      <w:pPr>
        <w:spacing w:before="80" w:after="200"/>
        <w:jc w:val="center"/>
      </w:pPr>
      <w:r>
        <w:rPr>
          <w:rFonts w:ascii="Times New Roman" w:hAnsi="Times New Roman"/>
          <w:b/>
          <w:i w:val="0"/>
          <w:sz w:val="19"/>
        </w:rPr>
        <w:t>Table A1.</w:t>
      </w:r>
      <w:r>
        <w:rPr>
          <w:rFonts w:ascii="Times New Roman" w:hAnsi="Times New Roman"/>
          <w:b w:val="0"/>
          <w:i w:val="0"/>
          <w:sz w:val="19"/>
        </w:rPr>
        <w:t xml:space="preserve"> Summary of all five robustness checks. All five confirm the null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