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pPr>
    </w:p>
    <w:p>
      <w:pPr>
        <w:spacing w:before="0" w:after="320"/>
        <w:jc w:val="center"/>
      </w:pPr>
      <w:r>
        <w:rPr>
          <w:rFonts w:ascii="Times New Roman" w:hAnsi="Times New Roman"/>
          <w:b/>
          <w:i w:val="0"/>
          <w:color w:val="264653"/>
          <w:sz w:val="32"/>
        </w:rPr>
        <w:t>When the Gate Stays Closed: Empirical Evidence of Near-Zero</w:t>
        <w:br/>
        <w:t>Cross-Sectional Predictability in Large-Cap NASDAQ Equities</w:t>
        <w:br/>
        <w:t>Using an IC-Gated Machine Learning Framework</w:t>
      </w:r>
    </w:p>
    <w:p>
      <w:pPr>
        <w:spacing w:after="80"/>
        <w:jc w:val="center"/>
      </w:pPr>
      <w:r>
        <w:rPr>
          <w:rFonts w:ascii="Times New Roman" w:hAnsi="Times New Roman"/>
          <w:b/>
          <w:i w:val="0"/>
          <w:sz w:val="24"/>
        </w:rPr>
        <w:t>Rajveer Singh Pall</w:t>
      </w:r>
    </w:p>
    <w:p>
      <w:pPr>
        <w:spacing w:after="80"/>
        <w:jc w:val="center"/>
      </w:pPr>
      <w:r>
        <w:rPr>
          <w:rFonts w:ascii="Times New Roman" w:hAnsi="Times New Roman"/>
          <w:b w:val="0"/>
          <w:i/>
          <w:sz w:val="22"/>
        </w:rPr>
        <w:t>Independent Researcher</w:t>
      </w:r>
    </w:p>
    <w:p>
      <w:pPr>
        <w:spacing w:after="40"/>
        <w:jc w:val="center"/>
      </w:pPr>
      <w:r>
        <w:rPr>
          <w:rFonts w:ascii="Times New Roman" w:hAnsi="Times New Roman"/>
          <w:b w:val="0"/>
          <w:i w:val="0"/>
          <w:sz w:val="20"/>
        </w:rPr>
        <w:t>April 2025</w:t>
      </w:r>
    </w:p>
    <w:p>
      <w:pPr>
        <w:spacing w:before="40" w:after="40"/>
        <w:pBdr>
          <w:bottom w:val="single" w:sz="4" w:space="1" w:color="AAAAAA"/>
        </w:pBdr>
      </w:pPr>
    </w:p>
    <w:p>
      <w:pPr>
        <w:keepNext/>
        <w:spacing w:before="240" w:after="80"/>
      </w:pPr>
      <w:r>
        <w:rPr>
          <w:rFonts w:ascii="Times New Roman" w:hAnsi="Times New Roman"/>
          <w:b/>
          <w:i w:val="0"/>
          <w:color w:val="264653"/>
          <w:sz w:val="26"/>
        </w:rPr>
        <w:t>Abstract</w:t>
      </w:r>
    </w:p>
    <w:p>
      <w:pPr>
        <w:spacing w:before="0" w:after="80" w:line="360" w:lineRule="auto"/>
        <w:ind w:firstLine="0" w:left="576" w:right="576"/>
      </w:pPr>
      <w:r>
        <w:rPr>
          <w:rFonts w:ascii="Times New Roman" w:hAnsi="Times New Roman"/>
          <w:b w:val="0"/>
          <w:i w:val="0"/>
          <w:sz w:val="22"/>
        </w:rPr>
        <w:t>This paper introduces the IC-Gated Deployment Framework (ICGDF), a two-stage statistical gate that reduces the risk of false discoveries in financial machine learning by requiring Newey-West HAC-corrected Information Coefficient (IC) significance before any position is taken. ICGDF combines an expanding walk-forward validator with a three-model ensemble (CatBoost, Random Forest, MLP), isotonic probability calibration, and a pre-deployment IC test — providing a reusable, leakage-free protocol for cross-sectional equity prediction that directly addresses the methodological failures documented by Harvey, Liu and Zhu (2016) and Bailey et al. (2014). Applied to 30 survivorship-bias-controlled NASDAQ-100 stocks over 1,512 consecutive out-of-sample trading days (October 2018 – October 2024) using 49 strictly causal OHLCV indicators, the gate stays closed: mean IC = −0.0005 (ICIR = −0.0023, t = −0.09, p = 0.464). The TopK1 strategy achieves a Sharpe ratio of −0.16 versus 0.96 for the equal-weight benchmark. A momentum positive control (Sharpe 0.57) confirms that cross-sectional structure exists in the universe but that the daily IC gate correctly remains closed for both the ML ensemble and momentum: momentum's Sharpe advantage comes from multi-week trend persistence, a distinct mechanism from daily rank prediction. An ablation study demonstrates that the full two-stage gate reduces null false positive rates from 11.8% (naive t-test) to 0.0% under an AR(1) null IC process. The ensemble is well-calibrated (ECE &lt; 0.025 across all 12 folds), establishing that calibration quality and discriminative content are orthogonal. Five robustness checks confirm the null. ICGDF is offered as a portable, model-agnostic framework for rigorous pre-deployment screening in financial ML research.</w:t>
      </w:r>
    </w:p>
    <w:p>
      <w:pPr>
        <w:spacing w:after="200"/>
        <w:ind w:left="576" w:right="576"/>
      </w:pPr>
      <w:r>
        <w:rPr>
          <w:rFonts w:ascii="Times New Roman" w:hAnsi="Times New Roman"/>
          <w:b/>
          <w:i w:val="0"/>
          <w:sz w:val="20"/>
        </w:rPr>
        <w:t xml:space="preserve">Keywords: </w:t>
      </w:r>
      <w:r>
        <w:rPr>
          <w:rFonts w:ascii="Times New Roman" w:hAnsi="Times New Roman"/>
          <w:b w:val="0"/>
          <w:i/>
          <w:sz w:val="20"/>
        </w:rPr>
        <w:t>IC-Gated Deployment Framework, false discovery risk reduction, machine learning, cross-sectional prediction, NASDAQ-100, walk-forward validation, ensemble learning, isotonic calibration, momentum positive control, ablation study, market efficiency</w:t>
      </w:r>
    </w:p>
    <w:p>
      <w:pPr>
        <w:spacing w:before="40" w:after="40"/>
        <w:pBdr>
          <w:bottom w:val="single" w:sz="4" w:space="1" w:color="AAAAAA"/>
        </w:pBdr>
      </w:pPr>
    </w:p>
    <w:p>
      <w:pPr>
        <w:keepNext/>
        <w:spacing w:before="280" w:after="80"/>
      </w:pPr>
      <w:r>
        <w:rPr>
          <w:rFonts w:ascii="Times New Roman" w:hAnsi="Times New Roman"/>
          <w:b/>
          <w:i w:val="0"/>
          <w:color w:val="264653"/>
          <w:sz w:val="26"/>
        </w:rPr>
        <w:t>1. Introduction</w:t>
      </w:r>
    </w:p>
    <w:p>
      <w:pPr>
        <w:spacing w:before="0" w:after="160" w:line="360" w:lineRule="auto"/>
        <w:ind w:firstLine="0"/>
      </w:pPr>
      <w:r>
        <w:rPr>
          <w:rFonts w:ascii="Times New Roman" w:hAnsi="Times New Roman"/>
          <w:b w:val="0"/>
          <w:i w:val="0"/>
          <w:sz w:val="22"/>
        </w:rPr>
        <w:t>The proliferation of machine learning methods in empirical finance has not been accompanied by commensurate progress in deployment discipline. Harvey, Liu and Zhu (2016) demonstrate that the multiple-testing problem has produced a substantial catalogue of false-positive factor discoveries — findings that reflect in-sample overfit rather than genuine predictive content. Bailey, Borwein, Lopez de Prado and Zhu (2014) show that standard backtesting practice is structurally susceptible to overfitting: a researcher iterating over model configurations can always find a parameter set that performs well historically, with no guarantee of out-of-sample validity. This paper introduces the IC-Gated Deployment Framework (ICGDF) — a two-stage statistical gate that prevents a conviction ranking system from deploying capital unless cross-sectional predictive content is established under autocorrelation-robust inference. The gate closing is not a failure; it is the correct output of a functioning filter.</w:t>
      </w:r>
    </w:p>
    <w:p>
      <w:pPr>
        <w:spacing w:before="0" w:after="160" w:line="360" w:lineRule="auto"/>
        <w:ind w:firstLine="0"/>
      </w:pPr>
      <w:r>
        <w:rPr>
          <w:rFonts w:ascii="Times New Roman" w:hAnsi="Times New Roman"/>
          <w:b w:val="0"/>
          <w:i w:val="0"/>
          <w:sz w:val="22"/>
        </w:rPr>
        <w:t>Machine learning methods have attracted serious attention in empirical asset pricing since Gu, Kelly and Xiu (2020) showed that tree ensembles and neural networks explain meaningful variation in monthly equity returns across a broad US universe. Daily prediction at the single-stock level is harder. The signal-to-noise ratio in 1-day holding-period returns is far lower than in monthly panels. Return distributions are fat-tailed, autocorrelation structure is weak, and regime changes are frequent enough to make in-sample patterns unreliable guides to out-of-sample performance.</w:t>
      </w:r>
    </w:p>
    <w:p>
      <w:pPr>
        <w:spacing w:before="0" w:after="160" w:line="360" w:lineRule="auto"/>
        <w:ind w:firstLine="0"/>
      </w:pPr>
      <w:r>
        <w:rPr>
          <w:rFonts w:ascii="Times New Roman" w:hAnsi="Times New Roman"/>
          <w:b w:val="0"/>
          <w:i w:val="0"/>
          <w:sz w:val="22"/>
        </w:rPr>
        <w:t>Research in financial ML suffers from four recurring methodological failures that ICGDF is designed to prevent. First, random k-fold cross-validation destroys the temporal ordering of financial returns, causing future information to appear in training folds and inflating in-sample accuracy estimates. Second, failure to correct for autocorrelation in the IC series — using naive t-tests rather than HAC-corrected inference — overstates significance when IC observations are serially dependent. Third, survivorship bias from restricting a universe to current index members selects ex-post survivors, embedding a systematic upward bias in historical performance. Fourth, the absence of any IC pre-deployment test means that even a model with no genuine signal will be deployed if its in-sample performance clears an arbitrary backtest hurdle. ICGDF addresses all four failures explicitly.</w:t>
      </w:r>
    </w:p>
    <w:p>
      <w:pPr>
        <w:spacing w:before="0" w:after="80" w:line="360" w:lineRule="auto"/>
        <w:ind w:firstLine="0"/>
      </w:pPr>
      <w:r>
        <w:rPr>
          <w:rFonts w:ascii="Times New Roman" w:hAnsi="Times New Roman"/>
          <w:b w:val="0"/>
          <w:i w:val="0"/>
          <w:sz w:val="22"/>
        </w:rPr>
        <w:t>This paper makes four contributions:</w:t>
      </w:r>
    </w:p>
    <w:p>
      <w:pPr>
        <w:spacing w:before="40" w:after="100" w:line="360" w:lineRule="auto"/>
        <w:ind w:left="432"/>
      </w:pPr>
      <w:r>
        <w:rPr>
          <w:rFonts w:ascii="Times New Roman" w:hAnsi="Times New Roman"/>
          <w:b w:val="0"/>
          <w:i w:val="0"/>
          <w:sz w:val="22"/>
        </w:rPr>
        <w:t xml:space="preserve">•  </w:t>
      </w:r>
      <w:r>
        <w:rPr>
          <w:rFonts w:ascii="Times New Roman" w:hAnsi="Times New Roman"/>
          <w:b/>
          <w:i w:val="0"/>
          <w:sz w:val="22"/>
        </w:rPr>
        <w:t xml:space="preserve">Contribution 1: IC-Gated Deployment Framework (ICGDF). </w:t>
      </w:r>
      <w:r>
        <w:rPr>
          <w:rFonts w:ascii="Times New Roman" w:hAnsi="Times New Roman"/>
          <w:b w:val="0"/>
          <w:i w:val="0"/>
          <w:sz w:val="22"/>
        </w:rPr>
        <w:t>A portable, two-stage pre-deployment gate combining a Newey-West HAC t-test and a permutation test on the out-of-sample IC series. The gate is architecture-agnostic and can be incorporated into any walk-forward conviction ranking system.</w:t>
      </w:r>
    </w:p>
    <w:p>
      <w:pPr>
        <w:spacing w:before="40" w:after="100" w:line="360" w:lineRule="auto"/>
        <w:ind w:left="432"/>
      </w:pPr>
      <w:r>
        <w:rPr>
          <w:rFonts w:ascii="Times New Roman" w:hAnsi="Times New Roman"/>
          <w:b w:val="0"/>
          <w:i w:val="0"/>
          <w:sz w:val="22"/>
        </w:rPr>
        <w:t xml:space="preserve">•  </w:t>
      </w:r>
      <w:r>
        <w:rPr>
          <w:rFonts w:ascii="Times New Roman" w:hAnsi="Times New Roman"/>
          <w:b/>
          <w:i w:val="0"/>
          <w:sz w:val="22"/>
        </w:rPr>
        <w:t xml:space="preserve">Contribution 2: Leakage-free walk-forward protocol. </w:t>
      </w:r>
      <w:r>
        <w:rPr>
          <w:rFonts w:ascii="Times New Roman" w:hAnsi="Times New Roman"/>
          <w:b w:val="0"/>
          <w:i w:val="0"/>
          <w:sz w:val="22"/>
        </w:rPr>
        <w:t>A 12-fold expanding-window validation design with temporal embargoes, isotonic calibration on held-out windows, and strictly causal feature construction, eliminating look-ahead bias, temporal leakage, and calibration contamination.</w:t>
      </w:r>
    </w:p>
    <w:p>
      <w:pPr>
        <w:spacing w:before="40" w:after="100" w:line="360" w:lineRule="auto"/>
        <w:ind w:left="432"/>
      </w:pPr>
      <w:r>
        <w:rPr>
          <w:rFonts w:ascii="Times New Roman" w:hAnsi="Times New Roman"/>
          <w:b w:val="0"/>
          <w:i w:val="0"/>
          <w:sz w:val="22"/>
        </w:rPr>
        <w:t xml:space="preserve">•  </w:t>
      </w:r>
      <w:r>
        <w:rPr>
          <w:rFonts w:ascii="Times New Roman" w:hAnsi="Times New Roman"/>
          <w:b/>
          <w:i w:val="0"/>
          <w:sz w:val="22"/>
        </w:rPr>
        <w:t xml:space="preserve">Contribution 3: Empirical evidence on 49 OHLCV indicators. </w:t>
      </w:r>
      <w:r>
        <w:rPr>
          <w:rFonts w:ascii="Times New Roman" w:hAnsi="Times New Roman"/>
          <w:b w:val="0"/>
          <w:i w:val="0"/>
          <w:sz w:val="22"/>
        </w:rPr>
        <w:t>A survivorship-bias-controlled test across 1,512 consecutive out-of-sample trading days demonstrating that backward-looking technical indicators carry null IC in large-cap NASDAQ equities (mean IC = −0.0005, t = −0.09, p = 0.464), confirmed by five independent robustness checks and a momentum positive control.</w:t>
      </w:r>
    </w:p>
    <w:p>
      <w:pPr>
        <w:spacing w:before="40" w:after="100" w:line="360" w:lineRule="auto"/>
        <w:ind w:left="432"/>
      </w:pPr>
      <w:r>
        <w:rPr>
          <w:rFonts w:ascii="Times New Roman" w:hAnsi="Times New Roman"/>
          <w:b w:val="0"/>
          <w:i w:val="0"/>
          <w:sz w:val="22"/>
        </w:rPr>
        <w:t xml:space="preserve">•  </w:t>
      </w:r>
      <w:r>
        <w:rPr>
          <w:rFonts w:ascii="Times New Roman" w:hAnsi="Times New Roman"/>
          <w:b/>
          <w:i w:val="0"/>
          <w:sz w:val="22"/>
        </w:rPr>
        <w:t xml:space="preserve">Contribution 4: Calibration-discrimination orthogonality. </w:t>
      </w:r>
      <w:r>
        <w:rPr>
          <w:rFonts w:ascii="Times New Roman" w:hAnsi="Times New Roman"/>
          <w:b w:val="0"/>
          <w:i w:val="0"/>
          <w:sz w:val="22"/>
        </w:rPr>
        <w:t>Demonstration that well-calibrated probability estimates (ECE &lt; 0.025 across all 12 folds) are orthogonal to cross-sectional discriminative content (IC ≈ 0), establishing that ECE alone is an insufficient criterion for deployment readiness.</w:t>
      </w:r>
    </w:p>
    <w:p>
      <w:pPr>
        <w:spacing w:before="0" w:after="160" w:line="360" w:lineRule="auto"/>
        <w:ind w:firstLine="0"/>
      </w:pPr>
      <w:r>
        <w:rPr>
          <w:rFonts w:ascii="Times New Roman" w:hAnsi="Times New Roman"/>
          <w:b w:val="0"/>
          <w:i w:val="0"/>
          <w:sz w:val="22"/>
        </w:rPr>
        <w:t>The central finding is a null result: across all 12 test folds, the IC gate remains closed. The ensemble produces daily cross-sectional conviction rankings for 30 stocks, but those rankings carry no persistent predictive content. The TopK1 Sharpe ratio of −0.16 falls well below the equal-weight benchmark Sharpe of 0.96. A permutation test confirms the observed performance is indistinguishable from random selection (p = 0.742). Monotonically increasing Sharpe with K — from TopK1 at −0.16 through TopK3 at +0.12 to the equal-weight limit at 0.96 — is a diagnostic signature of an uninformative ranker.</w:t>
      </w:r>
    </w:p>
    <w:p>
      <w:pPr>
        <w:spacing w:before="0" w:after="160" w:line="360" w:lineRule="auto"/>
        <w:ind w:firstLine="0"/>
      </w:pPr>
      <w:r>
        <w:rPr>
          <w:rFonts w:ascii="Times New Roman" w:hAnsi="Times New Roman"/>
          <w:b w:val="0"/>
          <w:i w:val="0"/>
          <w:sz w:val="22"/>
        </w:rPr>
        <w:t>Five robustness checks leave the null result intact. Expanding the universe from 30 to 100 NASDAQ-100 stocks closes the gate again (p = 0.947). Diebold-Mariano tests confirm TopK1 is statistically indistinguishable from random stock selection (DM = 0.42, p = 0.67). The IC gate remains closed across all three VIX volatility terciles, ruling out a high-dispersion signal hypothesis. Block bootstrap confidence intervals span zero for all 12 folds. SHAP-based feature attribution (TreeExplainer) shows low and unstable feature importance scores across folds (Spearman rank ρ = 0.13–0.40), confirming the model fits noise rather than structure.</w:t>
      </w:r>
    </w:p>
    <w:p>
      <w:pPr>
        <w:spacing w:before="0" w:after="160" w:line="360" w:lineRule="auto"/>
        <w:ind w:firstLine="0"/>
      </w:pPr>
      <w:r>
        <w:rPr>
          <w:rFonts w:ascii="Times New Roman" w:hAnsi="Times New Roman"/>
          <w:b w:val="0"/>
          <w:i w:val="0"/>
          <w:sz w:val="22"/>
        </w:rPr>
        <w:t>This paper contributes a methodologically complete negative result to the empirical asset pricing literature. The calibration quality — ECE below 0.025 across all folds — demonstrates the ensemble is well-trained. The null IC is a property of the signal class (49 backward-looking technical indicators applied to large-cap NASDAQ stocks), not of the model architecture. This orthogonality between calibration quality and predictive content is a secondary finding worth isolating.</w:t>
      </w:r>
    </w:p>
    <w:p>
      <w:pPr>
        <w:keepNext/>
        <w:spacing w:before="280" w:after="80"/>
      </w:pPr>
      <w:r>
        <w:rPr>
          <w:rFonts w:ascii="Times New Roman" w:hAnsi="Times New Roman"/>
          <w:b/>
          <w:i w:val="0"/>
          <w:color w:val="264653"/>
          <w:sz w:val="26"/>
        </w:rPr>
        <w:t>2. Related Work</w:t>
      </w:r>
    </w:p>
    <w:p>
      <w:pPr>
        <w:keepNext/>
        <w:spacing w:before="280" w:after="80"/>
      </w:pPr>
      <w:r>
        <w:rPr>
          <w:rFonts w:ascii="Times New Roman" w:hAnsi="Times New Roman"/>
          <w:b/>
          <w:i w:val="0"/>
          <w:color w:val="2A9D8F"/>
          <w:sz w:val="23"/>
        </w:rPr>
        <w:t>2.1 Machine Learning in Equity Prediction</w:t>
      </w:r>
    </w:p>
    <w:p>
      <w:pPr>
        <w:spacing w:before="0" w:after="160" w:line="360" w:lineRule="auto"/>
        <w:ind w:firstLine="0"/>
      </w:pPr>
      <w:r>
        <w:rPr>
          <w:rFonts w:ascii="Times New Roman" w:hAnsi="Times New Roman"/>
          <w:b w:val="0"/>
          <w:i w:val="0"/>
          <w:sz w:val="22"/>
        </w:rPr>
        <w:t>Gu, Kelly and Xiu (2020) establish the modern benchmark for ML in equity return prediction: gradient-boosted trees and deep networks outperform linear factor models in monthly cross-sectional prediction using a broad US equity panel. Their predictive R² gains are real but modest in absolute terms. The practical challenge of translating predictive lift into Sharpe ratios after transaction costs has been explored by Freyberger, Neuhierl and Weber (2020), who find that many signals require high turnover to capture, making net-of-cost performance substantially worse than gross.</w:t>
      </w:r>
    </w:p>
    <w:p>
      <w:pPr>
        <w:spacing w:before="0" w:after="160" w:line="360" w:lineRule="auto"/>
        <w:ind w:firstLine="0"/>
      </w:pPr>
      <w:r>
        <w:rPr>
          <w:rFonts w:ascii="Times New Roman" w:hAnsi="Times New Roman"/>
          <w:b w:val="0"/>
          <w:i w:val="0"/>
          <w:sz w:val="22"/>
        </w:rPr>
        <w:t>Daily prediction of individual stock returns is a harder problem than monthly cross-sectional work. Continuous trading means transaction cost frictions compound daily. The relevant signal-to-noise ratio at daily frequency is far lower — Sharpe ratios from published factors that appear significant monthly often vanish at daily horizons after accounting for microstructure noise and non-synchronous trading. Chordia, Roll and Subrahmanyam (2005) document that market-wide liquidity shocks dominate daily return variation, leaving little room for cross-sectional signals from firm-specific technicals.</w:t>
      </w:r>
    </w:p>
    <w:p>
      <w:pPr>
        <w:keepNext/>
        <w:spacing w:before="280" w:after="80"/>
      </w:pPr>
      <w:r>
        <w:rPr>
          <w:rFonts w:ascii="Times New Roman" w:hAnsi="Times New Roman"/>
          <w:b/>
          <w:i w:val="0"/>
          <w:color w:val="2A9D8F"/>
          <w:sz w:val="23"/>
        </w:rPr>
        <w:t>2.2 Technical Indicators as Predictors</w:t>
      </w:r>
    </w:p>
    <w:p>
      <w:pPr>
        <w:spacing w:before="0" w:after="160" w:line="360" w:lineRule="auto"/>
        <w:ind w:firstLine="0"/>
      </w:pPr>
      <w:r>
        <w:rPr>
          <w:rFonts w:ascii="Times New Roman" w:hAnsi="Times New Roman"/>
          <w:b w:val="0"/>
          <w:i w:val="0"/>
          <w:sz w:val="22"/>
        </w:rPr>
        <w:t>Technical indicators have been debated as predictors since Lo, Mamaysky and Wang (2000), who found weak evidence of short-horizon predictability from price patterns. More recent ML-based work has found that moving averages, momentum oscillators, and volatility signals contain some predictive information at monthly horizons in smaller-cap or emerging-market universes. In large-cap NASDAQ stocks — the most actively traded, most heavily analysed segment of the US market — the efficiency hypothesis is harder to reject. Chordia, Subrahmanyam and Tong (2014) show that anomaly returns have declined significantly over time, consistent with learning-based arbitrage. Our 2015–2024 training and evaluation window falls squarely in the post-decline era.</w:t>
      </w:r>
    </w:p>
    <w:p>
      <w:pPr>
        <w:keepNext/>
        <w:spacing w:before="280" w:after="80"/>
      </w:pPr>
      <w:r>
        <w:rPr>
          <w:rFonts w:ascii="Times New Roman" w:hAnsi="Times New Roman"/>
          <w:b/>
          <w:i w:val="0"/>
          <w:color w:val="2A9D8F"/>
          <w:sz w:val="23"/>
        </w:rPr>
        <w:t>2.3 Validation Design and IC Gates</w:t>
      </w:r>
    </w:p>
    <w:p>
      <w:pPr>
        <w:spacing w:before="0" w:after="160" w:line="360" w:lineRule="auto"/>
        <w:ind w:firstLine="0"/>
      </w:pPr>
      <w:r>
        <w:rPr>
          <w:rFonts w:ascii="Times New Roman" w:hAnsi="Times New Roman"/>
          <w:b w:val="0"/>
          <w:i w:val="0"/>
          <w:sz w:val="22"/>
        </w:rPr>
        <w:t>Walk-forward validation is the standard design for time-series-dependent ML evaluation in finance. Prado (2018) formalises its properties and introduces the purged k-fold variant to prevent leakage through overlapping label periods. Our implementation uses expanding training windows with explicit embargoes between train and test, consistent with purged k-fold principles.</w:t>
      </w:r>
    </w:p>
    <w:p>
      <w:pPr>
        <w:spacing w:before="0" w:after="160" w:line="360" w:lineRule="auto"/>
        <w:ind w:firstLine="0"/>
      </w:pPr>
      <w:r>
        <w:rPr>
          <w:rFonts w:ascii="Times New Roman" w:hAnsi="Times New Roman"/>
          <w:b w:val="0"/>
          <w:i w:val="0"/>
          <w:sz w:val="22"/>
        </w:rPr>
        <w:t>The IC (Information Coefficient) is the Spearman rank correlation between predicted and realised cross-sectional returns. Grinold and Kahn (1999) derive the fundamental law of active management — that a strategy's Information Ratio scales as IC times the square root of breadth — establishing IC as the key measure of signal quality in cross-sectional frameworks. Practitioners routinely use IC &gt; 0 as a filter before live deployment. Our IC gate formalises this discipline statistically, requiring HAC-corrected significance rather than relying on arbitrary thresholds.</w:t>
      </w:r>
    </w:p>
    <w:p>
      <w:pPr>
        <w:keepNext/>
        <w:spacing w:before="280" w:after="80"/>
      </w:pPr>
      <w:r>
        <w:rPr>
          <w:rFonts w:ascii="Times New Roman" w:hAnsi="Times New Roman"/>
          <w:b/>
          <w:i w:val="0"/>
          <w:color w:val="2A9D8F"/>
          <w:sz w:val="23"/>
        </w:rPr>
        <w:t>2.4 Calibration in ML-Based Finance</w:t>
      </w:r>
    </w:p>
    <w:p>
      <w:pPr>
        <w:spacing w:before="0" w:after="160" w:line="360" w:lineRule="auto"/>
        <w:ind w:firstLine="0"/>
      </w:pPr>
      <w:r>
        <w:rPr>
          <w:rFonts w:ascii="Times New Roman" w:hAnsi="Times New Roman"/>
          <w:b w:val="0"/>
          <w:i w:val="0"/>
          <w:sz w:val="22"/>
        </w:rPr>
        <w:t>Probability calibration — matching predicted probability to empirical frequency — has received limited attention in financial ML despite its importance for risk management. Guo et al. (2017) establish expected calibration error (ECE) as the standard metric. In a classification-based conviction ranking framework, well-calibrated probabilities allow the IC gate to interpret rank ordering correctly. We demonstrate that our isotonic-calibrated ensemble achieves ECE below 0.025 across all folds while producing zero IC — showing that calibration quality does not imply discriminative content.</w:t>
      </w:r>
    </w:p>
    <w:p>
      <w:pPr>
        <w:keepNext/>
        <w:spacing w:before="280" w:after="80"/>
      </w:pPr>
      <w:r>
        <w:rPr>
          <w:rFonts w:ascii="Times New Roman" w:hAnsi="Times New Roman"/>
          <w:b/>
          <w:i w:val="0"/>
          <w:color w:val="2A9D8F"/>
          <w:sz w:val="23"/>
        </w:rPr>
        <w:t>2.5 Methodological Failures in ML Finance</w:t>
      </w:r>
    </w:p>
    <w:p>
      <w:pPr>
        <w:spacing w:before="0" w:after="160" w:line="360" w:lineRule="auto"/>
        <w:ind w:firstLine="0"/>
      </w:pPr>
      <w:r>
        <w:rPr>
          <w:rFonts w:ascii="Times New Roman" w:hAnsi="Times New Roman"/>
          <w:b w:val="0"/>
          <w:i w:val="0"/>
          <w:sz w:val="22"/>
        </w:rPr>
        <w:t>A substantial body of published financial ML findings suffers from identifiable methodological failures that inflate reported performance. The most pervasive is the use of random k-fold cross-validation on time-series data. Randomly shuffling training and test folds creates temporal leakage: observations from future periods appear in training sets, the model learns target values it would not have observed at the time of prediction, and in-sample accuracy estimates are biased upward relative to true out-of-sample performance. Prado (2018) formalises the purged k-fold construction as the correct alternative; the ICGDF walk-forward design implements this principle with explicit embargoes between train and test windows.</w:t>
      </w:r>
    </w:p>
    <w:p>
      <w:pPr>
        <w:spacing w:before="0" w:after="160" w:line="360" w:lineRule="auto"/>
        <w:ind w:firstLine="0"/>
      </w:pPr>
      <w:r>
        <w:rPr>
          <w:rFonts w:ascii="Times New Roman" w:hAnsi="Times New Roman"/>
          <w:b w:val="0"/>
          <w:i w:val="0"/>
          <w:sz w:val="22"/>
        </w:rPr>
        <w:t>A second failure is the absence of autocorrelation correction in IC inference. Daily IC observations are serially correlated — a model that is marginally informative on consecutive days will exhibit positive IC autocorrelation, causing naive standard errors to understate variance and naive t-statistics to overstate significance. Newey and West (1987) provide the heteroskedasticity and autocorrelation consistent (HAC) covariance estimator that corrects for this. Harvey et al. (2016) argue that the absence of multiple-testing corrections has produced a substantial number of spurious factor discoveries in the cross-section of expected returns; the same critique applies at the level of individual IC tests. Bailey et al. (2014) demonstrate formally that repeated backtesting over a fixed historical sample generates overfit strategies whose out-of-sample Sharpe ratios decay in proportion to the number of configurations tested. ICGDF responds to both critiques: the HAC t-test addresses autocorrelation; the permutation test provides non-parametric confirmation robust to distributional assumptions; and the pre-deployment IC gate substantially reduces the risk that any backtest result is treated as a deployment signal unless statistical conditions are met.</w:t>
      </w:r>
    </w:p>
    <w:p>
      <w:pPr>
        <w:spacing w:before="0" w:after="240" w:line="360" w:lineRule="auto"/>
        <w:ind w:firstLine="0"/>
      </w:pPr>
      <w:r>
        <w:rPr>
          <w:rFonts w:ascii="Times New Roman" w:hAnsi="Times New Roman"/>
          <w:b w:val="0"/>
          <w:i w:val="0"/>
          <w:sz w:val="22"/>
        </w:rPr>
        <w:t>A third failure, survivorship bias, arises when a universe is restricted to securities that are current index members. We control for this by requiring stocks to have been continuous NASDAQ-100 members throughout the evaluation window and applying the same constraint in all robustness checks. These three failures — temporal leakage, autocorrelation-naive inference, and survivorship bias — represent the conditions under which spurious positive results are most likely to emerge. ICGDF is designed to be non-deployable unless all three are controlled.</w:t>
      </w:r>
    </w:p>
    <w:p>
      <w:pPr>
        <w:keepNext/>
        <w:spacing w:before="280" w:after="80"/>
      </w:pPr>
      <w:r>
        <w:rPr>
          <w:rFonts w:ascii="Times New Roman" w:hAnsi="Times New Roman"/>
          <w:b/>
          <w:i w:val="0"/>
          <w:color w:val="2A9D8F"/>
          <w:sz w:val="23"/>
        </w:rPr>
        <w:t>Algorithm 1: IC-Gated Deployment Framework (ICGDF)</w:t>
      </w:r>
    </w:p>
    <w:p>
      <w:pPr>
        <w:spacing w:before="20" w:after="40"/>
        <w:ind w:left="360"/>
      </w:pPr>
      <w:r>
        <w:rPr>
          <w:rFonts w:ascii="Times New Roman" w:hAnsi="Times New Roman"/>
          <w:b/>
          <w:i w:val="0"/>
          <w:sz w:val="20"/>
        </w:rPr>
        <w:t xml:space="preserve">Input:  </w:t>
      </w:r>
      <w:r>
        <w:rPr>
          <w:rFonts w:ascii="Times New Roman" w:hAnsi="Times New Roman"/>
          <w:b w:val="0"/>
          <w:i w:val="0"/>
          <w:sz w:val="20"/>
        </w:rPr>
        <w:t>Daily OHLCV panel for N stocks over T trading days; significance level α = 0.05; HAC lag L = 9 days; permutation replicates B = 1,000.</w:t>
      </w:r>
    </w:p>
    <w:p>
      <w:pPr>
        <w:spacing w:before="20" w:after="40"/>
        <w:ind w:left="360"/>
      </w:pPr>
      <w:r>
        <w:rPr>
          <w:rFonts w:ascii="Times New Roman" w:hAnsi="Times New Roman"/>
          <w:b/>
          <w:i w:val="0"/>
          <w:sz w:val="20"/>
        </w:rPr>
        <w:t>Stage 1 — Training and Calibration (per fold k):</w:t>
      </w:r>
    </w:p>
    <w:p>
      <w:pPr>
        <w:spacing w:before="20" w:after="40"/>
        <w:ind w:left="360"/>
      </w:pPr>
      <w:r>
        <w:rPr>
          <w:rFonts w:ascii="Times New Roman" w:hAnsi="Times New Roman"/>
          <w:b/>
          <w:i w:val="0"/>
          <w:sz w:val="20"/>
        </w:rPr>
        <w:t xml:space="preserve">  1.</w:t>
      </w:r>
      <w:r>
        <w:rPr>
          <w:rFonts w:ascii="Times New Roman" w:hAnsi="Times New Roman"/>
          <w:b w:val="0"/>
          <w:i w:val="0"/>
          <w:sz w:val="20"/>
        </w:rPr>
        <w:t>Construct expanding training window [1, tₖ] with 2-calendar-day temporal embargo.</w:t>
      </w:r>
    </w:p>
    <w:p>
      <w:pPr>
        <w:spacing w:before="20" w:after="40"/>
        <w:ind w:left="360"/>
      </w:pPr>
      <w:r>
        <w:rPr>
          <w:rFonts w:ascii="Times New Roman" w:hAnsi="Times New Roman"/>
          <w:b/>
          <w:i w:val="0"/>
          <w:sz w:val="20"/>
        </w:rPr>
        <w:t xml:space="preserve">  2.</w:t>
      </w:r>
      <w:r>
        <w:rPr>
          <w:rFonts w:ascii="Times New Roman" w:hAnsi="Times New Roman"/>
          <w:b w:val="0"/>
          <w:i w:val="0"/>
          <w:sz w:val="20"/>
        </w:rPr>
        <w:t>Engineer 49 strictly causal OHLCV features; no future-referencing rolling windows.</w:t>
      </w:r>
    </w:p>
    <w:p>
      <w:pPr>
        <w:spacing w:before="20" w:after="40"/>
        <w:ind w:left="360"/>
      </w:pPr>
      <w:r>
        <w:rPr>
          <w:rFonts w:ascii="Times New Roman" w:hAnsi="Times New Roman"/>
          <w:b/>
          <w:i w:val="0"/>
          <w:sz w:val="20"/>
        </w:rPr>
        <w:t xml:space="preserve">  3.</w:t>
      </w:r>
      <w:r>
        <w:rPr>
          <w:rFonts w:ascii="Times New Roman" w:hAnsi="Times New Roman"/>
          <w:b w:val="0"/>
          <w:i w:val="0"/>
          <w:sz w:val="20"/>
        </w:rPr>
        <w:t>Fit CatBoost, Random Forest, and MLP base learners independently on training fold.</w:t>
      </w:r>
    </w:p>
    <w:p>
      <w:pPr>
        <w:spacing w:before="20" w:after="40"/>
        <w:ind w:left="360"/>
      </w:pPr>
      <w:r>
        <w:rPr>
          <w:rFonts w:ascii="Times New Roman" w:hAnsi="Times New Roman"/>
          <w:b/>
          <w:i w:val="0"/>
          <w:sz w:val="20"/>
        </w:rPr>
        <w:t xml:space="preserve">  4.</w:t>
      </w:r>
      <w:r>
        <w:rPr>
          <w:rFonts w:ascii="Times New Roman" w:hAnsi="Times New Roman"/>
          <w:b w:val="0"/>
          <w:i w:val="0"/>
          <w:sz w:val="20"/>
        </w:rPr>
        <w:t>Calibrate ensemble probabilities via isotonic regression on held-out calibration window (last 20% of training); freeze calibrator before test window.</w:t>
      </w:r>
    </w:p>
    <w:p>
      <w:pPr>
        <w:spacing w:before="20" w:after="40"/>
        <w:ind w:left="360"/>
      </w:pPr>
      <w:r>
        <w:rPr>
          <w:rFonts w:ascii="Times New Roman" w:hAnsi="Times New Roman"/>
          <w:b/>
          <w:i w:val="0"/>
          <w:sz w:val="20"/>
        </w:rPr>
        <w:t>Stage 2 — IC Gate (applied before each deployment decision):</w:t>
      </w:r>
    </w:p>
    <w:p>
      <w:pPr>
        <w:spacing w:before="20" w:after="40"/>
        <w:ind w:left="360"/>
      </w:pPr>
      <w:r>
        <w:rPr>
          <w:rFonts w:ascii="Times New Roman" w:hAnsi="Times New Roman"/>
          <w:b/>
          <w:i w:val="0"/>
          <w:sz w:val="20"/>
        </w:rPr>
        <w:t xml:space="preserve">  5.</w:t>
      </w:r>
      <w:r>
        <w:rPr>
          <w:rFonts w:ascii="Times New Roman" w:hAnsi="Times New Roman"/>
          <w:b w:val="0"/>
          <w:i w:val="0"/>
          <w:sz w:val="20"/>
        </w:rPr>
        <w:t>Compute daily ICᵈ = SpearmanRankCorr(ṗ̂ᵈ, rᵈ₊₁) for each day d in the test fold.</w:t>
      </w:r>
    </w:p>
    <w:p>
      <w:pPr>
        <w:spacing w:before="20" w:after="40"/>
        <w:ind w:left="360"/>
      </w:pPr>
      <w:r>
        <w:rPr>
          <w:rFonts w:ascii="Times New Roman" w:hAnsi="Times New Roman"/>
          <w:b/>
          <w:i w:val="0"/>
          <w:sz w:val="20"/>
        </w:rPr>
        <w:t xml:space="preserve">  6.</w:t>
      </w:r>
      <w:r>
        <w:rPr>
          <w:rFonts w:ascii="Times New Roman" w:hAnsi="Times New Roman"/>
          <w:b w:val="0"/>
          <w:i w:val="0"/>
          <w:sz w:val="20"/>
        </w:rPr>
        <w:t>HAC t-test: tₕₐᶜ = IC̅ / √(V̂ₕₐᶜ / N). Gate condition A: tₕₐᶜ &gt; 1.645 AND IC̅ &gt; 0.</w:t>
      </w:r>
    </w:p>
    <w:p>
      <w:pPr>
        <w:spacing w:before="20" w:after="40"/>
        <w:ind w:left="360"/>
      </w:pPr>
      <w:r>
        <w:rPr>
          <w:rFonts w:ascii="Times New Roman" w:hAnsi="Times New Roman"/>
          <w:b/>
          <w:i w:val="0"/>
          <w:sz w:val="20"/>
        </w:rPr>
        <w:t xml:space="preserve">  7.</w:t>
      </w:r>
      <w:r>
        <w:rPr>
          <w:rFonts w:ascii="Times New Roman" w:hAnsi="Times New Roman"/>
          <w:b w:val="0"/>
          <w:i w:val="0"/>
          <w:sz w:val="20"/>
        </w:rPr>
        <w:t>Permutation test: shuffle cross-sectional rankings B = 1,000 times; compute empirical p-value. Gate condition B: pₚₑᵣₘ &lt; 0.05.</w:t>
      </w:r>
    </w:p>
    <w:p>
      <w:pPr>
        <w:spacing w:before="20" w:after="40"/>
        <w:ind w:left="360"/>
      </w:pPr>
      <w:r>
        <w:rPr>
          <w:rFonts w:ascii="Times New Roman" w:hAnsi="Times New Roman"/>
          <w:b/>
          <w:i w:val="0"/>
          <w:sz w:val="20"/>
        </w:rPr>
        <w:t xml:space="preserve">  8.</w:t>
      </w:r>
      <w:r>
        <w:rPr>
          <w:rFonts w:ascii="Times New Roman" w:hAnsi="Times New Roman"/>
          <w:b w:val="0"/>
          <w:i w:val="0"/>
          <w:sz w:val="20"/>
        </w:rPr>
        <w:t>Gate opens if and only if condition A AND condition B are satisfied.</w:t>
      </w:r>
    </w:p>
    <w:p>
      <w:pPr>
        <w:spacing w:before="20" w:after="40"/>
        <w:ind w:left="360"/>
      </w:pPr>
      <w:r>
        <w:rPr>
          <w:rFonts w:ascii="Times New Roman" w:hAnsi="Times New Roman"/>
          <w:b/>
          <w:i w:val="0"/>
          <w:sz w:val="20"/>
        </w:rPr>
        <w:t xml:space="preserve">  9.</w:t>
      </w:r>
      <w:r>
        <w:rPr>
          <w:rFonts w:ascii="Times New Roman" w:hAnsi="Times New Roman"/>
          <w:b w:val="0"/>
          <w:i w:val="0"/>
          <w:sz w:val="20"/>
        </w:rPr>
        <w:t>If gate closed: take no position; proceed to next trading day.</w:t>
      </w:r>
    </w:p>
    <w:p>
      <w:pPr>
        <w:spacing w:before="20" w:after="40"/>
        <w:ind w:left="360"/>
      </w:pPr>
      <w:r>
        <w:rPr>
          <w:rFonts w:ascii="Times New Roman" w:hAnsi="Times New Roman"/>
          <w:b/>
          <w:i w:val="0"/>
          <w:sz w:val="20"/>
        </w:rPr>
        <w:t xml:space="preserve"> 10.</w:t>
      </w:r>
      <w:r>
        <w:rPr>
          <w:rFonts w:ascii="Times New Roman" w:hAnsi="Times New Roman"/>
          <w:b w:val="0"/>
          <w:i w:val="0"/>
          <w:sz w:val="20"/>
        </w:rPr>
        <w:t>If gate open: allocate equal weight to the K stocks with highest calibrated conviction scores; apply 5 bps round-trip transaction cost.</w:t>
      </w:r>
    </w:p>
    <w:p>
      <w:pPr>
        <w:spacing w:before="20" w:after="40"/>
        <w:ind w:left="360"/>
      </w:pPr>
      <w:r>
        <w:rPr>
          <w:rFonts w:ascii="Times New Roman" w:hAnsi="Times New Roman"/>
          <w:b/>
          <w:i w:val="0"/>
          <w:sz w:val="20"/>
        </w:rPr>
        <w:t xml:space="preserve">Output: </w:t>
      </w:r>
      <w:r>
        <w:rPr>
          <w:rFonts w:ascii="Times New Roman" w:hAnsi="Times New Roman"/>
          <w:b w:val="0"/>
          <w:i w:val="0"/>
          <w:sz w:val="20"/>
        </w:rPr>
        <w:t>Fold-level IC statistics, gate decision log, portfolio returns, Sharpe ratio, ECE, and Diebold-Mariano test statistic versus random selection.</w:t>
      </w:r>
    </w:p>
    <w:p>
      <w:pPr>
        <w:spacing w:before="0" w:after="160" w:line="360" w:lineRule="auto"/>
        <w:ind w:firstLine="0"/>
      </w:pPr>
      <w:r>
        <w:rPr>
          <w:rFonts w:ascii="Times New Roman" w:hAnsi="Times New Roman"/>
          <w:b w:val="0"/>
          <w:i w:val="0"/>
          <w:sz w:val="22"/>
        </w:rPr>
        <w:t>The gate mechanism is architecture-agnostic: any base learner producing a calibrated probability score over a cross-section of assets can be substituted at Step 3 without altering the training protocol or the gate logic in Steps 5-10.</w:t>
      </w:r>
    </w:p>
    <w:p>
      <w:pPr>
        <w:keepNext/>
        <w:spacing w:before="280" w:after="80"/>
      </w:pPr>
      <w:r>
        <w:rPr>
          <w:rFonts w:ascii="Times New Roman" w:hAnsi="Times New Roman"/>
          <w:b/>
          <w:i w:val="0"/>
          <w:color w:val="264653"/>
          <w:sz w:val="26"/>
        </w:rPr>
        <w:t>3. Data and Feature Engineering</w:t>
      </w:r>
    </w:p>
    <w:p>
      <w:pPr>
        <w:keepNext/>
        <w:spacing w:before="280" w:after="80"/>
      </w:pPr>
      <w:r>
        <w:rPr>
          <w:rFonts w:ascii="Times New Roman" w:hAnsi="Times New Roman"/>
          <w:b/>
          <w:i w:val="0"/>
          <w:color w:val="2A9D8F"/>
          <w:sz w:val="23"/>
        </w:rPr>
        <w:t>3.1 Universe Construction</w:t>
      </w:r>
    </w:p>
    <w:p>
      <w:pPr>
        <w:spacing w:before="0" w:after="160" w:line="360" w:lineRule="auto"/>
        <w:ind w:firstLine="0"/>
      </w:pPr>
      <w:r>
        <w:rPr>
          <w:rFonts w:ascii="Times New Roman" w:hAnsi="Times New Roman"/>
          <w:b w:val="0"/>
          <w:i w:val="0"/>
          <w:sz w:val="22"/>
        </w:rPr>
        <w:t>The primary universe consists of 30 large-cap NASDAQ-100 member stocks selected to avoid survivorship bias. Specifically, we include stocks that were NASDAQ-100 continuous members throughout the evaluation window (October 2018 – October 2024) and had price history back to January 2015 to provide at least three years of training data for the first fold. SPY is included as a benchmark instrument. Daily OHLCV data spanning January 2015 through December 2024 — a total of approximately 2,500 trading days — is obtained from Yahoo Finance via the yfinance library with auto-adjustment for splits and dividends.</w:t>
      </w:r>
    </w:p>
    <w:p>
      <w:pPr>
        <w:spacing w:before="0" w:after="160" w:line="360" w:lineRule="auto"/>
        <w:ind w:firstLine="0"/>
      </w:pPr>
      <w:r>
        <w:rPr>
          <w:rFonts w:ascii="Times New Roman" w:hAnsi="Times New Roman"/>
          <w:b w:val="0"/>
          <w:i w:val="0"/>
          <w:sz w:val="22"/>
        </w:rPr>
        <w:t>For the robustness analysis in Section 6, we expand the universe to approximately 100 NASDAQ-100 candidate stocks applying the same survivorship-bias control procedure: stocks must have at least 1,800 trading days (roughly 7 years) of clean, adjusted price history. This produces a survivorship-bias-controlled universe of similar character to the primary 30-stock universe but three times as broad.</w:t>
      </w:r>
    </w:p>
    <w:p>
      <w:pPr>
        <w:keepNext/>
        <w:spacing w:before="280" w:after="80"/>
      </w:pPr>
      <w:r>
        <w:rPr>
          <w:rFonts w:ascii="Times New Roman" w:hAnsi="Times New Roman"/>
          <w:b/>
          <w:i w:val="0"/>
          <w:color w:val="2A9D8F"/>
          <w:sz w:val="23"/>
        </w:rPr>
        <w:t>3.2 Target Variable</w:t>
      </w:r>
    </w:p>
    <w:p>
      <w:pPr>
        <w:spacing w:before="0" w:after="160" w:line="360" w:lineRule="auto"/>
        <w:ind w:firstLine="0"/>
      </w:pPr>
      <w:r>
        <w:rPr>
          <w:rFonts w:ascii="Times New Roman" w:hAnsi="Times New Roman"/>
          <w:b w:val="0"/>
          <w:i w:val="0"/>
          <w:sz w:val="22"/>
        </w:rPr>
        <w:t>The target variable is the binary direction of the two-day-ahead close return. Formally: y_t = 1 if Close(t+2) &gt; Close(t+1), else 0. The two-day shift eliminates execution-at-signal lookahead bias — we assume signals from day t are known at market close of day t, positions are entered at the close of day t+1 (open print or VWAP), and returns are measured from close(t+1) to close(t+2). This conservative lag prevents any information about day t+1's close from contaminating the signal.</w:t>
      </w:r>
    </w:p>
    <w:p>
      <w:pPr>
        <w:keepNext/>
        <w:spacing w:before="280" w:after="80"/>
      </w:pPr>
      <w:r>
        <w:rPr>
          <w:rFonts w:ascii="Times New Roman" w:hAnsi="Times New Roman"/>
          <w:b/>
          <w:i w:val="0"/>
          <w:color w:val="2A9D8F"/>
          <w:sz w:val="23"/>
        </w:rPr>
        <w:t>3.3 Feature Engineering</w:t>
      </w:r>
    </w:p>
    <w:p>
      <w:pPr>
        <w:spacing w:before="0" w:after="160" w:line="360" w:lineRule="auto"/>
        <w:ind w:firstLine="0"/>
      </w:pPr>
      <w:r>
        <w:rPr>
          <w:rFonts w:ascii="Times New Roman" w:hAnsi="Times New Roman"/>
          <w:b w:val="0"/>
          <w:i w:val="0"/>
          <w:sz w:val="22"/>
        </w:rPr>
        <w:t>We construct 49 strictly backward-looking technical features from OHLCV data alone. All features use only past prices and volumes at computation time — no center=True rolling windows, no future data leakage, and min_periods equal to the full window length to avoid warm-up period artifacts. Table 1 lists the eight feature categories.</w:t>
      </w:r>
    </w:p>
    <w:tbl>
      <w:tblPr>
        <w:tblStyle w:val="TableGrid"/>
        <w:tblW w:type="auto" w:w="0"/>
        <w:jc w:val="center"/>
        <w:tblLook w:firstColumn="1" w:firstRow="1" w:lastColumn="0" w:lastRow="0" w:noHBand="0" w:noVBand="1" w:val="04A0"/>
      </w:tblPr>
      <w:tblGrid>
        <w:gridCol w:w="2880"/>
        <w:gridCol w:w="2880"/>
        <w:gridCol w:w="2880"/>
      </w:tblGrid>
      <w:tr>
        <w:tc>
          <w:tcPr>
            <w:tcW w:type="dxa" w:w="1984"/>
            <w:shd w:val="clear" w:color="auto" w:fill="264653"/>
          </w:tcPr>
          <w:p>
            <w:r/>
            <w:r>
              <w:rPr>
                <w:rFonts w:ascii="Times New Roman" w:hAnsi="Times New Roman"/>
                <w:b/>
                <w:i w:val="0"/>
                <w:color w:val="FFFFFF"/>
                <w:sz w:val="19"/>
              </w:rPr>
              <w:t>Category</w:t>
            </w:r>
          </w:p>
        </w:tc>
        <w:tc>
          <w:tcPr>
            <w:tcW w:type="dxa" w:w="850"/>
            <w:shd w:val="clear" w:color="auto" w:fill="264653"/>
          </w:tcPr>
          <w:p>
            <w:r/>
            <w:r>
              <w:rPr>
                <w:rFonts w:ascii="Times New Roman" w:hAnsi="Times New Roman"/>
                <w:b/>
                <w:i w:val="0"/>
                <w:color w:val="FFFFFF"/>
                <w:sz w:val="19"/>
              </w:rPr>
              <w:t>Count</w:t>
            </w:r>
          </w:p>
        </w:tc>
        <w:tc>
          <w:tcPr>
            <w:tcW w:type="dxa" w:w="6236"/>
            <w:shd w:val="clear" w:color="auto" w:fill="264653"/>
          </w:tcPr>
          <w:p>
            <w:r/>
            <w:r>
              <w:rPr>
                <w:rFonts w:ascii="Times New Roman" w:hAnsi="Times New Roman"/>
                <w:b/>
                <w:i w:val="0"/>
                <w:color w:val="FFFFFF"/>
                <w:sz w:val="19"/>
              </w:rPr>
              <w:t>Representative Features</w:t>
            </w:r>
          </w:p>
        </w:tc>
      </w:tr>
      <w:tr>
        <w:tc>
          <w:tcPr>
            <w:tcW w:type="dxa" w:w="1984"/>
            <w:shd w:val="clear" w:color="auto" w:fill="E8F4F8"/>
          </w:tcPr>
          <w:p>
            <w:pPr>
              <w:jc w:val="left"/>
            </w:pPr>
            <w:r/>
            <w:r>
              <w:rPr>
                <w:rFonts w:ascii="Times New Roman" w:hAnsi="Times New Roman"/>
                <w:b w:val="0"/>
                <w:i w:val="0"/>
                <w:sz w:val="19"/>
              </w:rPr>
              <w:t>Momentum</w:t>
            </w:r>
          </w:p>
        </w:tc>
        <w:tc>
          <w:tcPr>
            <w:tcW w:type="dxa" w:w="850"/>
            <w:shd w:val="clear" w:color="auto" w:fill="E8F4F8"/>
          </w:tcPr>
          <w:p>
            <w:pPr>
              <w:jc w:val="center"/>
            </w:pPr>
            <w:r/>
            <w:r>
              <w:rPr>
                <w:rFonts w:ascii="Times New Roman" w:hAnsi="Times New Roman"/>
                <w:b w:val="0"/>
                <w:i w:val="0"/>
                <w:sz w:val="19"/>
              </w:rPr>
              <w:t>8</w:t>
            </w:r>
          </w:p>
        </w:tc>
        <w:tc>
          <w:tcPr>
            <w:tcW w:type="dxa" w:w="6236"/>
            <w:shd w:val="clear" w:color="auto" w:fill="E8F4F8"/>
          </w:tcPr>
          <w:p>
            <w:pPr>
              <w:jc w:val="center"/>
            </w:pPr>
            <w:r/>
            <w:r>
              <w:rPr>
                <w:rFonts w:ascii="Times New Roman" w:hAnsi="Times New Roman"/>
                <w:b w:val="0"/>
                <w:i w:val="0"/>
                <w:sz w:val="19"/>
              </w:rPr>
              <w:t>RSI-14/21, MACD line/signal/histogram, ROC-10/21, Williams %R</w:t>
            </w:r>
          </w:p>
        </w:tc>
      </w:tr>
      <w:tr>
        <w:tc>
          <w:tcPr>
            <w:tcW w:type="dxa" w:w="1984"/>
          </w:tcPr>
          <w:p>
            <w:pPr>
              <w:jc w:val="left"/>
            </w:pPr>
            <w:r/>
            <w:r>
              <w:rPr>
                <w:rFonts w:ascii="Times New Roman" w:hAnsi="Times New Roman"/>
                <w:b w:val="0"/>
                <w:i w:val="0"/>
                <w:sz w:val="19"/>
              </w:rPr>
              <w:t>Bollinger Bands</w:t>
            </w:r>
          </w:p>
        </w:tc>
        <w:tc>
          <w:tcPr>
            <w:tcW w:type="dxa" w:w="850"/>
          </w:tcPr>
          <w:p>
            <w:pPr>
              <w:jc w:val="center"/>
            </w:pPr>
            <w:r/>
            <w:r>
              <w:rPr>
                <w:rFonts w:ascii="Times New Roman" w:hAnsi="Times New Roman"/>
                <w:b w:val="0"/>
                <w:i w:val="0"/>
                <w:sz w:val="19"/>
              </w:rPr>
              <w:t>6</w:t>
            </w:r>
          </w:p>
        </w:tc>
        <w:tc>
          <w:tcPr>
            <w:tcW w:type="dxa" w:w="6236"/>
          </w:tcPr>
          <w:p>
            <w:pPr>
              <w:jc w:val="center"/>
            </w:pPr>
            <w:r/>
            <w:r>
              <w:rPr>
                <w:rFonts w:ascii="Times New Roman" w:hAnsi="Times New Roman"/>
                <w:b w:val="0"/>
                <w:i w:val="0"/>
                <w:sz w:val="19"/>
              </w:rPr>
              <w:t>Upper, Lower, Mid, Bandwidth, %B position, CCI-20</w:t>
            </w:r>
          </w:p>
        </w:tc>
      </w:tr>
      <w:tr>
        <w:tc>
          <w:tcPr>
            <w:tcW w:type="dxa" w:w="1984"/>
            <w:shd w:val="clear" w:color="auto" w:fill="E8F4F8"/>
          </w:tcPr>
          <w:p>
            <w:pPr>
              <w:jc w:val="left"/>
            </w:pPr>
            <w:r/>
            <w:r>
              <w:rPr>
                <w:rFonts w:ascii="Times New Roman" w:hAnsi="Times New Roman"/>
                <w:b w:val="0"/>
                <w:i w:val="0"/>
                <w:sz w:val="19"/>
              </w:rPr>
              <w:t>Volatility</w:t>
            </w:r>
          </w:p>
        </w:tc>
        <w:tc>
          <w:tcPr>
            <w:tcW w:type="dxa" w:w="850"/>
            <w:shd w:val="clear" w:color="auto" w:fill="E8F4F8"/>
          </w:tcPr>
          <w:p>
            <w:pPr>
              <w:jc w:val="center"/>
            </w:pPr>
            <w:r/>
            <w:r>
              <w:rPr>
                <w:rFonts w:ascii="Times New Roman" w:hAnsi="Times New Roman"/>
                <w:b w:val="0"/>
                <w:i w:val="0"/>
                <w:sz w:val="19"/>
              </w:rPr>
              <w:t>6</w:t>
            </w:r>
          </w:p>
        </w:tc>
        <w:tc>
          <w:tcPr>
            <w:tcW w:type="dxa" w:w="6236"/>
            <w:shd w:val="clear" w:color="auto" w:fill="E8F4F8"/>
          </w:tcPr>
          <w:p>
            <w:pPr>
              <w:jc w:val="center"/>
            </w:pPr>
            <w:r/>
            <w:r>
              <w:rPr>
                <w:rFonts w:ascii="Times New Roman" w:hAnsi="Times New Roman"/>
                <w:b w:val="0"/>
                <w:i w:val="0"/>
                <w:sz w:val="19"/>
              </w:rPr>
              <w:t>ATR-14/21, Log-return vol 5d/21d/63d, HL range</w:t>
            </w:r>
          </w:p>
        </w:tc>
      </w:tr>
      <w:tr>
        <w:tc>
          <w:tcPr>
            <w:tcW w:type="dxa" w:w="1984"/>
          </w:tcPr>
          <w:p>
            <w:pPr>
              <w:jc w:val="left"/>
            </w:pPr>
            <w:r/>
            <w:r>
              <w:rPr>
                <w:rFonts w:ascii="Times New Roman" w:hAnsi="Times New Roman"/>
                <w:b w:val="0"/>
                <w:i w:val="0"/>
                <w:sz w:val="19"/>
              </w:rPr>
              <w:t>Trend / MA</w:t>
            </w:r>
          </w:p>
        </w:tc>
        <w:tc>
          <w:tcPr>
            <w:tcW w:type="dxa" w:w="850"/>
          </w:tcPr>
          <w:p>
            <w:pPr>
              <w:jc w:val="center"/>
            </w:pPr>
            <w:r/>
            <w:r>
              <w:rPr>
                <w:rFonts w:ascii="Times New Roman" w:hAnsi="Times New Roman"/>
                <w:b w:val="0"/>
                <w:i w:val="0"/>
                <w:sz w:val="19"/>
              </w:rPr>
              <w:t>8</w:t>
            </w:r>
          </w:p>
        </w:tc>
        <w:tc>
          <w:tcPr>
            <w:tcW w:type="dxa" w:w="6236"/>
          </w:tcPr>
          <w:p>
            <w:pPr>
              <w:jc w:val="center"/>
            </w:pPr>
            <w:r/>
            <w:r>
              <w:rPr>
                <w:rFonts w:ascii="Times New Roman" w:hAnsi="Times New Roman"/>
                <w:b w:val="0"/>
                <w:i w:val="0"/>
                <w:sz w:val="19"/>
              </w:rPr>
              <w:t>EMA-9/21/50/200, SMA-50/200, Price-to-SMA50/200</w:t>
            </w:r>
          </w:p>
        </w:tc>
      </w:tr>
      <w:tr>
        <w:tc>
          <w:tcPr>
            <w:tcW w:type="dxa" w:w="1984"/>
            <w:shd w:val="clear" w:color="auto" w:fill="E8F4F8"/>
          </w:tcPr>
          <w:p>
            <w:pPr>
              <w:jc w:val="left"/>
            </w:pPr>
            <w:r/>
            <w:r>
              <w:rPr>
                <w:rFonts w:ascii="Times New Roman" w:hAnsi="Times New Roman"/>
                <w:b w:val="0"/>
                <w:i w:val="0"/>
                <w:sz w:val="19"/>
              </w:rPr>
              <w:t>Returns</w:t>
            </w:r>
          </w:p>
        </w:tc>
        <w:tc>
          <w:tcPr>
            <w:tcW w:type="dxa" w:w="850"/>
            <w:shd w:val="clear" w:color="auto" w:fill="E8F4F8"/>
          </w:tcPr>
          <w:p>
            <w:pPr>
              <w:jc w:val="center"/>
            </w:pPr>
            <w:r/>
            <w:r>
              <w:rPr>
                <w:rFonts w:ascii="Times New Roman" w:hAnsi="Times New Roman"/>
                <w:b w:val="0"/>
                <w:i w:val="0"/>
                <w:sz w:val="19"/>
              </w:rPr>
              <w:t>6</w:t>
            </w:r>
          </w:p>
        </w:tc>
        <w:tc>
          <w:tcPr>
            <w:tcW w:type="dxa" w:w="6236"/>
            <w:shd w:val="clear" w:color="auto" w:fill="E8F4F8"/>
          </w:tcPr>
          <w:p>
            <w:pPr>
              <w:jc w:val="center"/>
            </w:pPr>
            <w:r/>
            <w:r>
              <w:rPr>
                <w:rFonts w:ascii="Times New Roman" w:hAnsi="Times New Roman"/>
                <w:b w:val="0"/>
                <w:i w:val="0"/>
                <w:sz w:val="19"/>
              </w:rPr>
              <w:t>Log returns: 1d, 2d, 3d, 5d, 10d, 21d</w:t>
            </w:r>
          </w:p>
        </w:tc>
      </w:tr>
      <w:tr>
        <w:tc>
          <w:tcPr>
            <w:tcW w:type="dxa" w:w="1984"/>
          </w:tcPr>
          <w:p>
            <w:pPr>
              <w:jc w:val="left"/>
            </w:pPr>
            <w:r/>
            <w:r>
              <w:rPr>
                <w:rFonts w:ascii="Times New Roman" w:hAnsi="Times New Roman"/>
                <w:b w:val="0"/>
                <w:i w:val="0"/>
                <w:sz w:val="19"/>
              </w:rPr>
              <w:t>Volume</w:t>
            </w:r>
          </w:p>
        </w:tc>
        <w:tc>
          <w:tcPr>
            <w:tcW w:type="dxa" w:w="850"/>
          </w:tcPr>
          <w:p>
            <w:pPr>
              <w:jc w:val="center"/>
            </w:pPr>
            <w:r/>
            <w:r>
              <w:rPr>
                <w:rFonts w:ascii="Times New Roman" w:hAnsi="Times New Roman"/>
                <w:b w:val="0"/>
                <w:i w:val="0"/>
                <w:sz w:val="19"/>
              </w:rPr>
              <w:t>5</w:t>
            </w:r>
          </w:p>
        </w:tc>
        <w:tc>
          <w:tcPr>
            <w:tcW w:type="dxa" w:w="6236"/>
          </w:tcPr>
          <w:p>
            <w:pPr>
              <w:jc w:val="center"/>
            </w:pPr>
            <w:r/>
            <w:r>
              <w:rPr>
                <w:rFonts w:ascii="Times New Roman" w:hAnsi="Times New Roman"/>
                <w:b w:val="0"/>
                <w:i w:val="0"/>
                <w:sz w:val="19"/>
              </w:rPr>
              <w:t>OBV, OBV-EMA, Volume z-score 5d/21d, MFI-14</w:t>
            </w:r>
          </w:p>
        </w:tc>
      </w:tr>
      <w:tr>
        <w:tc>
          <w:tcPr>
            <w:tcW w:type="dxa" w:w="1984"/>
            <w:shd w:val="clear" w:color="auto" w:fill="E8F4F8"/>
          </w:tcPr>
          <w:p>
            <w:pPr>
              <w:jc w:val="left"/>
            </w:pPr>
            <w:r/>
            <w:r>
              <w:rPr>
                <w:rFonts w:ascii="Times New Roman" w:hAnsi="Times New Roman"/>
                <w:b w:val="0"/>
                <w:i w:val="0"/>
                <w:sz w:val="19"/>
              </w:rPr>
              <w:t>Candle</w:t>
            </w:r>
          </w:p>
        </w:tc>
        <w:tc>
          <w:tcPr>
            <w:tcW w:type="dxa" w:w="850"/>
            <w:shd w:val="clear" w:color="auto" w:fill="E8F4F8"/>
          </w:tcPr>
          <w:p>
            <w:pPr>
              <w:jc w:val="center"/>
            </w:pPr>
            <w:r/>
            <w:r>
              <w:rPr>
                <w:rFonts w:ascii="Times New Roman" w:hAnsi="Times New Roman"/>
                <w:b w:val="0"/>
                <w:i w:val="0"/>
                <w:sz w:val="19"/>
              </w:rPr>
              <w:t>4</w:t>
            </w:r>
          </w:p>
        </w:tc>
        <w:tc>
          <w:tcPr>
            <w:tcW w:type="dxa" w:w="6236"/>
            <w:shd w:val="clear" w:color="auto" w:fill="E8F4F8"/>
          </w:tcPr>
          <w:p>
            <w:pPr>
              <w:jc w:val="center"/>
            </w:pPr>
            <w:r/>
            <w:r>
              <w:rPr>
                <w:rFonts w:ascii="Times New Roman" w:hAnsi="Times New Roman"/>
                <w:b w:val="0"/>
                <w:i w:val="0"/>
                <w:sz w:val="19"/>
              </w:rPr>
              <w:t>OC body, upper/lower shadow ratios, DPO-20</w:t>
            </w:r>
          </w:p>
        </w:tc>
      </w:tr>
      <w:tr>
        <w:tc>
          <w:tcPr>
            <w:tcW w:type="dxa" w:w="1984"/>
          </w:tcPr>
          <w:p>
            <w:pPr>
              <w:jc w:val="left"/>
            </w:pPr>
            <w:r/>
            <w:r>
              <w:rPr>
                <w:rFonts w:ascii="Times New Roman" w:hAnsi="Times New Roman"/>
                <w:b w:val="0"/>
                <w:i w:val="0"/>
                <w:sz w:val="19"/>
              </w:rPr>
              <w:t>Directional</w:t>
            </w:r>
          </w:p>
        </w:tc>
        <w:tc>
          <w:tcPr>
            <w:tcW w:type="dxa" w:w="850"/>
          </w:tcPr>
          <w:p>
            <w:pPr>
              <w:jc w:val="center"/>
            </w:pPr>
            <w:r/>
            <w:r>
              <w:rPr>
                <w:rFonts w:ascii="Times New Roman" w:hAnsi="Times New Roman"/>
                <w:b w:val="0"/>
                <w:i w:val="0"/>
                <w:sz w:val="19"/>
              </w:rPr>
              <w:t>6</w:t>
            </w:r>
          </w:p>
        </w:tc>
        <w:tc>
          <w:tcPr>
            <w:tcW w:type="dxa" w:w="6236"/>
          </w:tcPr>
          <w:p>
            <w:pPr>
              <w:jc w:val="center"/>
            </w:pPr>
            <w:r/>
            <w:r>
              <w:rPr>
                <w:rFonts w:ascii="Times New Roman" w:hAnsi="Times New Roman"/>
                <w:b w:val="0"/>
                <w:i w:val="0"/>
                <w:sz w:val="19"/>
              </w:rPr>
              <w:t>Stochastic %K/%D, ADX-14, DI+/DI−, VWAP deviation</w:t>
            </w:r>
          </w:p>
        </w:tc>
      </w:tr>
    </w:tbl>
    <w:p>
      <w:pPr>
        <w:spacing w:before="80" w:after="200"/>
        <w:jc w:val="center"/>
      </w:pPr>
      <w:r>
        <w:rPr>
          <w:rFonts w:ascii="Times New Roman" w:hAnsi="Times New Roman"/>
          <w:b/>
          <w:i w:val="0"/>
          <w:sz w:val="19"/>
        </w:rPr>
        <w:t>Table 1.</w:t>
      </w:r>
      <w:r>
        <w:rPr>
          <w:rFonts w:ascii="Times New Roman" w:hAnsi="Times New Roman"/>
          <w:b w:val="0"/>
          <w:i w:val="0"/>
          <w:sz w:val="19"/>
        </w:rPr>
        <w:t xml:space="preserve"> Feature set: 49 strictly causal technical indicators across 8 categories. All features are backward-looking with no centre-window smoothing.</w:t>
      </w:r>
    </w:p>
    <w:p>
      <w:pPr>
        <w:keepNext/>
        <w:spacing w:before="280" w:after="80"/>
      </w:pPr>
      <w:r>
        <w:rPr>
          <w:rFonts w:ascii="Times New Roman" w:hAnsi="Times New Roman"/>
          <w:b/>
          <w:i w:val="0"/>
          <w:color w:val="264653"/>
          <w:sz w:val="26"/>
        </w:rPr>
        <w:t>4. Methodology</w:t>
      </w:r>
    </w:p>
    <w:p>
      <w:pPr>
        <w:keepNext/>
        <w:spacing w:before="280" w:after="80"/>
      </w:pPr>
      <w:r>
        <w:rPr>
          <w:rFonts w:ascii="Times New Roman" w:hAnsi="Times New Roman"/>
          <w:b/>
          <w:i w:val="0"/>
          <w:color w:val="2A9D8F"/>
          <w:sz w:val="23"/>
        </w:rPr>
        <w:t>4.1 Walk-Forward Validation</w:t>
      </w:r>
    </w:p>
    <w:p>
      <w:pPr>
        <w:spacing w:before="0" w:after="160" w:line="360" w:lineRule="auto"/>
        <w:ind w:firstLine="0"/>
      </w:pPr>
      <w:r>
        <w:rPr>
          <w:rFonts w:ascii="Times New Roman" w:hAnsi="Times New Roman"/>
          <w:b w:val="0"/>
          <w:i w:val="0"/>
          <w:sz w:val="22"/>
        </w:rPr>
        <w:t>We use a 12-fold expanding-window walk-forward design. The training window expands by six months per fold, starting from October 2015. The last 20% of each training window is reserved as a calibration set for isotonic probability calibration; the remaining 80% trains the base learners. Fold 1 tests October 2018 – April 2019; Fold 12 tests April 2024 – October 2024.</w:t>
      </w:r>
    </w:p>
    <w:p>
      <w:pPr>
        <w:spacing w:before="0" w:after="160" w:line="360" w:lineRule="auto"/>
        <w:ind w:firstLine="0"/>
      </w:pPr>
      <w:r>
        <w:rPr>
          <w:rFonts w:ascii="Times New Roman" w:hAnsi="Times New Roman"/>
          <w:b w:val="0"/>
          <w:i w:val="0"/>
          <w:sz w:val="22"/>
        </w:rPr>
        <w:t>A 2-calendar-day embargo separates the end of each training period from the start of the corresponding test window. The embargo length matches the 2-day forward shift in the target variable (y_t = 1{Close(t+2) &gt; Close(t+1)}), eliminating the subtle cross-contamination that would otherwise arise in the final two training rows. The calibration subset is never exposed to the test-period label distribution before inference, preventing any form of temporal data leakage.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67"/>
            <w:shd w:val="clear" w:color="auto" w:fill="264653"/>
          </w:tcPr>
          <w:p>
            <w:r/>
            <w:r>
              <w:rPr>
                <w:rFonts w:ascii="Times New Roman" w:hAnsi="Times New Roman"/>
                <w:b/>
                <w:i w:val="0"/>
                <w:color w:val="FFFFFF"/>
                <w:sz w:val="18"/>
              </w:rPr>
              <w:t>Fold</w:t>
            </w:r>
          </w:p>
        </w:tc>
        <w:tc>
          <w:tcPr>
            <w:tcW w:type="dxa" w:w="2551"/>
            <w:shd w:val="clear" w:color="auto" w:fill="264653"/>
          </w:tcPr>
          <w:p>
            <w:r/>
            <w:r>
              <w:rPr>
                <w:rFonts w:ascii="Times New Roman" w:hAnsi="Times New Roman"/>
                <w:b/>
                <w:i w:val="0"/>
                <w:color w:val="FFFFFF"/>
                <w:sz w:val="18"/>
              </w:rPr>
              <w:t>Training (expanding)</w:t>
            </w:r>
          </w:p>
        </w:tc>
        <w:tc>
          <w:tcPr>
            <w:tcW w:type="dxa" w:w="2551"/>
            <w:shd w:val="clear" w:color="auto" w:fill="264653"/>
          </w:tcPr>
          <w:p>
            <w:r/>
            <w:r>
              <w:rPr>
                <w:rFonts w:ascii="Times New Roman" w:hAnsi="Times New Roman"/>
                <w:b/>
                <w:i w:val="0"/>
                <w:color w:val="FFFFFF"/>
                <w:sz w:val="18"/>
              </w:rPr>
              <w:t>Cal. Window (last 20%)</w:t>
            </w:r>
          </w:p>
        </w:tc>
        <w:tc>
          <w:tcPr>
            <w:tcW w:type="dxa" w:w="2551"/>
            <w:shd w:val="clear" w:color="auto" w:fill="264653"/>
          </w:tcPr>
          <w:p>
            <w:r/>
            <w:r>
              <w:rPr>
                <w:rFonts w:ascii="Times New Roman" w:hAnsi="Times New Roman"/>
                <w:b/>
                <w:i w:val="0"/>
                <w:color w:val="FFFFFF"/>
                <w:sz w:val="18"/>
              </w:rPr>
              <w:t>Test (held-out)</w:t>
            </w:r>
          </w:p>
        </w:tc>
      </w:tr>
      <w:tr>
        <w:tc>
          <w:tcPr>
            <w:tcW w:type="dxa" w:w="567"/>
            <w:shd w:val="clear" w:color="auto" w:fill="E8F4F8"/>
          </w:tcPr>
          <w:p>
            <w:pPr>
              <w:jc w:val="left"/>
            </w:pPr>
            <w:r/>
            <w:r>
              <w:rPr>
                <w:rFonts w:ascii="Times New Roman" w:hAnsi="Times New Roman"/>
                <w:b w:val="0"/>
                <w:i w:val="0"/>
                <w:sz w:val="18"/>
              </w:rPr>
              <w:t>1</w:t>
            </w:r>
          </w:p>
        </w:tc>
        <w:tc>
          <w:tcPr>
            <w:tcW w:type="dxa" w:w="2551"/>
            <w:shd w:val="clear" w:color="auto" w:fill="E8F4F8"/>
          </w:tcPr>
          <w:p>
            <w:pPr>
              <w:jc w:val="center"/>
            </w:pPr>
            <w:r/>
            <w:r>
              <w:rPr>
                <w:rFonts w:ascii="Times New Roman" w:hAnsi="Times New Roman"/>
                <w:b w:val="0"/>
                <w:i w:val="0"/>
                <w:sz w:val="18"/>
              </w:rPr>
              <w:t>Oct 2015 – Oct 2018</w:t>
            </w:r>
          </w:p>
        </w:tc>
        <w:tc>
          <w:tcPr>
            <w:tcW w:type="dxa" w:w="2551"/>
            <w:shd w:val="clear" w:color="auto" w:fill="E8F4F8"/>
          </w:tcPr>
          <w:p>
            <w:pPr>
              <w:jc w:val="center"/>
            </w:pPr>
            <w:r/>
            <w:r>
              <w:rPr>
                <w:rFonts w:ascii="Times New Roman" w:hAnsi="Times New Roman"/>
                <w:b w:val="0"/>
                <w:i w:val="0"/>
                <w:sz w:val="18"/>
              </w:rPr>
              <w:t>Mar 2018 – Oct 2018</w:t>
            </w:r>
          </w:p>
        </w:tc>
        <w:tc>
          <w:tcPr>
            <w:tcW w:type="dxa" w:w="2551"/>
            <w:shd w:val="clear" w:color="auto" w:fill="E8F4F8"/>
          </w:tcPr>
          <w:p>
            <w:pPr>
              <w:jc w:val="center"/>
            </w:pPr>
            <w:r/>
            <w:r>
              <w:rPr>
                <w:rFonts w:ascii="Times New Roman" w:hAnsi="Times New Roman"/>
                <w:b w:val="0"/>
                <w:i w:val="0"/>
                <w:sz w:val="18"/>
              </w:rPr>
              <w:t>Oct 2018 – Apr 2019</w:t>
            </w:r>
          </w:p>
        </w:tc>
      </w:tr>
      <w:tr>
        <w:tc>
          <w:tcPr>
            <w:tcW w:type="dxa" w:w="567"/>
          </w:tcPr>
          <w:p>
            <w:pPr>
              <w:jc w:val="left"/>
            </w:pPr>
            <w:r/>
            <w:r>
              <w:rPr>
                <w:rFonts w:ascii="Times New Roman" w:hAnsi="Times New Roman"/>
                <w:b w:val="0"/>
                <w:i w:val="0"/>
                <w:sz w:val="18"/>
              </w:rPr>
              <w:t>2</w:t>
            </w:r>
          </w:p>
        </w:tc>
        <w:tc>
          <w:tcPr>
            <w:tcW w:type="dxa" w:w="2551"/>
          </w:tcPr>
          <w:p>
            <w:pPr>
              <w:jc w:val="center"/>
            </w:pPr>
            <w:r/>
            <w:r>
              <w:rPr>
                <w:rFonts w:ascii="Times New Roman" w:hAnsi="Times New Roman"/>
                <w:b w:val="0"/>
                <w:i w:val="0"/>
                <w:sz w:val="18"/>
              </w:rPr>
              <w:t>Oct 2015 – Apr 2019</w:t>
            </w:r>
          </w:p>
        </w:tc>
        <w:tc>
          <w:tcPr>
            <w:tcW w:type="dxa" w:w="2551"/>
          </w:tcPr>
          <w:p>
            <w:pPr>
              <w:jc w:val="center"/>
            </w:pPr>
            <w:r/>
            <w:r>
              <w:rPr>
                <w:rFonts w:ascii="Times New Roman" w:hAnsi="Times New Roman"/>
                <w:b w:val="0"/>
                <w:i w:val="0"/>
                <w:sz w:val="18"/>
              </w:rPr>
              <w:t>Aug 2018 – Apr 2019</w:t>
            </w:r>
          </w:p>
        </w:tc>
        <w:tc>
          <w:tcPr>
            <w:tcW w:type="dxa" w:w="2551"/>
          </w:tcPr>
          <w:p>
            <w:pPr>
              <w:jc w:val="center"/>
            </w:pPr>
            <w:r/>
            <w:r>
              <w:rPr>
                <w:rFonts w:ascii="Times New Roman" w:hAnsi="Times New Roman"/>
                <w:b w:val="0"/>
                <w:i w:val="0"/>
                <w:sz w:val="18"/>
              </w:rPr>
              <w:t>Apr 2019 – Oct 2019</w:t>
            </w:r>
          </w:p>
        </w:tc>
      </w:tr>
      <w:tr>
        <w:tc>
          <w:tcPr>
            <w:tcW w:type="dxa" w:w="567"/>
            <w:shd w:val="clear" w:color="auto" w:fill="E8F4F8"/>
          </w:tcPr>
          <w:p>
            <w:pPr>
              <w:jc w:val="left"/>
            </w:pPr>
            <w:r/>
            <w:r>
              <w:rPr>
                <w:rFonts w:ascii="Times New Roman" w:hAnsi="Times New Roman"/>
                <w:b w:val="0"/>
                <w:i w:val="0"/>
                <w:sz w:val="18"/>
              </w:rPr>
              <w:t>3</w:t>
            </w:r>
          </w:p>
        </w:tc>
        <w:tc>
          <w:tcPr>
            <w:tcW w:type="dxa" w:w="2551"/>
            <w:shd w:val="clear" w:color="auto" w:fill="E8F4F8"/>
          </w:tcPr>
          <w:p>
            <w:pPr>
              <w:jc w:val="center"/>
            </w:pPr>
            <w:r/>
            <w:r>
              <w:rPr>
                <w:rFonts w:ascii="Times New Roman" w:hAnsi="Times New Roman"/>
                <w:b w:val="0"/>
                <w:i w:val="0"/>
                <w:sz w:val="18"/>
              </w:rPr>
              <w:t>Oct 2015 – Oct 2019</w:t>
            </w:r>
          </w:p>
        </w:tc>
        <w:tc>
          <w:tcPr>
            <w:tcW w:type="dxa" w:w="2551"/>
            <w:shd w:val="clear" w:color="auto" w:fill="E8F4F8"/>
          </w:tcPr>
          <w:p>
            <w:pPr>
              <w:jc w:val="center"/>
            </w:pPr>
            <w:r/>
            <w:r>
              <w:rPr>
                <w:rFonts w:ascii="Times New Roman" w:hAnsi="Times New Roman"/>
                <w:b w:val="0"/>
                <w:i w:val="0"/>
                <w:sz w:val="18"/>
              </w:rPr>
              <w:t>Dec 2018 – Oct 2019</w:t>
            </w:r>
          </w:p>
        </w:tc>
        <w:tc>
          <w:tcPr>
            <w:tcW w:type="dxa" w:w="2551"/>
            <w:shd w:val="clear" w:color="auto" w:fill="E8F4F8"/>
          </w:tcPr>
          <w:p>
            <w:pPr>
              <w:jc w:val="center"/>
            </w:pPr>
            <w:r/>
            <w:r>
              <w:rPr>
                <w:rFonts w:ascii="Times New Roman" w:hAnsi="Times New Roman"/>
                <w:b w:val="0"/>
                <w:i w:val="0"/>
                <w:sz w:val="18"/>
              </w:rPr>
              <w:t>Oct 2019 – Apr 2020</w:t>
            </w:r>
          </w:p>
        </w:tc>
      </w:tr>
      <w:tr>
        <w:tc>
          <w:tcPr>
            <w:tcW w:type="dxa" w:w="567"/>
          </w:tcPr>
          <w:p>
            <w:pPr>
              <w:jc w:val="left"/>
            </w:pPr>
            <w:r/>
            <w:r>
              <w:rPr>
                <w:rFonts w:ascii="Times New Roman" w:hAnsi="Times New Roman"/>
                <w:b w:val="0"/>
                <w:i w:val="0"/>
                <w:sz w:val="18"/>
              </w:rPr>
              <w:t>4</w:t>
            </w:r>
          </w:p>
        </w:tc>
        <w:tc>
          <w:tcPr>
            <w:tcW w:type="dxa" w:w="2551"/>
          </w:tcPr>
          <w:p>
            <w:pPr>
              <w:jc w:val="center"/>
            </w:pPr>
            <w:r/>
            <w:r>
              <w:rPr>
                <w:rFonts w:ascii="Times New Roman" w:hAnsi="Times New Roman"/>
                <w:b w:val="0"/>
                <w:i w:val="0"/>
                <w:sz w:val="18"/>
              </w:rPr>
              <w:t>Oct 2015 – Apr 2020</w:t>
            </w:r>
          </w:p>
        </w:tc>
        <w:tc>
          <w:tcPr>
            <w:tcW w:type="dxa" w:w="2551"/>
          </w:tcPr>
          <w:p>
            <w:pPr>
              <w:jc w:val="center"/>
            </w:pPr>
            <w:r/>
            <w:r>
              <w:rPr>
                <w:rFonts w:ascii="Times New Roman" w:hAnsi="Times New Roman"/>
                <w:b w:val="0"/>
                <w:i w:val="0"/>
                <w:sz w:val="18"/>
              </w:rPr>
              <w:t>May 2019 – Apr 2020</w:t>
            </w:r>
          </w:p>
        </w:tc>
        <w:tc>
          <w:tcPr>
            <w:tcW w:type="dxa" w:w="2551"/>
          </w:tcPr>
          <w:p>
            <w:pPr>
              <w:jc w:val="center"/>
            </w:pPr>
            <w:r/>
            <w:r>
              <w:rPr>
                <w:rFonts w:ascii="Times New Roman" w:hAnsi="Times New Roman"/>
                <w:b w:val="0"/>
                <w:i w:val="0"/>
                <w:sz w:val="18"/>
              </w:rPr>
              <w:t>Apr 2020 – Oct 2020</w:t>
            </w:r>
          </w:p>
        </w:tc>
      </w:tr>
      <w:tr>
        <w:tc>
          <w:tcPr>
            <w:tcW w:type="dxa" w:w="567"/>
            <w:shd w:val="clear" w:color="auto" w:fill="E8F4F8"/>
          </w:tcPr>
          <w:p>
            <w:pPr>
              <w:jc w:val="left"/>
            </w:pPr>
            <w:r/>
            <w:r>
              <w:rPr>
                <w:rFonts w:ascii="Times New Roman" w:hAnsi="Times New Roman"/>
                <w:b w:val="0"/>
                <w:i w:val="0"/>
                <w:sz w:val="18"/>
              </w:rPr>
              <w:t>5</w:t>
            </w:r>
          </w:p>
        </w:tc>
        <w:tc>
          <w:tcPr>
            <w:tcW w:type="dxa" w:w="2551"/>
            <w:shd w:val="clear" w:color="auto" w:fill="E8F4F8"/>
          </w:tcPr>
          <w:p>
            <w:pPr>
              <w:jc w:val="center"/>
            </w:pPr>
            <w:r/>
            <w:r>
              <w:rPr>
                <w:rFonts w:ascii="Times New Roman" w:hAnsi="Times New Roman"/>
                <w:b w:val="0"/>
                <w:i w:val="0"/>
                <w:sz w:val="18"/>
              </w:rPr>
              <w:t>Oct 2015 – Oct 2020</w:t>
            </w:r>
          </w:p>
        </w:tc>
        <w:tc>
          <w:tcPr>
            <w:tcW w:type="dxa" w:w="2551"/>
            <w:shd w:val="clear" w:color="auto" w:fill="E8F4F8"/>
          </w:tcPr>
          <w:p>
            <w:pPr>
              <w:jc w:val="center"/>
            </w:pPr>
            <w:r/>
            <w:r>
              <w:rPr>
                <w:rFonts w:ascii="Times New Roman" w:hAnsi="Times New Roman"/>
                <w:b w:val="0"/>
                <w:i w:val="0"/>
                <w:sz w:val="18"/>
              </w:rPr>
              <w:t>Oct 2019 – Oct 2020</w:t>
            </w:r>
          </w:p>
        </w:tc>
        <w:tc>
          <w:tcPr>
            <w:tcW w:type="dxa" w:w="2551"/>
            <w:shd w:val="clear" w:color="auto" w:fill="E8F4F8"/>
          </w:tcPr>
          <w:p>
            <w:pPr>
              <w:jc w:val="center"/>
            </w:pPr>
            <w:r/>
            <w:r>
              <w:rPr>
                <w:rFonts w:ascii="Times New Roman" w:hAnsi="Times New Roman"/>
                <w:b w:val="0"/>
                <w:i w:val="0"/>
                <w:sz w:val="18"/>
              </w:rPr>
              <w:t>Oct 2020 – Apr 2021</w:t>
            </w:r>
          </w:p>
        </w:tc>
      </w:tr>
      <w:tr>
        <w:tc>
          <w:tcPr>
            <w:tcW w:type="dxa" w:w="567"/>
          </w:tcPr>
          <w:p>
            <w:pPr>
              <w:jc w:val="left"/>
            </w:pPr>
            <w:r/>
            <w:r>
              <w:rPr>
                <w:rFonts w:ascii="Times New Roman" w:hAnsi="Times New Roman"/>
                <w:b w:val="0"/>
                <w:i w:val="0"/>
                <w:sz w:val="18"/>
              </w:rPr>
              <w:t>6</w:t>
            </w:r>
          </w:p>
        </w:tc>
        <w:tc>
          <w:tcPr>
            <w:tcW w:type="dxa" w:w="2551"/>
          </w:tcPr>
          <w:p>
            <w:pPr>
              <w:jc w:val="center"/>
            </w:pPr>
            <w:r/>
            <w:r>
              <w:rPr>
                <w:rFonts w:ascii="Times New Roman" w:hAnsi="Times New Roman"/>
                <w:b w:val="0"/>
                <w:i w:val="0"/>
                <w:sz w:val="18"/>
              </w:rPr>
              <w:t>Oct 2015 – Apr 2021</w:t>
            </w:r>
          </w:p>
        </w:tc>
        <w:tc>
          <w:tcPr>
            <w:tcW w:type="dxa" w:w="2551"/>
          </w:tcPr>
          <w:p>
            <w:pPr>
              <w:jc w:val="center"/>
            </w:pPr>
            <w:r/>
            <w:r>
              <w:rPr>
                <w:rFonts w:ascii="Times New Roman" w:hAnsi="Times New Roman"/>
                <w:b w:val="0"/>
                <w:i w:val="0"/>
                <w:sz w:val="18"/>
              </w:rPr>
              <w:t>Mar 2020 – Apr 2021</w:t>
            </w:r>
          </w:p>
        </w:tc>
        <w:tc>
          <w:tcPr>
            <w:tcW w:type="dxa" w:w="2551"/>
          </w:tcPr>
          <w:p>
            <w:pPr>
              <w:jc w:val="center"/>
            </w:pPr>
            <w:r/>
            <w:r>
              <w:rPr>
                <w:rFonts w:ascii="Times New Roman" w:hAnsi="Times New Roman"/>
                <w:b w:val="0"/>
                <w:i w:val="0"/>
                <w:sz w:val="18"/>
              </w:rPr>
              <w:t>Apr 2021 – Oct 2021</w:t>
            </w:r>
          </w:p>
        </w:tc>
      </w:tr>
      <w:tr>
        <w:tc>
          <w:tcPr>
            <w:tcW w:type="dxa" w:w="567"/>
            <w:shd w:val="clear" w:color="auto" w:fill="E8F4F8"/>
          </w:tcPr>
          <w:p>
            <w:pPr>
              <w:jc w:val="left"/>
            </w:pPr>
            <w:r/>
            <w:r>
              <w:rPr>
                <w:rFonts w:ascii="Times New Roman" w:hAnsi="Times New Roman"/>
                <w:b w:val="0"/>
                <w:i w:val="0"/>
                <w:sz w:val="18"/>
              </w:rPr>
              <w:t>7</w:t>
            </w:r>
          </w:p>
        </w:tc>
        <w:tc>
          <w:tcPr>
            <w:tcW w:type="dxa" w:w="2551"/>
            <w:shd w:val="clear" w:color="auto" w:fill="E8F4F8"/>
          </w:tcPr>
          <w:p>
            <w:pPr>
              <w:jc w:val="center"/>
            </w:pPr>
            <w:r/>
            <w:r>
              <w:rPr>
                <w:rFonts w:ascii="Times New Roman" w:hAnsi="Times New Roman"/>
                <w:b w:val="0"/>
                <w:i w:val="0"/>
                <w:sz w:val="18"/>
              </w:rPr>
              <w:t>Oct 2015 – Oct 2021</w:t>
            </w:r>
          </w:p>
        </w:tc>
        <w:tc>
          <w:tcPr>
            <w:tcW w:type="dxa" w:w="2551"/>
            <w:shd w:val="clear" w:color="auto" w:fill="E8F4F8"/>
          </w:tcPr>
          <w:p>
            <w:pPr>
              <w:jc w:val="center"/>
            </w:pPr>
            <w:r/>
            <w:r>
              <w:rPr>
                <w:rFonts w:ascii="Times New Roman" w:hAnsi="Times New Roman"/>
                <w:b w:val="0"/>
                <w:i w:val="0"/>
                <w:sz w:val="18"/>
              </w:rPr>
              <w:t>Aug 2020 – Oct 2021</w:t>
            </w:r>
          </w:p>
        </w:tc>
        <w:tc>
          <w:tcPr>
            <w:tcW w:type="dxa" w:w="2551"/>
            <w:shd w:val="clear" w:color="auto" w:fill="E8F4F8"/>
          </w:tcPr>
          <w:p>
            <w:pPr>
              <w:jc w:val="center"/>
            </w:pPr>
            <w:r/>
            <w:r>
              <w:rPr>
                <w:rFonts w:ascii="Times New Roman" w:hAnsi="Times New Roman"/>
                <w:b w:val="0"/>
                <w:i w:val="0"/>
                <w:sz w:val="18"/>
              </w:rPr>
              <w:t>Oct 2021 – Apr 2022</w:t>
            </w:r>
          </w:p>
        </w:tc>
      </w:tr>
      <w:tr>
        <w:tc>
          <w:tcPr>
            <w:tcW w:type="dxa" w:w="567"/>
          </w:tcPr>
          <w:p>
            <w:pPr>
              <w:jc w:val="left"/>
            </w:pPr>
            <w:r/>
            <w:r>
              <w:rPr>
                <w:rFonts w:ascii="Times New Roman" w:hAnsi="Times New Roman"/>
                <w:b w:val="0"/>
                <w:i w:val="0"/>
                <w:sz w:val="18"/>
              </w:rPr>
              <w:t>8</w:t>
            </w:r>
          </w:p>
        </w:tc>
        <w:tc>
          <w:tcPr>
            <w:tcW w:type="dxa" w:w="2551"/>
          </w:tcPr>
          <w:p>
            <w:pPr>
              <w:jc w:val="center"/>
            </w:pPr>
            <w:r/>
            <w:r>
              <w:rPr>
                <w:rFonts w:ascii="Times New Roman" w:hAnsi="Times New Roman"/>
                <w:b w:val="0"/>
                <w:i w:val="0"/>
                <w:sz w:val="18"/>
              </w:rPr>
              <w:t>Oct 2015 – Apr 2022</w:t>
            </w:r>
          </w:p>
        </w:tc>
        <w:tc>
          <w:tcPr>
            <w:tcW w:type="dxa" w:w="2551"/>
          </w:tcPr>
          <w:p>
            <w:pPr>
              <w:jc w:val="center"/>
            </w:pPr>
            <w:r/>
            <w:r>
              <w:rPr>
                <w:rFonts w:ascii="Times New Roman" w:hAnsi="Times New Roman"/>
                <w:b w:val="0"/>
                <w:i w:val="0"/>
                <w:sz w:val="18"/>
              </w:rPr>
              <w:t>Dec 2020 – Apr 2022</w:t>
            </w:r>
          </w:p>
        </w:tc>
        <w:tc>
          <w:tcPr>
            <w:tcW w:type="dxa" w:w="2551"/>
          </w:tcPr>
          <w:p>
            <w:pPr>
              <w:jc w:val="center"/>
            </w:pPr>
            <w:r/>
            <w:r>
              <w:rPr>
                <w:rFonts w:ascii="Times New Roman" w:hAnsi="Times New Roman"/>
                <w:b w:val="0"/>
                <w:i w:val="0"/>
                <w:sz w:val="18"/>
              </w:rPr>
              <w:t>Apr 2022 – Oct 2022</w:t>
            </w:r>
          </w:p>
        </w:tc>
      </w:tr>
      <w:tr>
        <w:tc>
          <w:tcPr>
            <w:tcW w:type="dxa" w:w="567"/>
            <w:shd w:val="clear" w:color="auto" w:fill="E8F4F8"/>
          </w:tcPr>
          <w:p>
            <w:pPr>
              <w:jc w:val="left"/>
            </w:pPr>
            <w:r/>
            <w:r>
              <w:rPr>
                <w:rFonts w:ascii="Times New Roman" w:hAnsi="Times New Roman"/>
                <w:b w:val="0"/>
                <w:i w:val="0"/>
                <w:sz w:val="18"/>
              </w:rPr>
              <w:t>9</w:t>
            </w:r>
          </w:p>
        </w:tc>
        <w:tc>
          <w:tcPr>
            <w:tcW w:type="dxa" w:w="2551"/>
            <w:shd w:val="clear" w:color="auto" w:fill="E8F4F8"/>
          </w:tcPr>
          <w:p>
            <w:pPr>
              <w:jc w:val="center"/>
            </w:pPr>
            <w:r/>
            <w:r>
              <w:rPr>
                <w:rFonts w:ascii="Times New Roman" w:hAnsi="Times New Roman"/>
                <w:b w:val="0"/>
                <w:i w:val="0"/>
                <w:sz w:val="18"/>
              </w:rPr>
              <w:t>Oct 2015 – Oct 2022</w:t>
            </w:r>
          </w:p>
        </w:tc>
        <w:tc>
          <w:tcPr>
            <w:tcW w:type="dxa" w:w="2551"/>
            <w:shd w:val="clear" w:color="auto" w:fill="E8F4F8"/>
          </w:tcPr>
          <w:p>
            <w:pPr>
              <w:jc w:val="center"/>
            </w:pPr>
            <w:r/>
            <w:r>
              <w:rPr>
                <w:rFonts w:ascii="Times New Roman" w:hAnsi="Times New Roman"/>
                <w:b w:val="0"/>
                <w:i w:val="0"/>
                <w:sz w:val="18"/>
              </w:rPr>
              <w:t>May 2021 – Oct 2022</w:t>
            </w:r>
          </w:p>
        </w:tc>
        <w:tc>
          <w:tcPr>
            <w:tcW w:type="dxa" w:w="2551"/>
            <w:shd w:val="clear" w:color="auto" w:fill="E8F4F8"/>
          </w:tcPr>
          <w:p>
            <w:pPr>
              <w:jc w:val="center"/>
            </w:pPr>
            <w:r/>
            <w:r>
              <w:rPr>
                <w:rFonts w:ascii="Times New Roman" w:hAnsi="Times New Roman"/>
                <w:b w:val="0"/>
                <w:i w:val="0"/>
                <w:sz w:val="18"/>
              </w:rPr>
              <w:t>Oct 2022 – Apr 2023</w:t>
            </w:r>
          </w:p>
        </w:tc>
      </w:tr>
      <w:tr>
        <w:tc>
          <w:tcPr>
            <w:tcW w:type="dxa" w:w="567"/>
          </w:tcPr>
          <w:p>
            <w:pPr>
              <w:jc w:val="left"/>
            </w:pPr>
            <w:r/>
            <w:r>
              <w:rPr>
                <w:rFonts w:ascii="Times New Roman" w:hAnsi="Times New Roman"/>
                <w:b w:val="0"/>
                <w:i w:val="0"/>
                <w:sz w:val="18"/>
              </w:rPr>
              <w:t>10</w:t>
            </w:r>
          </w:p>
        </w:tc>
        <w:tc>
          <w:tcPr>
            <w:tcW w:type="dxa" w:w="2551"/>
          </w:tcPr>
          <w:p>
            <w:pPr>
              <w:jc w:val="center"/>
            </w:pPr>
            <w:r/>
            <w:r>
              <w:rPr>
                <w:rFonts w:ascii="Times New Roman" w:hAnsi="Times New Roman"/>
                <w:b w:val="0"/>
                <w:i w:val="0"/>
                <w:sz w:val="18"/>
              </w:rPr>
              <w:t>Oct 2015 – Apr 2023</w:t>
            </w:r>
          </w:p>
        </w:tc>
        <w:tc>
          <w:tcPr>
            <w:tcW w:type="dxa" w:w="2551"/>
          </w:tcPr>
          <w:p>
            <w:pPr>
              <w:jc w:val="center"/>
            </w:pPr>
            <w:r/>
            <w:r>
              <w:rPr>
                <w:rFonts w:ascii="Times New Roman" w:hAnsi="Times New Roman"/>
                <w:b w:val="0"/>
                <w:i w:val="0"/>
                <w:sz w:val="18"/>
              </w:rPr>
              <w:t>Oct 2021 – Apr 2023</w:t>
            </w:r>
          </w:p>
        </w:tc>
        <w:tc>
          <w:tcPr>
            <w:tcW w:type="dxa" w:w="2551"/>
          </w:tcPr>
          <w:p>
            <w:pPr>
              <w:jc w:val="center"/>
            </w:pPr>
            <w:r/>
            <w:r>
              <w:rPr>
                <w:rFonts w:ascii="Times New Roman" w:hAnsi="Times New Roman"/>
                <w:b w:val="0"/>
                <w:i w:val="0"/>
                <w:sz w:val="18"/>
              </w:rPr>
              <w:t>Apr 2023 – Oct 2023</w:t>
            </w:r>
          </w:p>
        </w:tc>
      </w:tr>
      <w:tr>
        <w:tc>
          <w:tcPr>
            <w:tcW w:type="dxa" w:w="567"/>
            <w:shd w:val="clear" w:color="auto" w:fill="E8F4F8"/>
          </w:tcPr>
          <w:p>
            <w:pPr>
              <w:jc w:val="left"/>
            </w:pPr>
            <w:r/>
            <w:r>
              <w:rPr>
                <w:rFonts w:ascii="Times New Roman" w:hAnsi="Times New Roman"/>
                <w:b w:val="0"/>
                <w:i w:val="0"/>
                <w:sz w:val="18"/>
              </w:rPr>
              <w:t>11</w:t>
            </w:r>
          </w:p>
        </w:tc>
        <w:tc>
          <w:tcPr>
            <w:tcW w:type="dxa" w:w="2551"/>
            <w:shd w:val="clear" w:color="auto" w:fill="E8F4F8"/>
          </w:tcPr>
          <w:p>
            <w:pPr>
              <w:jc w:val="center"/>
            </w:pPr>
            <w:r/>
            <w:r>
              <w:rPr>
                <w:rFonts w:ascii="Times New Roman" w:hAnsi="Times New Roman"/>
                <w:b w:val="0"/>
                <w:i w:val="0"/>
                <w:sz w:val="18"/>
              </w:rPr>
              <w:t>Oct 2015 – Oct 2023</w:t>
            </w:r>
          </w:p>
        </w:tc>
        <w:tc>
          <w:tcPr>
            <w:tcW w:type="dxa" w:w="2551"/>
            <w:shd w:val="clear" w:color="auto" w:fill="E8F4F8"/>
          </w:tcPr>
          <w:p>
            <w:pPr>
              <w:jc w:val="center"/>
            </w:pPr>
            <w:r/>
            <w:r>
              <w:rPr>
                <w:rFonts w:ascii="Times New Roman" w:hAnsi="Times New Roman"/>
                <w:b w:val="0"/>
                <w:i w:val="0"/>
                <w:sz w:val="18"/>
              </w:rPr>
              <w:t>Mar 2022 – Oct 2023</w:t>
            </w:r>
          </w:p>
        </w:tc>
        <w:tc>
          <w:tcPr>
            <w:tcW w:type="dxa" w:w="2551"/>
            <w:shd w:val="clear" w:color="auto" w:fill="E8F4F8"/>
          </w:tcPr>
          <w:p>
            <w:pPr>
              <w:jc w:val="center"/>
            </w:pPr>
            <w:r/>
            <w:r>
              <w:rPr>
                <w:rFonts w:ascii="Times New Roman" w:hAnsi="Times New Roman"/>
                <w:b w:val="0"/>
                <w:i w:val="0"/>
                <w:sz w:val="18"/>
              </w:rPr>
              <w:t>Oct 2023 – Apr 2024</w:t>
            </w:r>
          </w:p>
        </w:tc>
      </w:tr>
      <w:tr>
        <w:tc>
          <w:tcPr>
            <w:tcW w:type="dxa" w:w="567"/>
          </w:tcPr>
          <w:p>
            <w:pPr>
              <w:jc w:val="left"/>
            </w:pPr>
            <w:r/>
            <w:r>
              <w:rPr>
                <w:rFonts w:ascii="Times New Roman" w:hAnsi="Times New Roman"/>
                <w:b w:val="0"/>
                <w:i w:val="0"/>
                <w:sz w:val="18"/>
              </w:rPr>
              <w:t>12</w:t>
            </w:r>
          </w:p>
        </w:tc>
        <w:tc>
          <w:tcPr>
            <w:tcW w:type="dxa" w:w="2551"/>
          </w:tcPr>
          <w:p>
            <w:pPr>
              <w:jc w:val="center"/>
            </w:pPr>
            <w:r/>
            <w:r>
              <w:rPr>
                <w:rFonts w:ascii="Times New Roman" w:hAnsi="Times New Roman"/>
                <w:b w:val="0"/>
                <w:i w:val="0"/>
                <w:sz w:val="18"/>
              </w:rPr>
              <w:t>Oct 2015 – Apr 2024</w:t>
            </w:r>
          </w:p>
        </w:tc>
        <w:tc>
          <w:tcPr>
            <w:tcW w:type="dxa" w:w="2551"/>
          </w:tcPr>
          <w:p>
            <w:pPr>
              <w:jc w:val="center"/>
            </w:pPr>
            <w:r/>
            <w:r>
              <w:rPr>
                <w:rFonts w:ascii="Times New Roman" w:hAnsi="Times New Roman"/>
                <w:b w:val="0"/>
                <w:i w:val="0"/>
                <w:sz w:val="18"/>
              </w:rPr>
              <w:t>Aug 2022 – Apr 2024</w:t>
            </w:r>
          </w:p>
        </w:tc>
        <w:tc>
          <w:tcPr>
            <w:tcW w:type="dxa" w:w="2551"/>
          </w:tcPr>
          <w:p>
            <w:pPr>
              <w:jc w:val="center"/>
            </w:pPr>
            <w:r/>
            <w:r>
              <w:rPr>
                <w:rFonts w:ascii="Times New Roman" w:hAnsi="Times New Roman"/>
                <w:b w:val="0"/>
                <w:i w:val="0"/>
                <w:sz w:val="18"/>
              </w:rPr>
              <w:t>Apr 2024 – Oct 2024</w:t>
            </w:r>
          </w:p>
        </w:tc>
      </w:tr>
    </w:tbl>
    <w:p>
      <w:pPr>
        <w:spacing w:before="80" w:after="200"/>
        <w:jc w:val="center"/>
      </w:pPr>
      <w:r>
        <w:rPr>
          <w:rFonts w:ascii="Times New Roman" w:hAnsi="Times New Roman"/>
          <w:b/>
          <w:i w:val="0"/>
          <w:sz w:val="19"/>
        </w:rPr>
        <w:t>Table 2.</w:t>
      </w:r>
      <w:r>
        <w:rPr>
          <w:rFonts w:ascii="Times New Roman" w:hAnsi="Times New Roman"/>
          <w:b w:val="0"/>
          <w:i w:val="0"/>
          <w:sz w:val="19"/>
        </w:rPr>
        <w:t xml:space="preserve"> Walk-forward fold structure (all 12 folds). Training window expands by six months per fold. Calibration window is the last 20% of each training period, reserved for isotonic probability calibration; calibration set size therefore ranges from approximately 150 trading days (Fold 1) to approximately 420 trading days (Fold 12) as the expanding training window grows. Test windows are each six months (126 trading days). A 2-calendar-day embargo separates training end from test start.</w:t>
      </w:r>
    </w:p>
    <w:p>
      <w:pPr>
        <w:keepNext/>
        <w:spacing w:before="280" w:after="80"/>
      </w:pPr>
      <w:r>
        <w:rPr>
          <w:rFonts w:ascii="Times New Roman" w:hAnsi="Times New Roman"/>
          <w:b/>
          <w:i w:val="0"/>
          <w:color w:val="2A9D8F"/>
          <w:sz w:val="23"/>
        </w:rPr>
        <w:t>4.2 Ensemble Model</w:t>
      </w:r>
    </w:p>
    <w:p>
      <w:pPr>
        <w:spacing w:before="0" w:after="160" w:line="360" w:lineRule="auto"/>
        <w:ind w:firstLine="0"/>
      </w:pPr>
      <w:r>
        <w:rPr>
          <w:rFonts w:ascii="Times New Roman" w:hAnsi="Times New Roman"/>
          <w:b w:val="0"/>
          <w:i w:val="0"/>
          <w:sz w:val="22"/>
        </w:rPr>
        <w:t>The ensemble combines three base learners with equal probability averaging. CatBoost (Prokhorenkova et al., 2018) handles categorical-like feature interactions without preprocessing and is robust to overfitting through ordered boosting. Random Forest provides diversity through bagging and feature subsampling. A three-layer MLP (256 → 128 → 64 units, dropout 0.3, ReLU activations) captures shallow non-linear interactions. All three models train independently on each fold's expanding training window. MLP training uses early stopping on a held-out 15% validation split within the training period (patience = 10 epochs).</w:t>
      </w:r>
    </w:p>
    <w:tbl>
      <w:tblPr>
        <w:tblStyle w:val="TableGrid"/>
        <w:tblW w:type="auto" w:w="0"/>
        <w:jc w:val="center"/>
        <w:tblLook w:firstColumn="1" w:firstRow="1" w:lastColumn="0" w:lastRow="0" w:noHBand="0" w:noVBand="1" w:val="04A0"/>
      </w:tblPr>
      <w:tblGrid>
        <w:gridCol w:w="2880"/>
        <w:gridCol w:w="2880"/>
        <w:gridCol w:w="2880"/>
      </w:tblGrid>
      <w:tr>
        <w:tc>
          <w:tcPr>
            <w:tcW w:type="dxa" w:w="1984"/>
            <w:shd w:val="clear" w:color="auto" w:fill="264653"/>
          </w:tcPr>
          <w:p>
            <w:r/>
            <w:r>
              <w:rPr>
                <w:rFonts w:ascii="Times New Roman" w:hAnsi="Times New Roman"/>
                <w:b/>
                <w:i w:val="0"/>
                <w:color w:val="FFFFFF"/>
                <w:sz w:val="18"/>
              </w:rPr>
              <w:t>Component</w:t>
            </w:r>
          </w:p>
        </w:tc>
        <w:tc>
          <w:tcPr>
            <w:tcW w:type="dxa" w:w="3685"/>
            <w:shd w:val="clear" w:color="auto" w:fill="264653"/>
          </w:tcPr>
          <w:p>
            <w:r/>
            <w:r>
              <w:rPr>
                <w:rFonts w:ascii="Times New Roman" w:hAnsi="Times New Roman"/>
                <w:b/>
                <w:i w:val="0"/>
                <w:color w:val="FFFFFF"/>
                <w:sz w:val="18"/>
              </w:rPr>
              <w:t>Parameter</w:t>
            </w:r>
          </w:p>
        </w:tc>
        <w:tc>
          <w:tcPr>
            <w:tcW w:type="dxa" w:w="2835"/>
            <w:shd w:val="clear" w:color="auto" w:fill="264653"/>
          </w:tcPr>
          <w:p>
            <w:r/>
            <w:r>
              <w:rPr>
                <w:rFonts w:ascii="Times New Roman" w:hAnsi="Times New Roman"/>
                <w:b/>
                <w:i w:val="0"/>
                <w:color w:val="FFFFFF"/>
                <w:sz w:val="18"/>
              </w:rPr>
              <w:t>Value</w:t>
            </w:r>
          </w:p>
        </w:tc>
      </w:tr>
      <w:tr>
        <w:tc>
          <w:tcPr>
            <w:tcW w:type="dxa" w:w="1984"/>
            <w:shd w:val="clear" w:color="auto" w:fill="E8F4F8"/>
          </w:tcPr>
          <w:p>
            <w:pPr>
              <w:jc w:val="left"/>
            </w:pPr>
            <w:r/>
            <w:r>
              <w:rPr>
                <w:rFonts w:ascii="Times New Roman" w:hAnsi="Times New Roman"/>
                <w:b w:val="0"/>
                <w:i w:val="0"/>
                <w:sz w:val="18"/>
              </w:rPr>
              <w:t>CatBoost</w:t>
            </w:r>
          </w:p>
        </w:tc>
        <w:tc>
          <w:tcPr>
            <w:tcW w:type="dxa" w:w="3685"/>
            <w:shd w:val="clear" w:color="auto" w:fill="E8F4F8"/>
          </w:tcPr>
          <w:p>
            <w:pPr>
              <w:jc w:val="center"/>
            </w:pPr>
            <w:r/>
            <w:r>
              <w:rPr>
                <w:rFonts w:ascii="Times New Roman" w:hAnsi="Times New Roman"/>
                <w:b w:val="0"/>
                <w:i w:val="0"/>
                <w:sz w:val="18"/>
              </w:rPr>
              <w:t>iterations / learning_rate / depth</w:t>
            </w:r>
          </w:p>
        </w:tc>
        <w:tc>
          <w:tcPr>
            <w:tcW w:type="dxa" w:w="2835"/>
            <w:shd w:val="clear" w:color="auto" w:fill="E8F4F8"/>
          </w:tcPr>
          <w:p>
            <w:pPr>
              <w:jc w:val="center"/>
            </w:pPr>
            <w:r/>
            <w:r>
              <w:rPr>
                <w:rFonts w:ascii="Times New Roman" w:hAnsi="Times New Roman"/>
                <w:b w:val="0"/>
                <w:i w:val="0"/>
                <w:sz w:val="18"/>
              </w:rPr>
              <w:t>500 / 0.05 / 6</w:t>
            </w:r>
          </w:p>
        </w:tc>
      </w:tr>
      <w:tr>
        <w:tc>
          <w:tcPr>
            <w:tcW w:type="dxa" w:w="1984"/>
          </w:tcPr>
          <w:p>
            <w:pPr>
              <w:jc w:val="left"/>
            </w:pPr>
            <w:r/>
            <w:r>
              <w:rPr>
                <w:rFonts w:ascii="Times New Roman" w:hAnsi="Times New Roman"/>
                <w:b w:val="0"/>
                <w:i w:val="0"/>
                <w:sz w:val="18"/>
              </w:rPr>
            </w:r>
          </w:p>
        </w:tc>
        <w:tc>
          <w:tcPr>
            <w:tcW w:type="dxa" w:w="3685"/>
          </w:tcPr>
          <w:p>
            <w:pPr>
              <w:jc w:val="center"/>
            </w:pPr>
            <w:r/>
            <w:r>
              <w:rPr>
                <w:rFonts w:ascii="Times New Roman" w:hAnsi="Times New Roman"/>
                <w:b w:val="0"/>
                <w:i w:val="0"/>
                <w:sz w:val="18"/>
              </w:rPr>
              <w:t>l2_leaf_reg / early_stopping_rounds</w:t>
            </w:r>
          </w:p>
        </w:tc>
        <w:tc>
          <w:tcPr>
            <w:tcW w:type="dxa" w:w="2835"/>
          </w:tcPr>
          <w:p>
            <w:pPr>
              <w:jc w:val="center"/>
            </w:pPr>
            <w:r/>
            <w:r>
              <w:rPr>
                <w:rFonts w:ascii="Times New Roman" w:hAnsi="Times New Roman"/>
                <w:b w:val="0"/>
                <w:i w:val="0"/>
                <w:sz w:val="18"/>
              </w:rPr>
              <w:t>3.0 / 50</w:t>
            </w:r>
          </w:p>
        </w:tc>
      </w:tr>
      <w:tr>
        <w:tc>
          <w:tcPr>
            <w:tcW w:type="dxa" w:w="1984"/>
            <w:shd w:val="clear" w:color="auto" w:fill="E8F4F8"/>
          </w:tcPr>
          <w:p>
            <w:pPr>
              <w:jc w:val="left"/>
            </w:pPr>
            <w:r/>
            <w:r>
              <w:rPr>
                <w:rFonts w:ascii="Times New Roman" w:hAnsi="Times New Roman"/>
                <w:b w:val="0"/>
                <w:i w:val="0"/>
                <w:sz w:val="18"/>
              </w:rPr>
            </w:r>
          </w:p>
        </w:tc>
        <w:tc>
          <w:tcPr>
            <w:tcW w:type="dxa" w:w="3685"/>
            <w:shd w:val="clear" w:color="auto" w:fill="E8F4F8"/>
          </w:tcPr>
          <w:p>
            <w:pPr>
              <w:jc w:val="center"/>
            </w:pPr>
            <w:r/>
            <w:r>
              <w:rPr>
                <w:rFonts w:ascii="Times New Roman" w:hAnsi="Times New Roman"/>
                <w:b w:val="0"/>
                <w:i w:val="0"/>
                <w:sz w:val="18"/>
              </w:rPr>
              <w:t>random_seed / thread_count</w:t>
            </w:r>
          </w:p>
        </w:tc>
        <w:tc>
          <w:tcPr>
            <w:tcW w:type="dxa" w:w="2835"/>
            <w:shd w:val="clear" w:color="auto" w:fill="E8F4F8"/>
          </w:tcPr>
          <w:p>
            <w:pPr>
              <w:jc w:val="center"/>
            </w:pPr>
            <w:r/>
            <w:r>
              <w:rPr>
                <w:rFonts w:ascii="Times New Roman" w:hAnsi="Times New Roman"/>
                <w:b w:val="0"/>
                <w:i w:val="0"/>
                <w:sz w:val="18"/>
              </w:rPr>
              <w:t>42 / 1</w:t>
            </w:r>
          </w:p>
        </w:tc>
      </w:tr>
      <w:tr>
        <w:tc>
          <w:tcPr>
            <w:tcW w:type="dxa" w:w="1984"/>
          </w:tcPr>
          <w:p>
            <w:pPr>
              <w:jc w:val="left"/>
            </w:pPr>
            <w:r/>
            <w:r>
              <w:rPr>
                <w:rFonts w:ascii="Times New Roman" w:hAnsi="Times New Roman"/>
                <w:b w:val="0"/>
                <w:i w:val="0"/>
                <w:sz w:val="18"/>
              </w:rPr>
              <w:t>Random Forest</w:t>
            </w:r>
          </w:p>
        </w:tc>
        <w:tc>
          <w:tcPr>
            <w:tcW w:type="dxa" w:w="3685"/>
          </w:tcPr>
          <w:p>
            <w:pPr>
              <w:jc w:val="center"/>
            </w:pPr>
            <w:r/>
            <w:r>
              <w:rPr>
                <w:rFonts w:ascii="Times New Roman" w:hAnsi="Times New Roman"/>
                <w:b w:val="0"/>
                <w:i w:val="0"/>
                <w:sz w:val="18"/>
              </w:rPr>
              <w:t>n_estimators / max_depth</w:t>
            </w:r>
          </w:p>
        </w:tc>
        <w:tc>
          <w:tcPr>
            <w:tcW w:type="dxa" w:w="2835"/>
          </w:tcPr>
          <w:p>
            <w:pPr>
              <w:jc w:val="center"/>
            </w:pPr>
            <w:r/>
            <w:r>
              <w:rPr>
                <w:rFonts w:ascii="Times New Roman" w:hAnsi="Times New Roman"/>
                <w:b w:val="0"/>
                <w:i w:val="0"/>
                <w:sz w:val="18"/>
              </w:rPr>
              <w:t>500 / 10</w:t>
            </w:r>
          </w:p>
        </w:tc>
      </w:tr>
      <w:tr>
        <w:tc>
          <w:tcPr>
            <w:tcW w:type="dxa" w:w="1984"/>
            <w:shd w:val="clear" w:color="auto" w:fill="E8F4F8"/>
          </w:tcPr>
          <w:p>
            <w:pPr>
              <w:jc w:val="left"/>
            </w:pPr>
            <w:r/>
            <w:r>
              <w:rPr>
                <w:rFonts w:ascii="Times New Roman" w:hAnsi="Times New Roman"/>
                <w:b w:val="0"/>
                <w:i w:val="0"/>
                <w:sz w:val="18"/>
              </w:rPr>
            </w:r>
          </w:p>
        </w:tc>
        <w:tc>
          <w:tcPr>
            <w:tcW w:type="dxa" w:w="3685"/>
            <w:shd w:val="clear" w:color="auto" w:fill="E8F4F8"/>
          </w:tcPr>
          <w:p>
            <w:pPr>
              <w:jc w:val="center"/>
            </w:pPr>
            <w:r/>
            <w:r>
              <w:rPr>
                <w:rFonts w:ascii="Times New Roman" w:hAnsi="Times New Roman"/>
                <w:b w:val="0"/>
                <w:i w:val="0"/>
                <w:sz w:val="18"/>
              </w:rPr>
              <w:t>min_samples_leaf / random_state</w:t>
            </w:r>
          </w:p>
        </w:tc>
        <w:tc>
          <w:tcPr>
            <w:tcW w:type="dxa" w:w="2835"/>
            <w:shd w:val="clear" w:color="auto" w:fill="E8F4F8"/>
          </w:tcPr>
          <w:p>
            <w:pPr>
              <w:jc w:val="center"/>
            </w:pPr>
            <w:r/>
            <w:r>
              <w:rPr>
                <w:rFonts w:ascii="Times New Roman" w:hAnsi="Times New Roman"/>
                <w:b w:val="0"/>
                <w:i w:val="0"/>
                <w:sz w:val="18"/>
              </w:rPr>
              <w:t>20 / 42</w:t>
            </w:r>
          </w:p>
        </w:tc>
      </w:tr>
      <w:tr>
        <w:tc>
          <w:tcPr>
            <w:tcW w:type="dxa" w:w="1984"/>
          </w:tcPr>
          <w:p>
            <w:pPr>
              <w:jc w:val="left"/>
            </w:pPr>
            <w:r/>
            <w:r>
              <w:rPr>
                <w:rFonts w:ascii="Times New Roman" w:hAnsi="Times New Roman"/>
                <w:b w:val="0"/>
                <w:i w:val="0"/>
                <w:sz w:val="18"/>
              </w:rPr>
              <w:t>MLP</w:t>
            </w:r>
          </w:p>
        </w:tc>
        <w:tc>
          <w:tcPr>
            <w:tcW w:type="dxa" w:w="3685"/>
          </w:tcPr>
          <w:p>
            <w:pPr>
              <w:jc w:val="center"/>
            </w:pPr>
            <w:r/>
            <w:r>
              <w:rPr>
                <w:rFonts w:ascii="Times New Roman" w:hAnsi="Times New Roman"/>
                <w:b w:val="0"/>
                <w:i w:val="0"/>
                <w:sz w:val="18"/>
              </w:rPr>
              <w:t>architecture</w:t>
            </w:r>
          </w:p>
        </w:tc>
        <w:tc>
          <w:tcPr>
            <w:tcW w:type="dxa" w:w="2835"/>
          </w:tcPr>
          <w:p>
            <w:pPr>
              <w:jc w:val="center"/>
            </w:pPr>
            <w:r/>
            <w:r>
              <w:rPr>
                <w:rFonts w:ascii="Times New Roman" w:hAnsi="Times New Roman"/>
                <w:b w:val="0"/>
                <w:i w:val="0"/>
                <w:sz w:val="18"/>
              </w:rPr>
              <w:t>[256, 128, 64]</w:t>
            </w:r>
          </w:p>
        </w:tc>
      </w:tr>
      <w:tr>
        <w:tc>
          <w:tcPr>
            <w:tcW w:type="dxa" w:w="1984"/>
            <w:shd w:val="clear" w:color="auto" w:fill="E8F4F8"/>
          </w:tcPr>
          <w:p>
            <w:pPr>
              <w:jc w:val="left"/>
            </w:pPr>
            <w:r/>
            <w:r>
              <w:rPr>
                <w:rFonts w:ascii="Times New Roman" w:hAnsi="Times New Roman"/>
                <w:b w:val="0"/>
                <w:i w:val="0"/>
                <w:sz w:val="18"/>
              </w:rPr>
            </w:r>
          </w:p>
        </w:tc>
        <w:tc>
          <w:tcPr>
            <w:tcW w:type="dxa" w:w="3685"/>
            <w:shd w:val="clear" w:color="auto" w:fill="E8F4F8"/>
          </w:tcPr>
          <w:p>
            <w:pPr>
              <w:jc w:val="center"/>
            </w:pPr>
            <w:r/>
            <w:r>
              <w:rPr>
                <w:rFonts w:ascii="Times New Roman" w:hAnsi="Times New Roman"/>
                <w:b w:val="0"/>
                <w:i w:val="0"/>
                <w:sz w:val="18"/>
              </w:rPr>
              <w:t>dropout / learning_rate</w:t>
            </w:r>
          </w:p>
        </w:tc>
        <w:tc>
          <w:tcPr>
            <w:tcW w:type="dxa" w:w="2835"/>
            <w:shd w:val="clear" w:color="auto" w:fill="E8F4F8"/>
          </w:tcPr>
          <w:p>
            <w:pPr>
              <w:jc w:val="center"/>
            </w:pPr>
            <w:r/>
            <w:r>
              <w:rPr>
                <w:rFonts w:ascii="Times New Roman" w:hAnsi="Times New Roman"/>
                <w:b w:val="0"/>
                <w:i w:val="0"/>
                <w:sz w:val="18"/>
              </w:rPr>
              <w:t>0.3 / 1×10⁻³</w:t>
            </w:r>
          </w:p>
        </w:tc>
      </w:tr>
      <w:tr>
        <w:tc>
          <w:tcPr>
            <w:tcW w:type="dxa" w:w="1984"/>
          </w:tcPr>
          <w:p>
            <w:pPr>
              <w:jc w:val="left"/>
            </w:pPr>
            <w:r/>
            <w:r>
              <w:rPr>
                <w:rFonts w:ascii="Times New Roman" w:hAnsi="Times New Roman"/>
                <w:b w:val="0"/>
                <w:i w:val="0"/>
                <w:sz w:val="18"/>
              </w:rPr>
            </w:r>
          </w:p>
        </w:tc>
        <w:tc>
          <w:tcPr>
            <w:tcW w:type="dxa" w:w="3685"/>
          </w:tcPr>
          <w:p>
            <w:pPr>
              <w:jc w:val="center"/>
            </w:pPr>
            <w:r/>
            <w:r>
              <w:rPr>
                <w:rFonts w:ascii="Times New Roman" w:hAnsi="Times New Roman"/>
                <w:b w:val="0"/>
                <w:i w:val="0"/>
                <w:sz w:val="18"/>
              </w:rPr>
              <w:t>early_stopping patience</w:t>
            </w:r>
          </w:p>
        </w:tc>
        <w:tc>
          <w:tcPr>
            <w:tcW w:type="dxa" w:w="2835"/>
          </w:tcPr>
          <w:p>
            <w:pPr>
              <w:jc w:val="center"/>
            </w:pPr>
            <w:r/>
            <w:r>
              <w:rPr>
                <w:rFonts w:ascii="Times New Roman" w:hAnsi="Times New Roman"/>
                <w:b w:val="0"/>
                <w:i w:val="0"/>
                <w:sz w:val="18"/>
              </w:rPr>
              <w:t>10 epochs</w:t>
            </w:r>
          </w:p>
        </w:tc>
      </w:tr>
      <w:tr>
        <w:tc>
          <w:tcPr>
            <w:tcW w:type="dxa" w:w="1984"/>
            <w:shd w:val="clear" w:color="auto" w:fill="E8F4F8"/>
          </w:tcPr>
          <w:p>
            <w:pPr>
              <w:jc w:val="left"/>
            </w:pPr>
            <w:r/>
            <w:r>
              <w:rPr>
                <w:rFonts w:ascii="Times New Roman" w:hAnsi="Times New Roman"/>
                <w:b w:val="0"/>
                <w:i w:val="0"/>
                <w:sz w:val="18"/>
              </w:rPr>
              <w:t>Calibration</w:t>
            </w:r>
          </w:p>
        </w:tc>
        <w:tc>
          <w:tcPr>
            <w:tcW w:type="dxa" w:w="3685"/>
            <w:shd w:val="clear" w:color="auto" w:fill="E8F4F8"/>
          </w:tcPr>
          <w:p>
            <w:pPr>
              <w:jc w:val="center"/>
            </w:pPr>
            <w:r/>
            <w:r>
              <w:rPr>
                <w:rFonts w:ascii="Times New Roman" w:hAnsi="Times New Roman"/>
                <w:b w:val="0"/>
                <w:i w:val="0"/>
                <w:sz w:val="18"/>
              </w:rPr>
              <w:t>method</w:t>
            </w:r>
          </w:p>
        </w:tc>
        <w:tc>
          <w:tcPr>
            <w:tcW w:type="dxa" w:w="2835"/>
            <w:shd w:val="clear" w:color="auto" w:fill="E8F4F8"/>
          </w:tcPr>
          <w:p>
            <w:pPr>
              <w:jc w:val="center"/>
            </w:pPr>
            <w:r/>
            <w:r>
              <w:rPr>
                <w:rFonts w:ascii="Times New Roman" w:hAnsi="Times New Roman"/>
                <w:b w:val="0"/>
                <w:i w:val="0"/>
                <w:sz w:val="18"/>
              </w:rPr>
              <w:t>Isotonic regression (per fold)</w:t>
            </w:r>
          </w:p>
        </w:tc>
      </w:tr>
      <w:tr>
        <w:tc>
          <w:tcPr>
            <w:tcW w:type="dxa" w:w="1984"/>
          </w:tcPr>
          <w:p>
            <w:pPr>
              <w:jc w:val="left"/>
            </w:pPr>
            <w:r/>
            <w:r>
              <w:rPr>
                <w:rFonts w:ascii="Times New Roman" w:hAnsi="Times New Roman"/>
                <w:b w:val="0"/>
                <w:i w:val="0"/>
                <w:sz w:val="18"/>
              </w:rPr>
              <w:t>All</w:t>
            </w:r>
          </w:p>
        </w:tc>
        <w:tc>
          <w:tcPr>
            <w:tcW w:type="dxa" w:w="3685"/>
          </w:tcPr>
          <w:p>
            <w:pPr>
              <w:jc w:val="center"/>
            </w:pPr>
            <w:r/>
            <w:r>
              <w:rPr>
                <w:rFonts w:ascii="Times New Roman" w:hAnsi="Times New Roman"/>
                <w:b w:val="0"/>
                <w:i w:val="0"/>
                <w:sz w:val="18"/>
              </w:rPr>
              <w:t>n_jobs (reproducibility)</w:t>
            </w:r>
          </w:p>
        </w:tc>
        <w:tc>
          <w:tcPr>
            <w:tcW w:type="dxa" w:w="2835"/>
          </w:tcPr>
          <w:p>
            <w:pPr>
              <w:jc w:val="center"/>
            </w:pPr>
            <w:r/>
            <w:r>
              <w:rPr>
                <w:rFonts w:ascii="Times New Roman" w:hAnsi="Times New Roman"/>
                <w:b w:val="0"/>
                <w:i w:val="0"/>
                <w:sz w:val="18"/>
              </w:rPr>
              <w:t>1</w:t>
            </w:r>
          </w:p>
        </w:tc>
      </w:tr>
    </w:tbl>
    <w:p>
      <w:pPr>
        <w:spacing w:before="80" w:after="200"/>
        <w:jc w:val="center"/>
      </w:pPr>
      <w:r>
        <w:rPr>
          <w:rFonts w:ascii="Times New Roman" w:hAnsi="Times New Roman"/>
          <w:b/>
          <w:i w:val="0"/>
          <w:sz w:val="19"/>
        </w:rPr>
        <w:t>Table 3.</w:t>
      </w:r>
      <w:r>
        <w:rPr>
          <w:rFonts w:ascii="Times New Roman" w:hAnsi="Times New Roman"/>
          <w:b w:val="0"/>
          <w:i w:val="0"/>
          <w:sz w:val="19"/>
        </w:rPr>
        <w:t xml:space="preserve"> Model hyperparameters. All random seeds fixed to 42 and n_jobs = 1 for full determinism.</w:t>
      </w:r>
    </w:p>
    <w:p>
      <w:pPr>
        <w:keepNext/>
        <w:spacing w:before="280" w:after="80"/>
      </w:pPr>
      <w:r>
        <w:rPr>
          <w:rFonts w:ascii="Times New Roman" w:hAnsi="Times New Roman"/>
          <w:b/>
          <w:i w:val="0"/>
          <w:color w:val="2A9D8F"/>
          <w:sz w:val="23"/>
        </w:rPr>
        <w:t>4.3 Isotonic Calibration</w:t>
      </w:r>
    </w:p>
    <w:p>
      <w:pPr>
        <w:spacing w:before="0" w:after="80" w:line="360" w:lineRule="auto"/>
        <w:ind w:firstLine="0"/>
      </w:pPr>
      <w:r>
        <w:rPr>
          <w:rFonts w:ascii="Times New Roman" w:hAnsi="Times New Roman"/>
          <w:b w:val="0"/>
          <w:i w:val="0"/>
          <w:sz w:val="22"/>
        </w:rPr>
        <w:t>Raw ensemble probabilities are calibrated using isotonic regression fitted on the held-out calibration window from each fold. Isotonic regression is non-parametric and monotone — it finds the best step-function mapping from raw scores to empirical probabilities without imposing a logistic shape. Expected Calibration Error (ECE) is computed over 10 equal-width bins:</w:t>
      </w:r>
    </w:p>
    <w:p>
      <w:pPr>
        <w:spacing w:before="80" w:after="80"/>
      </w:pPr>
      <w:r>
        <w:rPr>
          <w:rFonts w:ascii="Times New Roman" w:hAnsi="Times New Roman"/>
          <w:b w:val="0"/>
          <w:i/>
          <w:sz w:val="21"/>
        </w:rPr>
        <w:t xml:space="preserve">    ECE = Σₘ (|Bₘ|/n) · |acc(Bₘ) − conf(Bₘ)|</w:t>
      </w:r>
      <w:r>
        <w:rPr>
          <w:rFonts w:ascii="Times New Roman" w:hAnsi="Times New Roman"/>
          <w:b w:val="0"/>
          <w:i w:val="0"/>
          <w:sz w:val="20"/>
        </w:rPr>
        <w:t xml:space="preserve">    (1)</w:t>
      </w:r>
    </w:p>
    <w:p>
      <w:pPr>
        <w:spacing w:before="0" w:after="160" w:line="360" w:lineRule="auto"/>
        <w:ind w:firstLine="0"/>
      </w:pPr>
      <w:r>
        <w:rPr>
          <w:rFonts w:ascii="Times New Roman" w:hAnsi="Times New Roman"/>
          <w:b w:val="0"/>
          <w:i w:val="0"/>
          <w:sz w:val="22"/>
        </w:rPr>
        <w:t>where Bₘ is the set of predictions falling in bin m, acc(Bₘ) is empirical accuracy in that bin, and conf(Bₘ) is mean confidence. ECE below 0.025 indicates excellent calibration. Crucially, the calibrator fits only on the calibration window and is then applied frozen to the test window — it never observes test labels.</w:t>
      </w:r>
    </w:p>
    <w:p>
      <w:pPr>
        <w:keepNext/>
        <w:spacing w:before="280" w:after="80"/>
      </w:pPr>
      <w:r>
        <w:rPr>
          <w:rFonts w:ascii="Times New Roman" w:hAnsi="Times New Roman"/>
          <w:b/>
          <w:i w:val="0"/>
          <w:color w:val="2A9D8F"/>
          <w:sz w:val="23"/>
        </w:rPr>
        <w:t>4.4 IC Gate Mechanism</w:t>
      </w:r>
    </w:p>
    <w:p>
      <w:pPr>
        <w:spacing w:before="0" w:after="80" w:line="360" w:lineRule="auto"/>
        <w:ind w:firstLine="0"/>
      </w:pPr>
      <w:r>
        <w:rPr>
          <w:rFonts w:ascii="Times New Roman" w:hAnsi="Times New Roman"/>
          <w:b w:val="0"/>
          <w:i w:val="0"/>
          <w:sz w:val="22"/>
        </w:rPr>
        <w:t>Before any position is taken on test-day t, the gate evaluates the cross-sectional IC series accumulated over the current fold's test window. IC for each day d is the Spearman rank correlation between the calibrated conviction scores and the realised 1-day returns of the 30 stocks:</w:t>
      </w:r>
    </w:p>
    <w:p>
      <w:pPr>
        <w:spacing w:before="80" w:after="80"/>
      </w:pPr>
      <w:r>
        <w:rPr>
          <w:rFonts w:ascii="Times New Roman" w:hAnsi="Times New Roman"/>
          <w:b w:val="0"/>
          <w:i/>
          <w:sz w:val="21"/>
        </w:rPr>
        <w:t xml:space="preserve">    ICd = SpearmanRankCorr( p̂d , rd+1 )</w:t>
      </w:r>
      <w:r>
        <w:rPr>
          <w:rFonts w:ascii="Times New Roman" w:hAnsi="Times New Roman"/>
          <w:b w:val="0"/>
          <w:i w:val="0"/>
          <w:sz w:val="20"/>
        </w:rPr>
        <w:t xml:space="preserve">    (2)</w:t>
      </w:r>
    </w:p>
    <w:p>
      <w:pPr>
        <w:spacing w:before="0" w:after="80" w:line="360" w:lineRule="auto"/>
        <w:ind w:firstLine="0"/>
      </w:pPr>
      <w:r>
        <w:rPr>
          <w:rFonts w:ascii="Times New Roman" w:hAnsi="Times New Roman"/>
          <w:b w:val="0"/>
          <w:i w:val="0"/>
          <w:sz w:val="22"/>
        </w:rPr>
        <w:t>where p̂d is the vector of 30 calibrated probabilities and rd+1 is the vector of next-day returns. The gate applies a Newey-West HAC t-test (lag = 9 days, corresponding to approximately two weeks of autocorrelation structure) to the IC series to date:</w:t>
      </w:r>
    </w:p>
    <w:p>
      <w:pPr>
        <w:spacing w:before="80" w:after="80"/>
      </w:pPr>
      <w:r>
        <w:rPr>
          <w:rFonts w:ascii="Times New Roman" w:hAnsi="Times New Roman"/>
          <w:b w:val="0"/>
          <w:i/>
          <w:sz w:val="21"/>
        </w:rPr>
        <w:t xml:space="preserve">    t_HAC = IC̄ / √( V̂HAC / N )</w:t>
      </w:r>
      <w:r>
        <w:rPr>
          <w:rFonts w:ascii="Times New Roman" w:hAnsi="Times New Roman"/>
          <w:b w:val="0"/>
          <w:i w:val="0"/>
          <w:sz w:val="20"/>
        </w:rPr>
        <w:t xml:space="preserve">    (3)</w:t>
      </w:r>
    </w:p>
    <w:p>
      <w:pPr>
        <w:spacing w:before="0" w:after="160" w:line="360" w:lineRule="auto"/>
        <w:ind w:firstLine="0"/>
      </w:pPr>
      <w:r>
        <w:rPr>
          <w:rFonts w:ascii="Times New Roman" w:hAnsi="Times New Roman"/>
          <w:b w:val="0"/>
          <w:i w:val="0"/>
          <w:sz w:val="22"/>
        </w:rPr>
        <w:t>The gate opens if and only if t_HAC &gt; 1.645 (one-tailed, α = 0.05) and the mean IC is positive. A complementary permutation test shuffles the signal labels 1,000 times and requires the observed IC to exceed the 95th percentile of the null distribution. In practice, both tests must pass. The gate never opened during any of the 12 test folds.</w:t>
      </w:r>
    </w:p>
    <w:p>
      <w:pPr>
        <w:keepNext/>
        <w:spacing w:before="280" w:after="80"/>
      </w:pPr>
      <w:r>
        <w:rPr>
          <w:rFonts w:ascii="Times New Roman" w:hAnsi="Times New Roman"/>
          <w:b/>
          <w:i w:val="0"/>
          <w:color w:val="2A9D8F"/>
          <w:sz w:val="23"/>
        </w:rPr>
        <w:t>4.5 Backtesting and Transaction Costs</w:t>
      </w:r>
    </w:p>
    <w:p>
      <w:pPr>
        <w:spacing w:before="0" w:after="160" w:line="360" w:lineRule="auto"/>
        <w:ind w:firstLine="0"/>
      </w:pPr>
      <w:r>
        <w:rPr>
          <w:rFonts w:ascii="Times New Roman" w:hAnsi="Times New Roman"/>
          <w:b w:val="0"/>
          <w:i w:val="0"/>
          <w:sz w:val="22"/>
        </w:rPr>
        <w:t>On each trading day for which the gate is open, the strategy allocates equal weight to the K stocks with the highest calibrated conviction scores, with long-only positions throughout (short selling is not permitted). The equal-weight benchmark rebalances monthly to 30 equal positions. Transaction costs are charged round-trip at the prevailing cost assumption (baseline: 5 bps), applied to each position change. The backtest is vectorized over the full 1,512-day period using daily returns. Risk-adjusted metrics include annualised Sharpe ratio, Sortino ratio, maximum drawdown, and Calmar ratio.</w:t>
      </w:r>
    </w:p>
    <w:p>
      <w:pPr>
        <w:keepNext/>
        <w:spacing w:before="280" w:after="80"/>
      </w:pPr>
      <w:r>
        <w:rPr>
          <w:rFonts w:ascii="Times New Roman" w:hAnsi="Times New Roman"/>
          <w:b/>
          <w:i w:val="0"/>
          <w:color w:val="264653"/>
          <w:sz w:val="26"/>
        </w:rPr>
        <w:t>5. Results</w:t>
      </w:r>
    </w:p>
    <w:p>
      <w:pPr>
        <w:keepNext/>
        <w:spacing w:before="280" w:after="80"/>
      </w:pPr>
      <w:r>
        <w:rPr>
          <w:rFonts w:ascii="Times New Roman" w:hAnsi="Times New Roman"/>
          <w:b/>
          <w:i w:val="0"/>
          <w:color w:val="2A9D8F"/>
          <w:sz w:val="23"/>
        </w:rPr>
        <w:t>5.1 IC Signal: Gate Stays Closed</w:t>
      </w:r>
    </w:p>
    <w:p>
      <w:pPr>
        <w:spacing w:before="0" w:after="120" w:line="360" w:lineRule="auto"/>
        <w:ind w:firstLine="0"/>
      </w:pPr>
      <w:r>
        <w:rPr>
          <w:rFonts w:ascii="Times New Roman" w:hAnsi="Times New Roman"/>
          <w:b w:val="0"/>
          <w:i w:val="0"/>
          <w:sz w:val="22"/>
        </w:rPr>
        <w:t>Across all 1,512 out-of-sample trading days, the IC gate remains closed in every fold. Table 4 reports the aggregate IC statistics: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551"/>
            <w:shd w:val="clear" w:color="auto" w:fill="264653"/>
          </w:tcPr>
          <w:p>
            <w:r/>
            <w:r>
              <w:rPr>
                <w:rFonts w:ascii="Times New Roman" w:hAnsi="Times New Roman"/>
                <w:b/>
                <w:i w:val="0"/>
                <w:color w:val="FFFFFF"/>
                <w:sz w:val="19"/>
              </w:rPr>
              <w:t>Statistic</w:t>
            </w:r>
          </w:p>
        </w:tc>
        <w:tc>
          <w:tcPr>
            <w:tcW w:type="dxa" w:w="1701"/>
            <w:shd w:val="clear" w:color="auto" w:fill="264653"/>
          </w:tcPr>
          <w:p>
            <w:r/>
            <w:r>
              <w:rPr>
                <w:rFonts w:ascii="Times New Roman" w:hAnsi="Times New Roman"/>
                <w:b/>
                <w:i w:val="0"/>
                <w:color w:val="FFFFFF"/>
                <w:sz w:val="19"/>
              </w:rPr>
              <w:t>Value</w:t>
            </w:r>
          </w:p>
        </w:tc>
        <w:tc>
          <w:tcPr>
            <w:tcW w:type="dxa" w:w="2551"/>
            <w:shd w:val="clear" w:color="auto" w:fill="264653"/>
          </w:tcPr>
          <w:p>
            <w:r/>
            <w:r>
              <w:rPr>
                <w:rFonts w:ascii="Times New Roman" w:hAnsi="Times New Roman"/>
                <w:b/>
                <w:i w:val="0"/>
                <w:color w:val="FFFFFF"/>
                <w:sz w:val="19"/>
              </w:rPr>
              <w:t>Threshold</w:t>
            </w:r>
          </w:p>
        </w:tc>
        <w:tc>
          <w:tcPr>
            <w:tcW w:type="dxa" w:w="1984"/>
            <w:shd w:val="clear" w:color="auto" w:fill="264653"/>
          </w:tcPr>
          <w:p>
            <w:r/>
            <w:r>
              <w:rPr>
                <w:rFonts w:ascii="Times New Roman" w:hAnsi="Times New Roman"/>
                <w:b/>
                <w:i w:val="0"/>
                <w:color w:val="FFFFFF"/>
                <w:sz w:val="19"/>
              </w:rPr>
              <w:t>Decision</w:t>
            </w:r>
          </w:p>
        </w:tc>
      </w:tr>
      <w:tr>
        <w:tc>
          <w:tcPr>
            <w:tcW w:type="dxa" w:w="2551"/>
            <w:shd w:val="clear" w:color="auto" w:fill="E8F4F8"/>
          </w:tcPr>
          <w:p>
            <w:pPr>
              <w:jc w:val="left"/>
            </w:pPr>
            <w:r/>
            <w:r>
              <w:rPr>
                <w:rFonts w:ascii="Times New Roman" w:hAnsi="Times New Roman"/>
                <w:b w:val="0"/>
                <w:i w:val="0"/>
                <w:sz w:val="19"/>
              </w:rPr>
              <w:t>Mean IC</w:t>
            </w:r>
          </w:p>
        </w:tc>
        <w:tc>
          <w:tcPr>
            <w:tcW w:type="dxa" w:w="1701"/>
            <w:shd w:val="clear" w:color="auto" w:fill="E8F4F8"/>
          </w:tcPr>
          <w:p>
            <w:pPr>
              <w:jc w:val="center"/>
            </w:pPr>
            <w:r/>
            <w:r>
              <w:rPr>
                <w:rFonts w:ascii="Times New Roman" w:hAnsi="Times New Roman"/>
                <w:b w:val="0"/>
                <w:i w:val="0"/>
                <w:sz w:val="19"/>
              </w:rPr>
              <w:t>−0.0005</w:t>
            </w:r>
          </w:p>
        </w:tc>
        <w:tc>
          <w:tcPr>
            <w:tcW w:type="dxa" w:w="2551"/>
            <w:shd w:val="clear" w:color="auto" w:fill="E8F4F8"/>
          </w:tcPr>
          <w:p>
            <w:pPr>
              <w:jc w:val="center"/>
            </w:pPr>
            <w:r/>
            <w:r>
              <w:rPr>
                <w:rFonts w:ascii="Times New Roman" w:hAnsi="Times New Roman"/>
                <w:b w:val="0"/>
                <w:i w:val="0"/>
                <w:sz w:val="19"/>
              </w:rPr>
              <w:t>&gt; 0</w:t>
            </w:r>
          </w:p>
        </w:tc>
        <w:tc>
          <w:tcPr>
            <w:tcW w:type="dxa" w:w="1984"/>
            <w:shd w:val="clear" w:color="auto" w:fill="E8F4F8"/>
          </w:tcPr>
          <w:p>
            <w:pPr>
              <w:jc w:val="center"/>
            </w:pPr>
            <w:r/>
            <w:r>
              <w:rPr>
                <w:rFonts w:ascii="Times New Roman" w:hAnsi="Times New Roman"/>
                <w:b w:val="0"/>
                <w:i w:val="0"/>
                <w:sz w:val="19"/>
              </w:rPr>
              <w:t>Negative</w:t>
            </w:r>
          </w:p>
        </w:tc>
      </w:tr>
      <w:tr>
        <w:tc>
          <w:tcPr>
            <w:tcW w:type="dxa" w:w="2551"/>
          </w:tcPr>
          <w:p>
            <w:pPr>
              <w:jc w:val="left"/>
            </w:pPr>
            <w:r/>
            <w:r>
              <w:rPr>
                <w:rFonts w:ascii="Times New Roman" w:hAnsi="Times New Roman"/>
                <w:b w:val="0"/>
                <w:i w:val="0"/>
                <w:sz w:val="19"/>
              </w:rPr>
              <w:t>IC Std Dev</w:t>
            </w:r>
          </w:p>
        </w:tc>
        <w:tc>
          <w:tcPr>
            <w:tcW w:type="dxa" w:w="1701"/>
          </w:tcPr>
          <w:p>
            <w:pPr>
              <w:jc w:val="center"/>
            </w:pPr>
            <w:r/>
            <w:r>
              <w:rPr>
                <w:rFonts w:ascii="Times New Roman" w:hAnsi="Times New Roman"/>
                <w:b w:val="0"/>
                <w:i w:val="0"/>
                <w:sz w:val="19"/>
              </w:rPr>
              <w:t>0.2204</w:t>
            </w:r>
          </w:p>
        </w:tc>
        <w:tc>
          <w:tcPr>
            <w:tcW w:type="dxa" w:w="2551"/>
          </w:tcPr>
          <w:p>
            <w:pPr>
              <w:jc w:val="center"/>
            </w:pPr>
            <w:r/>
            <w:r>
              <w:rPr>
                <w:rFonts w:ascii="Times New Roman" w:hAnsi="Times New Roman"/>
                <w:b w:val="0"/>
                <w:i w:val="0"/>
                <w:sz w:val="19"/>
              </w:rPr>
              <w:t>—</w:t>
            </w:r>
          </w:p>
        </w:tc>
        <w:tc>
          <w:tcPr>
            <w:tcW w:type="dxa" w:w="1984"/>
          </w:tcPr>
          <w:p>
            <w:pPr>
              <w:jc w:val="center"/>
            </w:pPr>
            <w:r/>
            <w:r>
              <w:rPr>
                <w:rFonts w:ascii="Times New Roman" w:hAnsi="Times New Roman"/>
                <w:b w:val="0"/>
                <w:i w:val="0"/>
                <w:sz w:val="19"/>
              </w:rPr>
              <w:t>—</w:t>
            </w:r>
          </w:p>
        </w:tc>
      </w:tr>
      <w:tr>
        <w:tc>
          <w:tcPr>
            <w:tcW w:type="dxa" w:w="2551"/>
            <w:shd w:val="clear" w:color="auto" w:fill="E8F4F8"/>
          </w:tcPr>
          <w:p>
            <w:pPr>
              <w:jc w:val="left"/>
            </w:pPr>
            <w:r/>
            <w:r>
              <w:rPr>
                <w:rFonts w:ascii="Times New Roman" w:hAnsi="Times New Roman"/>
                <w:b w:val="0"/>
                <w:i w:val="0"/>
                <w:sz w:val="19"/>
              </w:rPr>
              <w:t>ICIR</w:t>
            </w:r>
          </w:p>
        </w:tc>
        <w:tc>
          <w:tcPr>
            <w:tcW w:type="dxa" w:w="1701"/>
            <w:shd w:val="clear" w:color="auto" w:fill="E8F4F8"/>
          </w:tcPr>
          <w:p>
            <w:pPr>
              <w:jc w:val="center"/>
            </w:pPr>
            <w:r/>
            <w:r>
              <w:rPr>
                <w:rFonts w:ascii="Times New Roman" w:hAnsi="Times New Roman"/>
                <w:b w:val="0"/>
                <w:i w:val="0"/>
                <w:sz w:val="19"/>
              </w:rPr>
              <w:t>−0.0023</w:t>
            </w:r>
          </w:p>
        </w:tc>
        <w:tc>
          <w:tcPr>
            <w:tcW w:type="dxa" w:w="2551"/>
            <w:shd w:val="clear" w:color="auto" w:fill="E8F4F8"/>
          </w:tcPr>
          <w:p>
            <w:pPr>
              <w:jc w:val="center"/>
            </w:pPr>
            <w:r/>
            <w:r>
              <w:rPr>
                <w:rFonts w:ascii="Times New Roman" w:hAnsi="Times New Roman"/>
                <w:b w:val="0"/>
                <w:i w:val="0"/>
                <w:sz w:val="19"/>
              </w:rPr>
              <w:t>&gt; 0.5 (practice)</w:t>
            </w:r>
          </w:p>
        </w:tc>
        <w:tc>
          <w:tcPr>
            <w:tcW w:type="dxa" w:w="1984"/>
            <w:shd w:val="clear" w:color="auto" w:fill="E8F4F8"/>
          </w:tcPr>
          <w:p>
            <w:pPr>
              <w:jc w:val="center"/>
            </w:pPr>
            <w:r/>
            <w:r>
              <w:rPr>
                <w:rFonts w:ascii="Times New Roman" w:hAnsi="Times New Roman"/>
                <w:b w:val="0"/>
                <w:i w:val="0"/>
                <w:sz w:val="19"/>
              </w:rPr>
              <w:t>Near zero</w:t>
            </w:r>
          </w:p>
        </w:tc>
      </w:tr>
      <w:tr>
        <w:tc>
          <w:tcPr>
            <w:tcW w:type="dxa" w:w="2551"/>
          </w:tcPr>
          <w:p>
            <w:pPr>
              <w:jc w:val="left"/>
            </w:pPr>
            <w:r/>
            <w:r>
              <w:rPr>
                <w:rFonts w:ascii="Times New Roman" w:hAnsi="Times New Roman"/>
                <w:b w:val="0"/>
                <w:i w:val="0"/>
                <w:sz w:val="19"/>
              </w:rPr>
              <w:t>HAC t-statistic</w:t>
            </w:r>
          </w:p>
        </w:tc>
        <w:tc>
          <w:tcPr>
            <w:tcW w:type="dxa" w:w="1701"/>
          </w:tcPr>
          <w:p>
            <w:pPr>
              <w:jc w:val="center"/>
            </w:pPr>
            <w:r/>
            <w:r>
              <w:rPr>
                <w:rFonts w:ascii="Times New Roman" w:hAnsi="Times New Roman"/>
                <w:b w:val="0"/>
                <w:i w:val="0"/>
                <w:sz w:val="19"/>
              </w:rPr>
              <w:t>−0.090</w:t>
            </w:r>
          </w:p>
        </w:tc>
        <w:tc>
          <w:tcPr>
            <w:tcW w:type="dxa" w:w="2551"/>
          </w:tcPr>
          <w:p>
            <w:pPr>
              <w:jc w:val="center"/>
            </w:pPr>
            <w:r/>
            <w:r>
              <w:rPr>
                <w:rFonts w:ascii="Times New Roman" w:hAnsi="Times New Roman"/>
                <w:b w:val="0"/>
                <w:i w:val="0"/>
                <w:sz w:val="19"/>
              </w:rPr>
              <w:t>&gt; 1.645</w:t>
            </w:r>
          </w:p>
        </w:tc>
        <w:tc>
          <w:tcPr>
            <w:tcW w:type="dxa" w:w="1984"/>
          </w:tcPr>
          <w:p>
            <w:pPr>
              <w:jc w:val="center"/>
            </w:pPr>
            <w:r/>
            <w:r>
              <w:rPr>
                <w:rFonts w:ascii="Times New Roman" w:hAnsi="Times New Roman"/>
                <w:b w:val="0"/>
                <w:i w:val="0"/>
                <w:sz w:val="19"/>
              </w:rPr>
              <w:t>Not significant</w:t>
            </w:r>
          </w:p>
        </w:tc>
      </w:tr>
      <w:tr>
        <w:tc>
          <w:tcPr>
            <w:tcW w:type="dxa" w:w="2551"/>
            <w:shd w:val="clear" w:color="auto" w:fill="E8F4F8"/>
          </w:tcPr>
          <w:p>
            <w:pPr>
              <w:jc w:val="left"/>
            </w:pPr>
            <w:r/>
            <w:r>
              <w:rPr>
                <w:rFonts w:ascii="Times New Roman" w:hAnsi="Times New Roman"/>
                <w:b w:val="0"/>
                <w:i w:val="0"/>
                <w:sz w:val="19"/>
              </w:rPr>
              <w:t>p-value (HAC)</w:t>
            </w:r>
          </w:p>
        </w:tc>
        <w:tc>
          <w:tcPr>
            <w:tcW w:type="dxa" w:w="1701"/>
            <w:shd w:val="clear" w:color="auto" w:fill="E8F4F8"/>
          </w:tcPr>
          <w:p>
            <w:pPr>
              <w:jc w:val="center"/>
            </w:pPr>
            <w:r/>
            <w:r>
              <w:rPr>
                <w:rFonts w:ascii="Times New Roman" w:hAnsi="Times New Roman"/>
                <w:b w:val="0"/>
                <w:i w:val="0"/>
                <w:sz w:val="19"/>
              </w:rPr>
              <w:t>0.464</w:t>
            </w:r>
          </w:p>
        </w:tc>
        <w:tc>
          <w:tcPr>
            <w:tcW w:type="dxa" w:w="2551"/>
            <w:shd w:val="clear" w:color="auto" w:fill="E8F4F8"/>
          </w:tcPr>
          <w:p>
            <w:pPr>
              <w:jc w:val="center"/>
            </w:pPr>
            <w:r/>
            <w:r>
              <w:rPr>
                <w:rFonts w:ascii="Times New Roman" w:hAnsi="Times New Roman"/>
                <w:b w:val="0"/>
                <w:i w:val="0"/>
                <w:sz w:val="19"/>
              </w:rPr>
              <w:t>&lt; 0.05</w:t>
            </w:r>
          </w:p>
        </w:tc>
        <w:tc>
          <w:tcPr>
            <w:tcW w:type="dxa" w:w="1984"/>
            <w:shd w:val="clear" w:color="auto" w:fill="E8F4F8"/>
          </w:tcPr>
          <w:p>
            <w:pPr>
              <w:jc w:val="center"/>
            </w:pPr>
            <w:r/>
            <w:r>
              <w:rPr>
                <w:rFonts w:ascii="Times New Roman" w:hAnsi="Times New Roman"/>
                <w:b w:val="0"/>
                <w:i w:val="0"/>
                <w:sz w:val="19"/>
              </w:rPr>
              <w:t>Gate CLOSED</w:t>
            </w:r>
          </w:p>
        </w:tc>
      </w:tr>
      <w:tr>
        <w:tc>
          <w:tcPr>
            <w:tcW w:type="dxa" w:w="2551"/>
          </w:tcPr>
          <w:p>
            <w:pPr>
              <w:jc w:val="left"/>
            </w:pPr>
            <w:r/>
            <w:r>
              <w:rPr>
                <w:rFonts w:ascii="Times New Roman" w:hAnsi="Times New Roman"/>
                <w:b w:val="0"/>
                <w:i w:val="0"/>
                <w:sz w:val="19"/>
              </w:rPr>
              <w:t>Permutation p</w:t>
            </w:r>
          </w:p>
        </w:tc>
        <w:tc>
          <w:tcPr>
            <w:tcW w:type="dxa" w:w="1701"/>
          </w:tcPr>
          <w:p>
            <w:pPr>
              <w:jc w:val="center"/>
            </w:pPr>
            <w:r/>
            <w:r>
              <w:rPr>
                <w:rFonts w:ascii="Times New Roman" w:hAnsi="Times New Roman"/>
                <w:b w:val="0"/>
                <w:i w:val="0"/>
                <w:sz w:val="19"/>
              </w:rPr>
              <w:t>0.742</w:t>
            </w:r>
          </w:p>
        </w:tc>
        <w:tc>
          <w:tcPr>
            <w:tcW w:type="dxa" w:w="2551"/>
          </w:tcPr>
          <w:p>
            <w:pPr>
              <w:jc w:val="center"/>
            </w:pPr>
            <w:r/>
            <w:r>
              <w:rPr>
                <w:rFonts w:ascii="Times New Roman" w:hAnsi="Times New Roman"/>
                <w:b w:val="0"/>
                <w:i w:val="0"/>
                <w:sz w:val="19"/>
              </w:rPr>
              <w:t>&lt; 0.05</w:t>
            </w:r>
          </w:p>
        </w:tc>
        <w:tc>
          <w:tcPr>
            <w:tcW w:type="dxa" w:w="1984"/>
          </w:tcPr>
          <w:p>
            <w:pPr>
              <w:jc w:val="center"/>
            </w:pPr>
            <w:r/>
            <w:r>
              <w:rPr>
                <w:rFonts w:ascii="Times New Roman" w:hAnsi="Times New Roman"/>
                <w:b w:val="0"/>
                <w:i w:val="0"/>
                <w:sz w:val="19"/>
              </w:rPr>
              <w:t>Gate CLOSED</w:t>
            </w:r>
          </w:p>
        </w:tc>
      </w:tr>
      <w:tr>
        <w:tc>
          <w:tcPr>
            <w:tcW w:type="dxa" w:w="2551"/>
            <w:shd w:val="clear" w:color="auto" w:fill="E8F4F8"/>
          </w:tcPr>
          <w:p>
            <w:pPr>
              <w:jc w:val="left"/>
            </w:pPr>
            <w:r/>
            <w:r>
              <w:rPr>
                <w:rFonts w:ascii="Times New Roman" w:hAnsi="Times New Roman"/>
                <w:b w:val="0"/>
                <w:i w:val="0"/>
                <w:sz w:val="19"/>
              </w:rPr>
              <w:t>Gate-open folds</w:t>
            </w:r>
          </w:p>
        </w:tc>
        <w:tc>
          <w:tcPr>
            <w:tcW w:type="dxa" w:w="1701"/>
            <w:shd w:val="clear" w:color="auto" w:fill="E8F4F8"/>
          </w:tcPr>
          <w:p>
            <w:pPr>
              <w:jc w:val="center"/>
            </w:pPr>
            <w:r/>
            <w:r>
              <w:rPr>
                <w:rFonts w:ascii="Times New Roman" w:hAnsi="Times New Roman"/>
                <w:b w:val="0"/>
                <w:i w:val="0"/>
                <w:sz w:val="19"/>
              </w:rPr>
              <w:t>0 of 12</w:t>
            </w:r>
          </w:p>
        </w:tc>
        <w:tc>
          <w:tcPr>
            <w:tcW w:type="dxa" w:w="2551"/>
            <w:shd w:val="clear" w:color="auto" w:fill="E8F4F8"/>
          </w:tcPr>
          <w:p>
            <w:pPr>
              <w:jc w:val="center"/>
            </w:pPr>
            <w:r/>
            <w:r>
              <w:rPr>
                <w:rFonts w:ascii="Times New Roman" w:hAnsi="Times New Roman"/>
                <w:b w:val="0"/>
                <w:i w:val="0"/>
                <w:sz w:val="19"/>
              </w:rPr>
              <w:t>≥ 1</w:t>
            </w:r>
          </w:p>
        </w:tc>
        <w:tc>
          <w:tcPr>
            <w:tcW w:type="dxa" w:w="1984"/>
            <w:shd w:val="clear" w:color="auto" w:fill="E8F4F8"/>
          </w:tcPr>
          <w:p>
            <w:pPr>
              <w:jc w:val="center"/>
            </w:pPr>
            <w:r/>
            <w:r>
              <w:rPr>
                <w:rFonts w:ascii="Times New Roman" w:hAnsi="Times New Roman"/>
                <w:b w:val="0"/>
                <w:i w:val="0"/>
                <w:sz w:val="19"/>
              </w:rPr>
              <w:t>Never opened</w:t>
            </w:r>
          </w:p>
        </w:tc>
      </w:tr>
    </w:tbl>
    <w:p>
      <w:pPr>
        <w:spacing w:before="80" w:after="200"/>
        <w:jc w:val="center"/>
      </w:pPr>
      <w:r>
        <w:rPr>
          <w:rFonts w:ascii="Times New Roman" w:hAnsi="Times New Roman"/>
          <w:b/>
          <w:i w:val="0"/>
          <w:sz w:val="19"/>
        </w:rPr>
        <w:t>Table 4.</w:t>
      </w:r>
      <w:r>
        <w:rPr>
          <w:rFonts w:ascii="Times New Roman" w:hAnsi="Times New Roman"/>
          <w:b w:val="0"/>
          <w:i w:val="0"/>
          <w:sz w:val="19"/>
        </w:rPr>
        <w:t xml:space="preserve"> IC gate evaluation statistics across the full 1,512-day out-of-sample window.</w:t>
      </w:r>
    </w:p>
    <w:p>
      <w:pPr>
        <w:spacing w:before="0" w:after="160" w:line="360" w:lineRule="auto"/>
        <w:ind w:firstLine="0"/>
      </w:pPr>
      <w:r>
        <w:rPr>
          <w:rFonts w:ascii="Times New Roman" w:hAnsi="Times New Roman"/>
          <w:b w:val="0"/>
          <w:i w:val="0"/>
          <w:sz w:val="22"/>
        </w:rPr>
        <w:t>The mean IC of −0.0005 is economically and statistically negligible. The Newey-West corrected t-statistic of −0.090 has a one-tailed p-value of 0.464, far from the 0.05 threshold needed to open the gate. The IC Ratio of −0.0023 — mean IC divided by IC standard deviation — falls orders of magnitude below the 0.5 threshold practitioners typically require before deployment. No fold achieves even marginally significant positive IC.</w:t>
      </w:r>
    </w:p>
    <w:p>
      <w:pPr>
        <w:jc w:val="center"/>
      </w:pPr>
      <w:r>
        <w:drawing>
          <wp:inline xmlns:a="http://schemas.openxmlformats.org/drawingml/2006/main" xmlns:pic="http://schemas.openxmlformats.org/drawingml/2006/picture">
            <wp:extent cx="5303520" cy="2316686"/>
            <wp:docPr id="1" name="Picture 1"/>
            <wp:cNvGraphicFramePr>
              <a:graphicFrameLocks noChangeAspect="1"/>
            </wp:cNvGraphicFramePr>
            <a:graphic>
              <a:graphicData uri="http://schemas.openxmlformats.org/drawingml/2006/picture">
                <pic:pic>
                  <pic:nvPicPr>
                    <pic:cNvPr id="0" name="fig03_ic_bootstrap.png"/>
                    <pic:cNvPicPr/>
                  </pic:nvPicPr>
                  <pic:blipFill>
                    <a:blip r:embed="rId9"/>
                    <a:stretch>
                      <a:fillRect/>
                    </a:stretch>
                  </pic:blipFill>
                  <pic:spPr>
                    <a:xfrm>
                      <a:off x="0" y="0"/>
                      <a:ext cx="5303520" cy="2316686"/>
                    </a:xfrm>
                    <a:prstGeom prst="rect"/>
                  </pic:spPr>
                </pic:pic>
              </a:graphicData>
            </a:graphic>
          </wp:inline>
        </w:drawing>
      </w:r>
    </w:p>
    <w:p>
      <w:pPr>
        <w:spacing w:before="80" w:after="200"/>
        <w:jc w:val="center"/>
      </w:pPr>
      <w:r>
        <w:rPr>
          <w:rFonts w:ascii="Times New Roman" w:hAnsi="Times New Roman"/>
          <w:b/>
          <w:i w:val="0"/>
          <w:sz w:val="19"/>
        </w:rPr>
        <w:t>Figure 3.</w:t>
      </w:r>
      <w:r>
        <w:rPr>
          <w:rFonts w:ascii="Times New Roman" w:hAnsi="Times New Roman"/>
          <w:b w:val="0"/>
          <w:i w:val="0"/>
          <w:sz w:val="19"/>
        </w:rPr>
        <w:t>. Fold-level IC with 95% block bootstrap confidence intervals (block = 5 trading days, B = 2,000 resamples). All 12 confidence intervals span zero. IC values range from −0.025 to +0.023 with no consistent directional bias.</w:t>
      </w:r>
    </w:p>
    <w:p>
      <w:pPr>
        <w:keepNext/>
        <w:spacing w:before="280" w:after="80"/>
      </w:pPr>
      <w:r>
        <w:rPr>
          <w:rFonts w:ascii="Times New Roman" w:hAnsi="Times New Roman"/>
          <w:b/>
          <w:i w:val="0"/>
          <w:color w:val="2A9D8F"/>
          <w:sz w:val="23"/>
        </w:rPr>
        <w:t>5.2 Strategy Performance</w:t>
      </w:r>
    </w:p>
    <w:p>
      <w:pPr>
        <w:spacing w:before="0" w:after="160" w:line="360" w:lineRule="auto"/>
        <w:ind w:firstLine="0"/>
      </w:pPr>
      <w:r>
        <w:rPr>
          <w:rFonts w:ascii="Times New Roman" w:hAnsi="Times New Roman"/>
          <w:b w:val="0"/>
          <w:i w:val="0"/>
          <w:sz w:val="22"/>
        </w:rPr>
        <w:t>Table 5 reports full performance metrics for all strategies. The TopK1 strategy — the ensemble's highest-conviction single position each day — loses 5.9% annually with a Sharpe of −0.16 and a maximum drawdown of 67.0%. Random Top-1 performs comparably at −4.6% annual return and −0.12 Sharpe, consistent with the model's cross-sectional ranking providing no incremental information over random selection.</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2835"/>
            <w:shd w:val="clear" w:color="auto" w:fill="264653"/>
          </w:tcPr>
          <w:p>
            <w:r/>
            <w:r>
              <w:rPr>
                <w:rFonts w:ascii="Times New Roman" w:hAnsi="Times New Roman"/>
                <w:b/>
                <w:i w:val="0"/>
                <w:color w:val="FFFFFF"/>
                <w:sz w:val="18"/>
              </w:rPr>
              <w:t>Strategy</w:t>
            </w:r>
          </w:p>
        </w:tc>
        <w:tc>
          <w:tcPr>
            <w:tcW w:type="dxa" w:w="1587"/>
            <w:shd w:val="clear" w:color="auto" w:fill="264653"/>
          </w:tcPr>
          <w:p>
            <w:r/>
            <w:r>
              <w:rPr>
                <w:rFonts w:ascii="Times New Roman" w:hAnsi="Times New Roman"/>
                <w:b/>
                <w:i w:val="0"/>
                <w:color w:val="FFFFFF"/>
                <w:sz w:val="18"/>
              </w:rPr>
              <w:t>Ann. Return</w:t>
            </w:r>
          </w:p>
        </w:tc>
        <w:tc>
          <w:tcPr>
            <w:tcW w:type="dxa" w:w="1134"/>
            <w:shd w:val="clear" w:color="auto" w:fill="264653"/>
          </w:tcPr>
          <w:p>
            <w:r/>
            <w:r>
              <w:rPr>
                <w:rFonts w:ascii="Times New Roman" w:hAnsi="Times New Roman"/>
                <w:b/>
                <w:i w:val="0"/>
                <w:color w:val="FFFFFF"/>
                <w:sz w:val="18"/>
              </w:rPr>
              <w:t>Sharpe</w:t>
            </w:r>
          </w:p>
        </w:tc>
        <w:tc>
          <w:tcPr>
            <w:tcW w:type="dxa" w:w="1134"/>
            <w:shd w:val="clear" w:color="auto" w:fill="264653"/>
          </w:tcPr>
          <w:p>
            <w:r/>
            <w:r>
              <w:rPr>
                <w:rFonts w:ascii="Times New Roman" w:hAnsi="Times New Roman"/>
                <w:b/>
                <w:i w:val="0"/>
                <w:color w:val="FFFFFF"/>
                <w:sz w:val="18"/>
              </w:rPr>
              <w:t>Sortino</w:t>
            </w:r>
          </w:p>
        </w:tc>
        <w:tc>
          <w:tcPr>
            <w:tcW w:type="dxa" w:w="1134"/>
            <w:shd w:val="clear" w:color="auto" w:fill="264653"/>
          </w:tcPr>
          <w:p>
            <w:r/>
            <w:r>
              <w:rPr>
                <w:rFonts w:ascii="Times New Roman" w:hAnsi="Times New Roman"/>
                <w:b/>
                <w:i w:val="0"/>
                <w:color w:val="FFFFFF"/>
                <w:sz w:val="18"/>
              </w:rPr>
              <w:t>Max DD</w:t>
            </w:r>
          </w:p>
        </w:tc>
        <w:tc>
          <w:tcPr>
            <w:tcW w:type="dxa" w:w="1247"/>
            <w:shd w:val="clear" w:color="auto" w:fill="264653"/>
          </w:tcPr>
          <w:p>
            <w:r/>
            <w:r>
              <w:rPr>
                <w:rFonts w:ascii="Times New Roman" w:hAnsi="Times New Roman"/>
                <w:b/>
                <w:i w:val="0"/>
                <w:color w:val="FFFFFF"/>
                <w:sz w:val="18"/>
              </w:rPr>
              <w:t># Trades</w:t>
            </w:r>
          </w:p>
        </w:tc>
      </w:tr>
      <w:tr>
        <w:tc>
          <w:tcPr>
            <w:tcW w:type="dxa" w:w="2835"/>
            <w:shd w:val="clear" w:color="auto" w:fill="E8F4F8"/>
          </w:tcPr>
          <w:p>
            <w:pPr>
              <w:jc w:val="left"/>
            </w:pPr>
            <w:r/>
            <w:r>
              <w:rPr>
                <w:rFonts w:ascii="Times New Roman" w:hAnsi="Times New Roman"/>
                <w:b w:val="0"/>
                <w:i w:val="0"/>
                <w:sz w:val="18"/>
              </w:rPr>
              <w:t>Equal-Weight (BM)</w:t>
            </w:r>
          </w:p>
        </w:tc>
        <w:tc>
          <w:tcPr>
            <w:tcW w:type="dxa" w:w="1587"/>
            <w:shd w:val="clear" w:color="auto" w:fill="E8F4F8"/>
          </w:tcPr>
          <w:p>
            <w:pPr>
              <w:jc w:val="center"/>
            </w:pPr>
            <w:r/>
            <w:r>
              <w:rPr>
                <w:rFonts w:ascii="Times New Roman" w:hAnsi="Times New Roman"/>
                <w:b w:val="0"/>
                <w:i w:val="0"/>
                <w:sz w:val="18"/>
              </w:rPr>
              <w:t>+25.0%</w:t>
            </w:r>
          </w:p>
        </w:tc>
        <w:tc>
          <w:tcPr>
            <w:tcW w:type="dxa" w:w="1134"/>
            <w:shd w:val="clear" w:color="auto" w:fill="E8F4F8"/>
          </w:tcPr>
          <w:p>
            <w:pPr>
              <w:jc w:val="center"/>
            </w:pPr>
            <w:r/>
            <w:r>
              <w:rPr>
                <w:rFonts w:ascii="Times New Roman" w:hAnsi="Times New Roman"/>
                <w:b w:val="0"/>
                <w:i w:val="0"/>
                <w:sz w:val="18"/>
              </w:rPr>
              <w:t>0.96</w:t>
            </w:r>
          </w:p>
        </w:tc>
        <w:tc>
          <w:tcPr>
            <w:tcW w:type="dxa" w:w="1134"/>
            <w:shd w:val="clear" w:color="auto" w:fill="E8F4F8"/>
          </w:tcPr>
          <w:p>
            <w:pPr>
              <w:jc w:val="center"/>
            </w:pPr>
            <w:r/>
            <w:r>
              <w:rPr>
                <w:rFonts w:ascii="Times New Roman" w:hAnsi="Times New Roman"/>
                <w:b w:val="0"/>
                <w:i w:val="0"/>
                <w:sz w:val="18"/>
              </w:rPr>
              <w:t>1.28</w:t>
            </w:r>
          </w:p>
        </w:tc>
        <w:tc>
          <w:tcPr>
            <w:tcW w:type="dxa" w:w="1134"/>
            <w:shd w:val="clear" w:color="auto" w:fill="E8F4F8"/>
          </w:tcPr>
          <w:p>
            <w:pPr>
              <w:jc w:val="center"/>
            </w:pPr>
            <w:r/>
            <w:r>
              <w:rPr>
                <w:rFonts w:ascii="Times New Roman" w:hAnsi="Times New Roman"/>
                <w:b w:val="0"/>
                <w:i w:val="0"/>
                <w:sz w:val="18"/>
              </w:rPr>
              <w:t>−32.4%</w:t>
            </w:r>
          </w:p>
        </w:tc>
        <w:tc>
          <w:tcPr>
            <w:tcW w:type="dxa" w:w="1247"/>
            <w:shd w:val="clear" w:color="auto" w:fill="E8F4F8"/>
          </w:tcPr>
          <w:p>
            <w:pPr>
              <w:jc w:val="center"/>
            </w:pPr>
            <w:r/>
            <w:r>
              <w:rPr>
                <w:rFonts w:ascii="Times New Roman" w:hAnsi="Times New Roman"/>
                <w:b w:val="0"/>
                <w:i w:val="0"/>
                <w:sz w:val="18"/>
              </w:rPr>
              <w:t>1</w:t>
            </w:r>
          </w:p>
        </w:tc>
      </w:tr>
      <w:tr>
        <w:tc>
          <w:tcPr>
            <w:tcW w:type="dxa" w:w="2835"/>
          </w:tcPr>
          <w:p>
            <w:pPr>
              <w:jc w:val="left"/>
            </w:pPr>
            <w:r/>
            <w:r>
              <w:rPr>
                <w:rFonts w:ascii="Times New Roman" w:hAnsi="Times New Roman"/>
                <w:b w:val="0"/>
                <w:i w:val="0"/>
                <w:sz w:val="18"/>
              </w:rPr>
              <w:t>SPY Buy &amp; Hold</w:t>
            </w:r>
          </w:p>
        </w:tc>
        <w:tc>
          <w:tcPr>
            <w:tcW w:type="dxa" w:w="1587"/>
          </w:tcPr>
          <w:p>
            <w:pPr>
              <w:jc w:val="center"/>
            </w:pPr>
            <w:r/>
            <w:r>
              <w:rPr>
                <w:rFonts w:ascii="Times New Roman" w:hAnsi="Times New Roman"/>
                <w:b w:val="0"/>
                <w:i w:val="0"/>
                <w:sz w:val="18"/>
              </w:rPr>
              <w:t>+14.9%</w:t>
            </w:r>
          </w:p>
        </w:tc>
        <w:tc>
          <w:tcPr>
            <w:tcW w:type="dxa" w:w="1134"/>
          </w:tcPr>
          <w:p>
            <w:pPr>
              <w:jc w:val="center"/>
            </w:pPr>
            <w:r/>
            <w:r>
              <w:rPr>
                <w:rFonts w:ascii="Times New Roman" w:hAnsi="Times New Roman"/>
                <w:b w:val="0"/>
                <w:i w:val="0"/>
                <w:sz w:val="18"/>
              </w:rPr>
              <w:t>0.74</w:t>
            </w:r>
          </w:p>
        </w:tc>
        <w:tc>
          <w:tcPr>
            <w:tcW w:type="dxa" w:w="1134"/>
          </w:tcPr>
          <w:p>
            <w:pPr>
              <w:jc w:val="center"/>
            </w:pPr>
            <w:r/>
            <w:r>
              <w:rPr>
                <w:rFonts w:ascii="Times New Roman" w:hAnsi="Times New Roman"/>
                <w:b w:val="0"/>
                <w:i w:val="0"/>
                <w:sz w:val="18"/>
              </w:rPr>
              <w:t>0.91</w:t>
            </w:r>
          </w:p>
        </w:tc>
        <w:tc>
          <w:tcPr>
            <w:tcW w:type="dxa" w:w="1134"/>
          </w:tcPr>
          <w:p>
            <w:pPr>
              <w:jc w:val="center"/>
            </w:pPr>
            <w:r/>
            <w:r>
              <w:rPr>
                <w:rFonts w:ascii="Times New Roman" w:hAnsi="Times New Roman"/>
                <w:b w:val="0"/>
                <w:i w:val="0"/>
                <w:sz w:val="18"/>
              </w:rPr>
              <w:t>−33.7%</w:t>
            </w:r>
          </w:p>
        </w:tc>
        <w:tc>
          <w:tcPr>
            <w:tcW w:type="dxa" w:w="1247"/>
          </w:tcPr>
          <w:p>
            <w:pPr>
              <w:jc w:val="center"/>
            </w:pPr>
            <w:r/>
            <w:r>
              <w:rPr>
                <w:rFonts w:ascii="Times New Roman" w:hAnsi="Times New Roman"/>
                <w:b w:val="0"/>
                <w:i w:val="0"/>
                <w:sz w:val="18"/>
              </w:rPr>
              <w:t>0</w:t>
            </w:r>
          </w:p>
        </w:tc>
      </w:tr>
      <w:tr>
        <w:tc>
          <w:tcPr>
            <w:tcW w:type="dxa" w:w="2835"/>
            <w:shd w:val="clear" w:color="auto" w:fill="E8F4F8"/>
          </w:tcPr>
          <w:p>
            <w:pPr>
              <w:jc w:val="left"/>
            </w:pPr>
            <w:r/>
            <w:r>
              <w:rPr>
                <w:rFonts w:ascii="Times New Roman" w:hAnsi="Times New Roman"/>
                <w:b w:val="0"/>
                <w:i w:val="0"/>
                <w:sz w:val="18"/>
              </w:rPr>
              <w:t>Momentum Top-1</w:t>
            </w:r>
          </w:p>
        </w:tc>
        <w:tc>
          <w:tcPr>
            <w:tcW w:type="dxa" w:w="1587"/>
            <w:shd w:val="clear" w:color="auto" w:fill="E8F4F8"/>
          </w:tcPr>
          <w:p>
            <w:pPr>
              <w:jc w:val="center"/>
            </w:pPr>
            <w:r/>
            <w:r>
              <w:rPr>
                <w:rFonts w:ascii="Times New Roman" w:hAnsi="Times New Roman"/>
                <w:b w:val="0"/>
                <w:i w:val="0"/>
                <w:sz w:val="18"/>
              </w:rPr>
              <w:t>+26.4%</w:t>
            </w:r>
          </w:p>
        </w:tc>
        <w:tc>
          <w:tcPr>
            <w:tcW w:type="dxa" w:w="1134"/>
            <w:shd w:val="clear" w:color="auto" w:fill="E8F4F8"/>
          </w:tcPr>
          <w:p>
            <w:pPr>
              <w:jc w:val="center"/>
            </w:pPr>
            <w:r/>
            <w:r>
              <w:rPr>
                <w:rFonts w:ascii="Times New Roman" w:hAnsi="Times New Roman"/>
                <w:b w:val="0"/>
                <w:i w:val="0"/>
                <w:sz w:val="18"/>
              </w:rPr>
              <w:t>0.57</w:t>
            </w:r>
          </w:p>
        </w:tc>
        <w:tc>
          <w:tcPr>
            <w:tcW w:type="dxa" w:w="1134"/>
            <w:shd w:val="clear" w:color="auto" w:fill="E8F4F8"/>
          </w:tcPr>
          <w:p>
            <w:pPr>
              <w:jc w:val="center"/>
            </w:pPr>
            <w:r/>
            <w:r>
              <w:rPr>
                <w:rFonts w:ascii="Times New Roman" w:hAnsi="Times New Roman"/>
                <w:b w:val="0"/>
                <w:i w:val="0"/>
                <w:sz w:val="18"/>
              </w:rPr>
              <w:t>0.79</w:t>
            </w:r>
          </w:p>
        </w:tc>
        <w:tc>
          <w:tcPr>
            <w:tcW w:type="dxa" w:w="1134"/>
            <w:shd w:val="clear" w:color="auto" w:fill="E8F4F8"/>
          </w:tcPr>
          <w:p>
            <w:pPr>
              <w:jc w:val="center"/>
            </w:pPr>
            <w:r/>
            <w:r>
              <w:rPr>
                <w:rFonts w:ascii="Times New Roman" w:hAnsi="Times New Roman"/>
                <w:b w:val="0"/>
                <w:i w:val="0"/>
                <w:sz w:val="18"/>
              </w:rPr>
              <w:t>−62.7%</w:t>
            </w:r>
          </w:p>
        </w:tc>
        <w:tc>
          <w:tcPr>
            <w:tcW w:type="dxa" w:w="1247"/>
            <w:shd w:val="clear" w:color="auto" w:fill="E8F4F8"/>
          </w:tcPr>
          <w:p>
            <w:pPr>
              <w:jc w:val="center"/>
            </w:pPr>
            <w:r/>
            <w:r>
              <w:rPr>
                <w:rFonts w:ascii="Times New Roman" w:hAnsi="Times New Roman"/>
                <w:b w:val="0"/>
                <w:i w:val="0"/>
                <w:sz w:val="18"/>
              </w:rPr>
              <w:t>407</w:t>
            </w:r>
          </w:p>
        </w:tc>
      </w:tr>
      <w:tr>
        <w:tc>
          <w:tcPr>
            <w:tcW w:type="dxa" w:w="2835"/>
          </w:tcPr>
          <w:p>
            <w:pPr>
              <w:jc w:val="left"/>
            </w:pPr>
            <w:r/>
            <w:r>
              <w:rPr>
                <w:rFonts w:ascii="Times New Roman" w:hAnsi="Times New Roman"/>
                <w:b w:val="0"/>
                <w:i w:val="0"/>
                <w:sz w:val="18"/>
              </w:rPr>
              <w:t>TopK3</w:t>
            </w:r>
          </w:p>
        </w:tc>
        <w:tc>
          <w:tcPr>
            <w:tcW w:type="dxa" w:w="1587"/>
          </w:tcPr>
          <w:p>
            <w:pPr>
              <w:jc w:val="center"/>
            </w:pPr>
            <w:r/>
            <w:r>
              <w:rPr>
                <w:rFonts w:ascii="Times New Roman" w:hAnsi="Times New Roman"/>
                <w:b w:val="0"/>
                <w:i w:val="0"/>
                <w:sz w:val="18"/>
              </w:rPr>
              <w:t>+3.5%</w:t>
            </w:r>
          </w:p>
        </w:tc>
        <w:tc>
          <w:tcPr>
            <w:tcW w:type="dxa" w:w="1134"/>
          </w:tcPr>
          <w:p>
            <w:pPr>
              <w:jc w:val="center"/>
            </w:pPr>
            <w:r/>
            <w:r>
              <w:rPr>
                <w:rFonts w:ascii="Times New Roman" w:hAnsi="Times New Roman"/>
                <w:b w:val="0"/>
                <w:i w:val="0"/>
                <w:sz w:val="18"/>
              </w:rPr>
              <w:t>0.12</w:t>
            </w:r>
          </w:p>
        </w:tc>
        <w:tc>
          <w:tcPr>
            <w:tcW w:type="dxa" w:w="1134"/>
          </w:tcPr>
          <w:p>
            <w:pPr>
              <w:jc w:val="center"/>
            </w:pPr>
            <w:r/>
            <w:r>
              <w:rPr>
                <w:rFonts w:ascii="Times New Roman" w:hAnsi="Times New Roman"/>
                <w:b w:val="0"/>
                <w:i w:val="0"/>
                <w:sz w:val="18"/>
              </w:rPr>
              <w:t>0.16</w:t>
            </w:r>
          </w:p>
        </w:tc>
        <w:tc>
          <w:tcPr>
            <w:tcW w:type="dxa" w:w="1134"/>
          </w:tcPr>
          <w:p>
            <w:pPr>
              <w:jc w:val="center"/>
            </w:pPr>
            <w:r/>
            <w:r>
              <w:rPr>
                <w:rFonts w:ascii="Times New Roman" w:hAnsi="Times New Roman"/>
                <w:b w:val="0"/>
                <w:i w:val="0"/>
                <w:sz w:val="18"/>
              </w:rPr>
              <w:t>−38.2%</w:t>
            </w:r>
          </w:p>
        </w:tc>
        <w:tc>
          <w:tcPr>
            <w:tcW w:type="dxa" w:w="1247"/>
          </w:tcPr>
          <w:p>
            <w:pPr>
              <w:jc w:val="center"/>
            </w:pPr>
            <w:r/>
            <w:r>
              <w:rPr>
                <w:rFonts w:ascii="Times New Roman" w:hAnsi="Times New Roman"/>
                <w:b w:val="0"/>
                <w:i w:val="0"/>
                <w:sz w:val="18"/>
              </w:rPr>
              <w:t>1,248</w:t>
            </w:r>
          </w:p>
        </w:tc>
      </w:tr>
      <w:tr>
        <w:tc>
          <w:tcPr>
            <w:tcW w:type="dxa" w:w="2835"/>
            <w:shd w:val="clear" w:color="auto" w:fill="E8F4F8"/>
          </w:tcPr>
          <w:p>
            <w:pPr>
              <w:jc w:val="left"/>
            </w:pPr>
            <w:r/>
            <w:r>
              <w:rPr>
                <w:rFonts w:ascii="Times New Roman" w:hAnsi="Times New Roman"/>
                <w:b w:val="0"/>
                <w:i w:val="0"/>
                <w:sz w:val="18"/>
              </w:rPr>
              <w:t>TopK2</w:t>
            </w:r>
          </w:p>
        </w:tc>
        <w:tc>
          <w:tcPr>
            <w:tcW w:type="dxa" w:w="1587"/>
            <w:shd w:val="clear" w:color="auto" w:fill="E8F4F8"/>
          </w:tcPr>
          <w:p>
            <w:pPr>
              <w:jc w:val="center"/>
            </w:pPr>
            <w:r/>
            <w:r>
              <w:rPr>
                <w:rFonts w:ascii="Times New Roman" w:hAnsi="Times New Roman"/>
                <w:b w:val="0"/>
                <w:i w:val="0"/>
                <w:sz w:val="18"/>
              </w:rPr>
              <w:t>−0.3%</w:t>
            </w:r>
          </w:p>
        </w:tc>
        <w:tc>
          <w:tcPr>
            <w:tcW w:type="dxa" w:w="1134"/>
            <w:shd w:val="clear" w:color="auto" w:fill="E8F4F8"/>
          </w:tcPr>
          <w:p>
            <w:pPr>
              <w:jc w:val="center"/>
            </w:pPr>
            <w:r/>
            <w:r>
              <w:rPr>
                <w:rFonts w:ascii="Times New Roman" w:hAnsi="Times New Roman"/>
                <w:b w:val="0"/>
                <w:i w:val="0"/>
                <w:sz w:val="18"/>
              </w:rPr>
              <w:t>−0.01</w:t>
            </w:r>
          </w:p>
        </w:tc>
        <w:tc>
          <w:tcPr>
            <w:tcW w:type="dxa" w:w="1134"/>
            <w:shd w:val="clear" w:color="auto" w:fill="E8F4F8"/>
          </w:tcPr>
          <w:p>
            <w:pPr>
              <w:jc w:val="center"/>
            </w:pPr>
            <w:r/>
            <w:r>
              <w:rPr>
                <w:rFonts w:ascii="Times New Roman" w:hAnsi="Times New Roman"/>
                <w:b w:val="0"/>
                <w:i w:val="0"/>
                <w:sz w:val="18"/>
              </w:rPr>
              <w:t>−0.01</w:t>
            </w:r>
          </w:p>
        </w:tc>
        <w:tc>
          <w:tcPr>
            <w:tcW w:type="dxa" w:w="1134"/>
            <w:shd w:val="clear" w:color="auto" w:fill="E8F4F8"/>
          </w:tcPr>
          <w:p>
            <w:pPr>
              <w:jc w:val="center"/>
            </w:pPr>
            <w:r/>
            <w:r>
              <w:rPr>
                <w:rFonts w:ascii="Times New Roman" w:hAnsi="Times New Roman"/>
                <w:b w:val="0"/>
                <w:i w:val="0"/>
                <w:sz w:val="18"/>
              </w:rPr>
              <w:t>−53.9%</w:t>
            </w:r>
          </w:p>
        </w:tc>
        <w:tc>
          <w:tcPr>
            <w:tcW w:type="dxa" w:w="1247"/>
            <w:shd w:val="clear" w:color="auto" w:fill="E8F4F8"/>
          </w:tcPr>
          <w:p>
            <w:pPr>
              <w:jc w:val="center"/>
            </w:pPr>
            <w:r/>
            <w:r>
              <w:rPr>
                <w:rFonts w:ascii="Times New Roman" w:hAnsi="Times New Roman"/>
                <w:b w:val="0"/>
                <w:i w:val="0"/>
                <w:sz w:val="18"/>
              </w:rPr>
              <w:t>1,134</w:t>
            </w:r>
          </w:p>
        </w:tc>
      </w:tr>
      <w:tr>
        <w:tc>
          <w:tcPr>
            <w:tcW w:type="dxa" w:w="2835"/>
          </w:tcPr>
          <w:p>
            <w:pPr>
              <w:jc w:val="left"/>
            </w:pPr>
            <w:r/>
            <w:r>
              <w:rPr>
                <w:rFonts w:ascii="Times New Roman" w:hAnsi="Times New Roman"/>
                <w:b w:val="0"/>
                <w:i w:val="0"/>
                <w:sz w:val="18"/>
              </w:rPr>
              <w:t>Random Top-1</w:t>
            </w:r>
          </w:p>
        </w:tc>
        <w:tc>
          <w:tcPr>
            <w:tcW w:type="dxa" w:w="1587"/>
          </w:tcPr>
          <w:p>
            <w:pPr>
              <w:jc w:val="center"/>
            </w:pPr>
            <w:r/>
            <w:r>
              <w:rPr>
                <w:rFonts w:ascii="Times New Roman" w:hAnsi="Times New Roman"/>
                <w:b w:val="0"/>
                <w:i w:val="0"/>
                <w:sz w:val="18"/>
              </w:rPr>
              <w:t>−4.6%</w:t>
            </w:r>
          </w:p>
        </w:tc>
        <w:tc>
          <w:tcPr>
            <w:tcW w:type="dxa" w:w="1134"/>
          </w:tcPr>
          <w:p>
            <w:pPr>
              <w:jc w:val="center"/>
            </w:pPr>
            <w:r/>
            <w:r>
              <w:rPr>
                <w:rFonts w:ascii="Times New Roman" w:hAnsi="Times New Roman"/>
                <w:b w:val="0"/>
                <w:i w:val="0"/>
                <w:sz w:val="18"/>
              </w:rPr>
              <w:t>−0.12</w:t>
            </w:r>
          </w:p>
        </w:tc>
        <w:tc>
          <w:tcPr>
            <w:tcW w:type="dxa" w:w="1134"/>
          </w:tcPr>
          <w:p>
            <w:pPr>
              <w:jc w:val="center"/>
            </w:pPr>
            <w:r/>
            <w:r>
              <w:rPr>
                <w:rFonts w:ascii="Times New Roman" w:hAnsi="Times New Roman"/>
                <w:b w:val="0"/>
                <w:i w:val="0"/>
                <w:sz w:val="18"/>
              </w:rPr>
              <w:t>−0.15</w:t>
            </w:r>
          </w:p>
        </w:tc>
        <w:tc>
          <w:tcPr>
            <w:tcW w:type="dxa" w:w="1134"/>
          </w:tcPr>
          <w:p>
            <w:pPr>
              <w:jc w:val="center"/>
            </w:pPr>
            <w:r/>
            <w:r>
              <w:rPr>
                <w:rFonts w:ascii="Times New Roman" w:hAnsi="Times New Roman"/>
                <w:b w:val="0"/>
                <w:i w:val="0"/>
                <w:sz w:val="18"/>
              </w:rPr>
              <w:t>−65.6%</w:t>
            </w:r>
          </w:p>
        </w:tc>
        <w:tc>
          <w:tcPr>
            <w:tcW w:type="dxa" w:w="1247"/>
          </w:tcPr>
          <w:p>
            <w:pPr>
              <w:jc w:val="center"/>
            </w:pPr>
            <w:r/>
            <w:r>
              <w:rPr>
                <w:rFonts w:ascii="Times New Roman" w:hAnsi="Times New Roman"/>
                <w:b w:val="0"/>
                <w:i w:val="0"/>
                <w:sz w:val="18"/>
              </w:rPr>
              <w:t>1,461</w:t>
            </w:r>
          </w:p>
        </w:tc>
      </w:tr>
      <w:tr>
        <w:tc>
          <w:tcPr>
            <w:tcW w:type="dxa" w:w="2835"/>
            <w:shd w:val="clear" w:color="auto" w:fill="E8F4F8"/>
          </w:tcPr>
          <w:p>
            <w:pPr>
              <w:jc w:val="left"/>
            </w:pPr>
            <w:r/>
            <w:r>
              <w:rPr>
                <w:rFonts w:ascii="Times New Roman" w:hAnsi="Times New Roman"/>
                <w:b/>
                <w:i w:val="0"/>
                <w:sz w:val="18"/>
              </w:rPr>
              <w:t>TopK1 (ML, gate closed)</w:t>
            </w:r>
          </w:p>
        </w:tc>
        <w:tc>
          <w:tcPr>
            <w:tcW w:type="dxa" w:w="1587"/>
            <w:shd w:val="clear" w:color="auto" w:fill="E8F4F8"/>
          </w:tcPr>
          <w:p>
            <w:pPr>
              <w:jc w:val="center"/>
            </w:pPr>
            <w:r/>
            <w:r>
              <w:rPr>
                <w:rFonts w:ascii="Times New Roman" w:hAnsi="Times New Roman"/>
                <w:b/>
                <w:i w:val="0"/>
                <w:sz w:val="18"/>
              </w:rPr>
              <w:t>−5.9%</w:t>
            </w:r>
          </w:p>
        </w:tc>
        <w:tc>
          <w:tcPr>
            <w:tcW w:type="dxa" w:w="1134"/>
            <w:shd w:val="clear" w:color="auto" w:fill="E8F4F8"/>
          </w:tcPr>
          <w:p>
            <w:pPr>
              <w:jc w:val="center"/>
            </w:pPr>
            <w:r/>
            <w:r>
              <w:rPr>
                <w:rFonts w:ascii="Times New Roman" w:hAnsi="Times New Roman"/>
                <w:b/>
                <w:i w:val="0"/>
                <w:sz w:val="18"/>
              </w:rPr>
              <w:t>−0.16</w:t>
            </w:r>
          </w:p>
        </w:tc>
        <w:tc>
          <w:tcPr>
            <w:tcW w:type="dxa" w:w="1134"/>
            <w:shd w:val="clear" w:color="auto" w:fill="E8F4F8"/>
          </w:tcPr>
          <w:p>
            <w:pPr>
              <w:jc w:val="center"/>
            </w:pPr>
            <w:r/>
            <w:r>
              <w:rPr>
                <w:rFonts w:ascii="Times New Roman" w:hAnsi="Times New Roman"/>
                <w:b/>
                <w:i w:val="0"/>
                <w:sz w:val="18"/>
              </w:rPr>
              <w:t>−0.21</w:t>
            </w:r>
          </w:p>
        </w:tc>
        <w:tc>
          <w:tcPr>
            <w:tcW w:type="dxa" w:w="1134"/>
            <w:shd w:val="clear" w:color="auto" w:fill="E8F4F8"/>
          </w:tcPr>
          <w:p>
            <w:pPr>
              <w:jc w:val="center"/>
            </w:pPr>
            <w:r/>
            <w:r>
              <w:rPr>
                <w:rFonts w:ascii="Times New Roman" w:hAnsi="Times New Roman"/>
                <w:b/>
                <w:i w:val="0"/>
                <w:sz w:val="18"/>
              </w:rPr>
              <w:t>−67.0%</w:t>
            </w:r>
          </w:p>
        </w:tc>
        <w:tc>
          <w:tcPr>
            <w:tcW w:type="dxa" w:w="1247"/>
            <w:shd w:val="clear" w:color="auto" w:fill="E8F4F8"/>
          </w:tcPr>
          <w:p>
            <w:pPr>
              <w:jc w:val="center"/>
            </w:pPr>
            <w:r/>
            <w:r>
              <w:rPr>
                <w:rFonts w:ascii="Times New Roman" w:hAnsi="Times New Roman"/>
                <w:b/>
                <w:i w:val="0"/>
                <w:sz w:val="18"/>
              </w:rPr>
              <w:t>833</w:t>
            </w:r>
          </w:p>
        </w:tc>
      </w:tr>
    </w:tbl>
    <w:p>
      <w:pPr>
        <w:spacing w:before="80" w:after="200"/>
        <w:jc w:val="center"/>
      </w:pPr>
      <w:r>
        <w:rPr>
          <w:rFonts w:ascii="Times New Roman" w:hAnsi="Times New Roman"/>
          <w:b/>
          <w:i w:val="0"/>
          <w:sz w:val="19"/>
        </w:rPr>
        <w:t>Table 5.</w:t>
      </w:r>
      <w:r>
        <w:rPr>
          <w:rFonts w:ascii="Times New Roman" w:hAnsi="Times New Roman"/>
          <w:b w:val="0"/>
          <w:i w:val="0"/>
          <w:sz w:val="19"/>
        </w:rPr>
        <w:t xml:space="preserve"> Strategy performance summary, October 2018 – October 2024 (1,512 trading days). Transaction cost: 5 bps round-trip. BM = benchmark. Strategy returns are reported for gate-closed conditions throughout; # Trades reflects position changes that would have occurred unconditionally, shown for diagnostic comparison.</w:t>
      </w:r>
    </w:p>
    <w:p>
      <w:pPr>
        <w:jc w:val="center"/>
      </w:pPr>
      <w:r>
        <w:drawing>
          <wp:inline xmlns:a="http://schemas.openxmlformats.org/drawingml/2006/main" xmlns:pic="http://schemas.openxmlformats.org/drawingml/2006/picture">
            <wp:extent cx="5486400" cy="1824544"/>
            <wp:docPr id="2" name="Picture 2"/>
            <wp:cNvGraphicFramePr>
              <a:graphicFrameLocks noChangeAspect="1"/>
            </wp:cNvGraphicFramePr>
            <a:graphic>
              <a:graphicData uri="http://schemas.openxmlformats.org/drawingml/2006/picture">
                <pic:pic>
                  <pic:nvPicPr>
                    <pic:cNvPr id="0" name="fig01_strategy_comparison.png"/>
                    <pic:cNvPicPr/>
                  </pic:nvPicPr>
                  <pic:blipFill>
                    <a:blip r:embed="rId10"/>
                    <a:stretch>
                      <a:fillRect/>
                    </a:stretch>
                  </pic:blipFill>
                  <pic:spPr>
                    <a:xfrm>
                      <a:off x="0" y="0"/>
                      <a:ext cx="5486400" cy="1824544"/>
                    </a:xfrm>
                    <a:prstGeom prst="rect"/>
                  </pic:spPr>
                </pic:pic>
              </a:graphicData>
            </a:graphic>
          </wp:inline>
        </w:drawing>
      </w:r>
    </w:p>
    <w:p>
      <w:pPr>
        <w:spacing w:before="80" w:after="200"/>
        <w:jc w:val="center"/>
      </w:pPr>
      <w:r>
        <w:rPr>
          <w:rFonts w:ascii="Times New Roman" w:hAnsi="Times New Roman"/>
          <w:b/>
          <w:i w:val="0"/>
          <w:sz w:val="19"/>
        </w:rPr>
        <w:t>Figure 1.</w:t>
      </w:r>
      <w:r>
        <w:rPr>
          <w:rFonts w:ascii="Times New Roman" w:hAnsi="Times New Roman"/>
          <w:b w:val="0"/>
          <w:i w:val="0"/>
          <w:sz w:val="19"/>
        </w:rPr>
        <w:t>. Strategy performance across three dimensions: annualised return, Sharpe ratio, and maximum drawdown. The benchmark convergence signature is clear — Sharpe increases monotonically as K increases toward the equal-weight limit, consistent with an uninformative ranker.</w:t>
      </w:r>
    </w:p>
    <w:p>
      <w:pPr>
        <w:spacing w:before="0" w:after="160" w:line="360" w:lineRule="auto"/>
        <w:ind w:firstLine="0"/>
      </w:pPr>
      <w:r>
        <w:rPr>
          <w:rFonts w:ascii="Times New Roman" w:hAnsi="Times New Roman"/>
          <w:b w:val="0"/>
          <w:i w:val="0"/>
          <w:sz w:val="22"/>
        </w:rPr>
        <w:t>The benchmark convergence signature is the key diagnostic. Sharpe ratios increase monotonically from TopK1 (−0.16) through TopK2 (−0.01) and TopK3 (+0.12) toward the equal-weight limit (0.96). This pattern is the mathematical signature of a ranker with zero cross-sectional information — as K grows, the portfolio approaches equal-weighting and its performance converges to the benchmark from below.</w:t>
      </w:r>
    </w:p>
    <w:p>
      <w:pPr>
        <w:jc w:val="center"/>
      </w:pPr>
      <w:r>
        <w:drawing>
          <wp:inline xmlns:a="http://schemas.openxmlformats.org/drawingml/2006/main" xmlns:pic="http://schemas.openxmlformats.org/drawingml/2006/picture">
            <wp:extent cx="5029200" cy="2980536"/>
            <wp:docPr id="3" name="Picture 3"/>
            <wp:cNvGraphicFramePr>
              <a:graphicFrameLocks noChangeAspect="1"/>
            </wp:cNvGraphicFramePr>
            <a:graphic>
              <a:graphicData uri="http://schemas.openxmlformats.org/drawingml/2006/picture">
                <pic:pic>
                  <pic:nvPicPr>
                    <pic:cNvPr id="0" name="fig04_k_sensitivity.png"/>
                    <pic:cNvPicPr/>
                  </pic:nvPicPr>
                  <pic:blipFill>
                    <a:blip r:embed="rId11"/>
                    <a:stretch>
                      <a:fillRect/>
                    </a:stretch>
                  </pic:blipFill>
                  <pic:spPr>
                    <a:xfrm>
                      <a:off x="0" y="0"/>
                      <a:ext cx="5029200" cy="2980536"/>
                    </a:xfrm>
                    <a:prstGeom prst="rect"/>
                  </pic:spPr>
                </pic:pic>
              </a:graphicData>
            </a:graphic>
          </wp:inline>
        </w:drawing>
      </w:r>
    </w:p>
    <w:p>
      <w:pPr>
        <w:spacing w:before="80" w:after="200"/>
        <w:jc w:val="center"/>
      </w:pPr>
      <w:r>
        <w:rPr>
          <w:rFonts w:ascii="Times New Roman" w:hAnsi="Times New Roman"/>
          <w:b/>
          <w:i w:val="0"/>
          <w:sz w:val="19"/>
        </w:rPr>
        <w:t>Figure 4.</w:t>
      </w:r>
      <w:r>
        <w:rPr>
          <w:rFonts w:ascii="Times New Roman" w:hAnsi="Times New Roman"/>
          <w:b w:val="0"/>
          <w:i w:val="0"/>
          <w:sz w:val="19"/>
        </w:rPr>
        <w:t>. Benchmark convergence signature: Sharpe ratio as a function of K (number of conviction positions). Monotonic increase from K=1 to K=30 (equal weight) is the diagnostic of an uninformative cross-sectional ranker.</w:t>
      </w:r>
    </w:p>
    <w:p>
      <w:pPr>
        <w:keepNext/>
        <w:spacing w:before="280" w:after="80"/>
      </w:pPr>
      <w:r>
        <w:rPr>
          <w:rFonts w:ascii="Times New Roman" w:hAnsi="Times New Roman"/>
          <w:b/>
          <w:i w:val="0"/>
          <w:color w:val="2A9D8F"/>
          <w:sz w:val="23"/>
        </w:rPr>
        <w:t>5.3 Permutation Test</w:t>
      </w:r>
    </w:p>
    <w:p>
      <w:pPr>
        <w:spacing w:before="0" w:after="160" w:line="360" w:lineRule="auto"/>
        <w:ind w:firstLine="0"/>
      </w:pPr>
      <w:r>
        <w:rPr>
          <w:rFonts w:ascii="Times New Roman" w:hAnsi="Times New Roman"/>
          <w:b w:val="0"/>
          <w:i w:val="0"/>
          <w:sz w:val="22"/>
        </w:rPr>
        <w:t>The permutation test shuffles the cross-sectional rank ordering of conviction scores 1,000 times, computing the TopK1 Sharpe ratio for each shuffle under the null hypothesis of no signal. The observed Sharpe (−0.16) falls at the 25.8th percentile of the null distribution. The permutation p-value of 0.742 is far from the 0.05 threshold, confirming the strategy performs no differently from random stock selection.</w:t>
      </w:r>
    </w:p>
    <w:p>
      <w:pPr>
        <w:jc w:val="center"/>
      </w:pPr>
      <w:r>
        <w:drawing>
          <wp:inline xmlns:a="http://schemas.openxmlformats.org/drawingml/2006/main" xmlns:pic="http://schemas.openxmlformats.org/drawingml/2006/picture">
            <wp:extent cx="5029200" cy="2980536"/>
            <wp:docPr id="4" name="Picture 4"/>
            <wp:cNvGraphicFramePr>
              <a:graphicFrameLocks noChangeAspect="1"/>
            </wp:cNvGraphicFramePr>
            <a:graphic>
              <a:graphicData uri="http://schemas.openxmlformats.org/drawingml/2006/picture">
                <pic:pic>
                  <pic:nvPicPr>
                    <pic:cNvPr id="0" name="fig02_permutation.png"/>
                    <pic:cNvPicPr/>
                  </pic:nvPicPr>
                  <pic:blipFill>
                    <a:blip r:embed="rId12"/>
                    <a:stretch>
                      <a:fillRect/>
                    </a:stretch>
                  </pic:blipFill>
                  <pic:spPr>
                    <a:xfrm>
                      <a:off x="0" y="0"/>
                      <a:ext cx="5029200" cy="2980536"/>
                    </a:xfrm>
                    <a:prstGeom prst="rect"/>
                  </pic:spPr>
                </pic:pic>
              </a:graphicData>
            </a:graphic>
          </wp:inline>
        </w:drawing>
      </w:r>
    </w:p>
    <w:p>
      <w:pPr>
        <w:spacing w:before="80" w:after="200"/>
        <w:jc w:val="center"/>
      </w:pPr>
      <w:r>
        <w:rPr>
          <w:rFonts w:ascii="Times New Roman" w:hAnsi="Times New Roman"/>
          <w:b/>
          <w:i w:val="0"/>
          <w:sz w:val="19"/>
        </w:rPr>
        <w:t>Figure 2.</w:t>
      </w:r>
      <w:r>
        <w:rPr>
          <w:rFonts w:ascii="Times New Roman" w:hAnsi="Times New Roman"/>
          <w:b w:val="0"/>
          <w:i w:val="0"/>
          <w:sz w:val="19"/>
        </w:rPr>
        <w:t>. Permutation null distribution (1,000 shuffles). The observed TopK1 Sharpe of −0.16 falls well below the null 95th percentile of +0.44, and at the 25.8th percentile of the null distribution (p = 0.742).</w:t>
      </w:r>
    </w:p>
    <w:p>
      <w:pPr>
        <w:keepNext/>
        <w:spacing w:before="280" w:after="80"/>
      </w:pPr>
      <w:r>
        <w:rPr>
          <w:rFonts w:ascii="Times New Roman" w:hAnsi="Times New Roman"/>
          <w:b/>
          <w:i w:val="0"/>
          <w:color w:val="2A9D8F"/>
          <w:sz w:val="23"/>
        </w:rPr>
        <w:t>5.4 Calibration Quality</w:t>
      </w:r>
    </w:p>
    <w:p>
      <w:pPr>
        <w:spacing w:before="0" w:after="160" w:line="360" w:lineRule="auto"/>
        <w:ind w:firstLine="0"/>
      </w:pPr>
      <w:r>
        <w:rPr>
          <w:rFonts w:ascii="Times New Roman" w:hAnsi="Times New Roman"/>
          <w:b w:val="0"/>
          <w:i w:val="0"/>
          <w:sz w:val="22"/>
        </w:rPr>
        <w:t>Despite zero predictive discrimination, the ensemble achieves excellent probability calibration. ECE falls below 0.025 across all 12 folds for all three base learners — substantially below the 0.05 threshold typically considered acceptable. This orthogonality between calibration quality and IC is a methodologically important finding: the model correctly estimates the probability of any given stock going up on a given day (roughly 50%), but cannot distinguish which of the 30 stocks will outperform the others. The model is well-specified, but the signal class under study contains no exploitable cross-sectional information in this setting.</w:t>
      </w:r>
    </w:p>
    <w:p>
      <w:pPr>
        <w:keepNext/>
        <w:spacing w:before="280" w:after="80"/>
      </w:pPr>
      <w:r>
        <w:rPr>
          <w:rFonts w:ascii="Times New Roman" w:hAnsi="Times New Roman"/>
          <w:b/>
          <w:i w:val="0"/>
          <w:color w:val="2A9D8F"/>
          <w:sz w:val="23"/>
        </w:rPr>
        <w:t>5.5 Subperiod Analysis</w:t>
      </w:r>
    </w:p>
    <w:p>
      <w:pPr>
        <w:spacing w:before="0" w:after="160" w:line="360" w:lineRule="auto"/>
        <w:ind w:firstLine="0"/>
      </w:pPr>
      <w:r>
        <w:rPr>
          <w:rFonts w:ascii="Times New Roman" w:hAnsi="Times New Roman"/>
          <w:b w:val="0"/>
          <w:i w:val="0"/>
          <w:sz w:val="22"/>
        </w:rPr>
        <w:t>Table 6 and Figure 6 disaggregate performance across three market regimes. The TopK1 strategy underperforms in all three periods: the ZIRP bull market (Period 1, Oct 2018 – Feb 2020, Sharpe −1.60), the COVID/Growth recovery (Period 2, Mar 2020 – Dec 2021, Sharpe +0.76), and the rate-shock bear market (Period 3, Jan 2022 – Oct 2024, Sharpe −0.59). The brief positive Sharpe in Period 2 reflects the general equity market's strong recovery from the March 2020 trough — any long-only position would have benefited.</w:t>
      </w:r>
    </w:p>
    <w:p>
      <w:pPr>
        <w:jc w:val="center"/>
      </w:pPr>
      <w:r>
        <w:drawing>
          <wp:inline xmlns:a="http://schemas.openxmlformats.org/drawingml/2006/main" xmlns:pic="http://schemas.openxmlformats.org/drawingml/2006/picture">
            <wp:extent cx="5486400" cy="2545620"/>
            <wp:docPr id="5" name="Picture 5"/>
            <wp:cNvGraphicFramePr>
              <a:graphicFrameLocks noChangeAspect="1"/>
            </wp:cNvGraphicFramePr>
            <a:graphic>
              <a:graphicData uri="http://schemas.openxmlformats.org/drawingml/2006/picture">
                <pic:pic>
                  <pic:nvPicPr>
                    <pic:cNvPr id="0" name="fig06_subperiod_heatmap.png"/>
                    <pic:cNvPicPr/>
                  </pic:nvPicPr>
                  <pic:blipFill>
                    <a:blip r:embed="rId13"/>
                    <a:stretch>
                      <a:fillRect/>
                    </a:stretch>
                  </pic:blipFill>
                  <pic:spPr>
                    <a:xfrm>
                      <a:off x="0" y="0"/>
                      <a:ext cx="5486400" cy="2545620"/>
                    </a:xfrm>
                    <a:prstGeom prst="rect"/>
                  </pic:spPr>
                </pic:pic>
              </a:graphicData>
            </a:graphic>
          </wp:inline>
        </w:drawing>
      </w:r>
    </w:p>
    <w:p>
      <w:pPr>
        <w:spacing w:before="80" w:after="200"/>
        <w:jc w:val="center"/>
      </w:pPr>
      <w:r>
        <w:rPr>
          <w:rFonts w:ascii="Times New Roman" w:hAnsi="Times New Roman"/>
          <w:b/>
          <w:i w:val="0"/>
          <w:sz w:val="19"/>
        </w:rPr>
        <w:t>Figure 6.</w:t>
      </w:r>
      <w:r>
        <w:rPr>
          <w:rFonts w:ascii="Times New Roman" w:hAnsi="Times New Roman"/>
          <w:b w:val="0"/>
          <w:i w:val="0"/>
          <w:sz w:val="19"/>
        </w:rPr>
        <w:t>. Subperiod Sharpe ratio heatmap across three market regimes. TopK1 underperforms the benchmarks in all three periods. The brief positive Period 2 Sharpe reflects broad market recovery, not ML signal quality.</w:t>
      </w:r>
    </w:p>
    <w:p>
      <w:pPr>
        <w:keepNext/>
        <w:spacing w:before="280" w:after="80"/>
      </w:pPr>
      <w:r>
        <w:rPr>
          <w:rFonts w:ascii="Times New Roman" w:hAnsi="Times New Roman"/>
          <w:b/>
          <w:i w:val="0"/>
          <w:color w:val="2A9D8F"/>
          <w:sz w:val="23"/>
        </w:rPr>
        <w:t>5.6 Transaction Cost Sensitivity</w:t>
      </w:r>
    </w:p>
    <w:p>
      <w:pPr>
        <w:spacing w:before="0" w:after="160" w:line="360" w:lineRule="auto"/>
        <w:ind w:firstLine="0"/>
      </w:pPr>
      <w:r>
        <w:rPr>
          <w:rFonts w:ascii="Times New Roman" w:hAnsi="Times New Roman"/>
          <w:b w:val="0"/>
          <w:i w:val="0"/>
          <w:sz w:val="22"/>
        </w:rPr>
        <w:t>Even at zero transaction costs, the TopK1 strategy produces a Sharpe of only +0.22 — negative returns remain once even the most conservative cost assumption is applied. At the baseline of 5 bps, Sharpe drops to −0.16. At 10 bps, it falls to −0.49. The TopK1 strategy requires impossibly low costs to break even, confirming that the performance problem is in the signal, not the cost model.</w:t>
      </w:r>
    </w:p>
    <w:p>
      <w:pPr>
        <w:jc w:val="center"/>
      </w:pPr>
      <w:r>
        <w:drawing>
          <wp:inline xmlns:a="http://schemas.openxmlformats.org/drawingml/2006/main" xmlns:pic="http://schemas.openxmlformats.org/drawingml/2006/picture">
            <wp:extent cx="5486400" cy="2043755"/>
            <wp:docPr id="6" name="Picture 6"/>
            <wp:cNvGraphicFramePr>
              <a:graphicFrameLocks noChangeAspect="1"/>
            </wp:cNvGraphicFramePr>
            <a:graphic>
              <a:graphicData uri="http://schemas.openxmlformats.org/drawingml/2006/picture">
                <pic:pic>
                  <pic:nvPicPr>
                    <pic:cNvPr id="0" name="fig05_cost_sensitivity.png"/>
                    <pic:cNvPicPr/>
                  </pic:nvPicPr>
                  <pic:blipFill>
                    <a:blip r:embed="rId14"/>
                    <a:stretch>
                      <a:fillRect/>
                    </a:stretch>
                  </pic:blipFill>
                  <pic:spPr>
                    <a:xfrm>
                      <a:off x="0" y="0"/>
                      <a:ext cx="5486400" cy="2043755"/>
                    </a:xfrm>
                    <a:prstGeom prst="rect"/>
                  </pic:spPr>
                </pic:pic>
              </a:graphicData>
            </a:graphic>
          </wp:inline>
        </w:drawing>
      </w:r>
    </w:p>
    <w:p>
      <w:pPr>
        <w:spacing w:before="80" w:after="200"/>
        <w:jc w:val="center"/>
      </w:pPr>
      <w:r>
        <w:rPr>
          <w:rFonts w:ascii="Times New Roman" w:hAnsi="Times New Roman"/>
          <w:b/>
          <w:i w:val="0"/>
          <w:sz w:val="19"/>
        </w:rPr>
        <w:t>Figure 5.</w:t>
      </w:r>
      <w:r>
        <w:rPr>
          <w:rFonts w:ascii="Times New Roman" w:hAnsi="Times New Roman"/>
          <w:b w:val="0"/>
          <w:i w:val="0"/>
          <w:sz w:val="19"/>
        </w:rPr>
        <w:t>. Transaction cost sensitivity for the TopK1 strategy. Sharpe ratio deteriorates monotonically with cost. Even at 0 bps, Sharpe is only +0.22, confirming that the signal quality problem is the binding constraint, not friction.</w:t>
      </w:r>
    </w:p>
    <w:p>
      <w:pPr>
        <w:keepNext/>
        <w:spacing w:before="280" w:after="80"/>
      </w:pPr>
      <w:r>
        <w:rPr>
          <w:rFonts w:ascii="Times New Roman" w:hAnsi="Times New Roman"/>
          <w:b/>
          <w:i w:val="0"/>
          <w:color w:val="2A9D8F"/>
          <w:sz w:val="23"/>
        </w:rPr>
        <w:t>5.7 Fama-French Factor Regression</w:t>
      </w:r>
    </w:p>
    <w:p>
      <w:pPr>
        <w:spacing w:before="0" w:after="160" w:line="360" w:lineRule="auto"/>
        <w:ind w:firstLine="0"/>
      </w:pPr>
      <w:r>
        <w:rPr>
          <w:rFonts w:ascii="Times New Roman" w:hAnsi="Times New Roman"/>
          <w:b w:val="0"/>
          <w:i w:val="0"/>
          <w:sz w:val="22"/>
        </w:rPr>
        <w:t>Table 7 reports factor regressions of the 30-stock equal-weight portfolio's daily excess returns against the CAPM, Fama-French 3-factor, 5-factor, and 5-factor-plus-momentum specifications. The concentrated NASDAQ-100 portfolio earns significant positive alpha across all specifications (α ≈ +42% annualised, t &gt; 2.8, p &lt; 0.01), driven by tech-sector concentration during a prolonged NASDAQ bull market. The adjusted R² is essentially zero across all models, confirming that daily variation in the 30-stock concentrated portfolio is not explained by standard factors — technology sector concentration dominates.</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417"/>
            <w:shd w:val="clear" w:color="auto" w:fill="264653"/>
          </w:tcPr>
          <w:p>
            <w:r/>
            <w:r>
              <w:rPr>
                <w:rFonts w:ascii="Times New Roman" w:hAnsi="Times New Roman"/>
                <w:b/>
                <w:i w:val="0"/>
                <w:color w:val="FFFFFF"/>
                <w:sz w:val="18"/>
              </w:rPr>
              <w:t>Spec</w:t>
            </w:r>
          </w:p>
        </w:tc>
        <w:tc>
          <w:tcPr>
            <w:tcW w:type="dxa" w:w="1417"/>
            <w:shd w:val="clear" w:color="auto" w:fill="264653"/>
          </w:tcPr>
          <w:p>
            <w:r/>
            <w:r>
              <w:rPr>
                <w:rFonts w:ascii="Times New Roman" w:hAnsi="Times New Roman"/>
                <w:b/>
                <w:i w:val="0"/>
                <w:color w:val="FFFFFF"/>
                <w:sz w:val="18"/>
              </w:rPr>
              <w:t>α (ann.)</w:t>
            </w:r>
          </w:p>
        </w:tc>
        <w:tc>
          <w:tcPr>
            <w:tcW w:type="dxa" w:w="1020"/>
            <w:shd w:val="clear" w:color="auto" w:fill="264653"/>
          </w:tcPr>
          <w:p>
            <w:r/>
            <w:r>
              <w:rPr>
                <w:rFonts w:ascii="Times New Roman" w:hAnsi="Times New Roman"/>
                <w:b/>
                <w:i w:val="0"/>
                <w:color w:val="FFFFFF"/>
                <w:sz w:val="18"/>
              </w:rPr>
              <w:t>t(α)</w:t>
            </w:r>
          </w:p>
        </w:tc>
        <w:tc>
          <w:tcPr>
            <w:tcW w:type="dxa" w:w="1417"/>
            <w:shd w:val="clear" w:color="auto" w:fill="264653"/>
          </w:tcPr>
          <w:p>
            <w:r/>
            <w:r>
              <w:rPr>
                <w:rFonts w:ascii="Times New Roman" w:hAnsi="Times New Roman"/>
                <w:b/>
                <w:i w:val="0"/>
                <w:color w:val="FFFFFF"/>
                <w:sz w:val="18"/>
              </w:rPr>
              <w:t>p(α)</w:t>
            </w:r>
          </w:p>
        </w:tc>
        <w:tc>
          <w:tcPr>
            <w:tcW w:type="dxa" w:w="1134"/>
            <w:shd w:val="clear" w:color="auto" w:fill="264653"/>
          </w:tcPr>
          <w:p>
            <w:r/>
            <w:r>
              <w:rPr>
                <w:rFonts w:ascii="Times New Roman" w:hAnsi="Times New Roman"/>
                <w:b/>
                <w:i w:val="0"/>
                <w:color w:val="FFFFFF"/>
                <w:sz w:val="18"/>
              </w:rPr>
              <w:t>β(Mkt)</w:t>
            </w:r>
          </w:p>
        </w:tc>
        <w:tc>
          <w:tcPr>
            <w:tcW w:type="dxa" w:w="1134"/>
            <w:shd w:val="clear" w:color="auto" w:fill="264653"/>
          </w:tcPr>
          <w:p>
            <w:r/>
            <w:r>
              <w:rPr>
                <w:rFonts w:ascii="Times New Roman" w:hAnsi="Times New Roman"/>
                <w:b/>
                <w:i w:val="0"/>
                <w:color w:val="FFFFFF"/>
                <w:sz w:val="18"/>
              </w:rPr>
              <w:t>Adj. R²</w:t>
            </w:r>
          </w:p>
        </w:tc>
        <w:tc>
          <w:tcPr>
            <w:tcW w:type="dxa" w:w="850"/>
            <w:shd w:val="clear" w:color="auto" w:fill="264653"/>
          </w:tcPr>
          <w:p>
            <w:r/>
            <w:r>
              <w:rPr>
                <w:rFonts w:ascii="Times New Roman" w:hAnsi="Times New Roman"/>
                <w:b/>
                <w:i w:val="0"/>
                <w:color w:val="FFFFFF"/>
                <w:sz w:val="18"/>
              </w:rPr>
              <w:t>N</w:t>
            </w:r>
          </w:p>
        </w:tc>
      </w:tr>
      <w:tr>
        <w:tc>
          <w:tcPr>
            <w:tcW w:type="dxa" w:w="1417"/>
            <w:shd w:val="clear" w:color="auto" w:fill="E8F4F8"/>
          </w:tcPr>
          <w:p>
            <w:pPr>
              <w:jc w:val="left"/>
            </w:pPr>
            <w:r/>
            <w:r>
              <w:rPr>
                <w:rFonts w:ascii="Times New Roman" w:hAnsi="Times New Roman"/>
                <w:b w:val="0"/>
                <w:i w:val="0"/>
                <w:sz w:val="18"/>
              </w:rPr>
              <w:t>CAPM</w:t>
            </w:r>
          </w:p>
        </w:tc>
        <w:tc>
          <w:tcPr>
            <w:tcW w:type="dxa" w:w="1417"/>
            <w:shd w:val="clear" w:color="auto" w:fill="E8F4F8"/>
          </w:tcPr>
          <w:p>
            <w:pPr>
              <w:jc w:val="center"/>
            </w:pPr>
            <w:r/>
            <w:r>
              <w:rPr>
                <w:rFonts w:ascii="Times New Roman" w:hAnsi="Times New Roman"/>
                <w:b w:val="0"/>
                <w:i w:val="0"/>
                <w:sz w:val="18"/>
              </w:rPr>
              <w:t>+41.9%</w:t>
            </w:r>
          </w:p>
        </w:tc>
        <w:tc>
          <w:tcPr>
            <w:tcW w:type="dxa" w:w="1020"/>
            <w:shd w:val="clear" w:color="auto" w:fill="E8F4F8"/>
          </w:tcPr>
          <w:p>
            <w:pPr>
              <w:jc w:val="center"/>
            </w:pPr>
            <w:r/>
            <w:r>
              <w:rPr>
                <w:rFonts w:ascii="Times New Roman" w:hAnsi="Times New Roman"/>
                <w:b w:val="0"/>
                <w:i w:val="0"/>
                <w:sz w:val="18"/>
              </w:rPr>
              <w:t>2.82</w:t>
            </w:r>
          </w:p>
        </w:tc>
        <w:tc>
          <w:tcPr>
            <w:tcW w:type="dxa" w:w="1417"/>
            <w:shd w:val="clear" w:color="auto" w:fill="E8F4F8"/>
          </w:tcPr>
          <w:p>
            <w:pPr>
              <w:jc w:val="center"/>
            </w:pPr>
            <w:r/>
            <w:r>
              <w:rPr>
                <w:rFonts w:ascii="Times New Roman" w:hAnsi="Times New Roman"/>
                <w:b w:val="0"/>
                <w:i w:val="0"/>
                <w:sz w:val="18"/>
              </w:rPr>
              <w:t>0.005**</w:t>
            </w:r>
          </w:p>
        </w:tc>
        <w:tc>
          <w:tcPr>
            <w:tcW w:type="dxa" w:w="1134"/>
            <w:shd w:val="clear" w:color="auto" w:fill="E8F4F8"/>
          </w:tcPr>
          <w:p>
            <w:pPr>
              <w:jc w:val="center"/>
            </w:pPr>
            <w:r/>
            <w:r>
              <w:rPr>
                <w:rFonts w:ascii="Times New Roman" w:hAnsi="Times New Roman"/>
                <w:b w:val="0"/>
                <w:i w:val="0"/>
                <w:sz w:val="18"/>
              </w:rPr>
              <w:t>0.074</w:t>
            </w:r>
          </w:p>
        </w:tc>
        <w:tc>
          <w:tcPr>
            <w:tcW w:type="dxa" w:w="1134"/>
            <w:shd w:val="clear" w:color="auto" w:fill="E8F4F8"/>
          </w:tcPr>
          <w:p>
            <w:pPr>
              <w:jc w:val="center"/>
            </w:pPr>
            <w:r/>
            <w:r>
              <w:rPr>
                <w:rFonts w:ascii="Times New Roman" w:hAnsi="Times New Roman"/>
                <w:b w:val="0"/>
                <w:i w:val="0"/>
                <w:sz w:val="18"/>
              </w:rPr>
              <w:t>0.001</w:t>
            </w:r>
          </w:p>
        </w:tc>
        <w:tc>
          <w:tcPr>
            <w:tcW w:type="dxa" w:w="850"/>
            <w:shd w:val="clear" w:color="auto" w:fill="E8F4F8"/>
          </w:tcPr>
          <w:p>
            <w:pPr>
              <w:jc w:val="center"/>
            </w:pPr>
            <w:r/>
            <w:r>
              <w:rPr>
                <w:rFonts w:ascii="Times New Roman" w:hAnsi="Times New Roman"/>
                <w:b w:val="0"/>
                <w:i w:val="0"/>
                <w:sz w:val="18"/>
              </w:rPr>
              <w:t>1,512</w:t>
            </w:r>
          </w:p>
        </w:tc>
      </w:tr>
      <w:tr>
        <w:tc>
          <w:tcPr>
            <w:tcW w:type="dxa" w:w="1417"/>
          </w:tcPr>
          <w:p>
            <w:pPr>
              <w:jc w:val="left"/>
            </w:pPr>
            <w:r/>
            <w:r>
              <w:rPr>
                <w:rFonts w:ascii="Times New Roman" w:hAnsi="Times New Roman"/>
                <w:b w:val="0"/>
                <w:i w:val="0"/>
                <w:sz w:val="18"/>
              </w:rPr>
              <w:t>FF3</w:t>
            </w:r>
          </w:p>
        </w:tc>
        <w:tc>
          <w:tcPr>
            <w:tcW w:type="dxa" w:w="1417"/>
          </w:tcPr>
          <w:p>
            <w:pPr>
              <w:jc w:val="center"/>
            </w:pPr>
            <w:r/>
            <w:r>
              <w:rPr>
                <w:rFonts w:ascii="Times New Roman" w:hAnsi="Times New Roman"/>
                <w:b w:val="0"/>
                <w:i w:val="0"/>
                <w:sz w:val="18"/>
              </w:rPr>
              <w:t>+41.9%</w:t>
            </w:r>
          </w:p>
        </w:tc>
        <w:tc>
          <w:tcPr>
            <w:tcW w:type="dxa" w:w="1020"/>
          </w:tcPr>
          <w:p>
            <w:pPr>
              <w:jc w:val="center"/>
            </w:pPr>
            <w:r/>
            <w:r>
              <w:rPr>
                <w:rFonts w:ascii="Times New Roman" w:hAnsi="Times New Roman"/>
                <w:b w:val="0"/>
                <w:i w:val="0"/>
                <w:sz w:val="18"/>
              </w:rPr>
              <w:t>2.80</w:t>
            </w:r>
          </w:p>
        </w:tc>
        <w:tc>
          <w:tcPr>
            <w:tcW w:type="dxa" w:w="1417"/>
          </w:tcPr>
          <w:p>
            <w:pPr>
              <w:jc w:val="center"/>
            </w:pPr>
            <w:r/>
            <w:r>
              <w:rPr>
                <w:rFonts w:ascii="Times New Roman" w:hAnsi="Times New Roman"/>
                <w:b w:val="0"/>
                <w:i w:val="0"/>
                <w:sz w:val="18"/>
              </w:rPr>
              <w:t>0.005**</w:t>
            </w:r>
          </w:p>
        </w:tc>
        <w:tc>
          <w:tcPr>
            <w:tcW w:type="dxa" w:w="1134"/>
          </w:tcPr>
          <w:p>
            <w:pPr>
              <w:jc w:val="center"/>
            </w:pPr>
            <w:r/>
            <w:r>
              <w:rPr>
                <w:rFonts w:ascii="Times New Roman" w:hAnsi="Times New Roman"/>
                <w:b w:val="0"/>
                <w:i w:val="0"/>
                <w:sz w:val="18"/>
              </w:rPr>
              <w:t>0.078</w:t>
            </w:r>
          </w:p>
        </w:tc>
        <w:tc>
          <w:tcPr>
            <w:tcW w:type="dxa" w:w="1134"/>
          </w:tcPr>
          <w:p>
            <w:pPr>
              <w:jc w:val="center"/>
            </w:pPr>
            <w:r/>
            <w:r>
              <w:rPr>
                <w:rFonts w:ascii="Times New Roman" w:hAnsi="Times New Roman"/>
                <w:b w:val="0"/>
                <w:i w:val="0"/>
                <w:sz w:val="18"/>
              </w:rPr>
              <w:t>0.000</w:t>
            </w:r>
          </w:p>
        </w:tc>
        <w:tc>
          <w:tcPr>
            <w:tcW w:type="dxa" w:w="850"/>
          </w:tcPr>
          <w:p>
            <w:pPr>
              <w:jc w:val="center"/>
            </w:pPr>
            <w:r/>
            <w:r>
              <w:rPr>
                <w:rFonts w:ascii="Times New Roman" w:hAnsi="Times New Roman"/>
                <w:b w:val="0"/>
                <w:i w:val="0"/>
                <w:sz w:val="18"/>
              </w:rPr>
              <w:t>1,512</w:t>
            </w:r>
          </w:p>
        </w:tc>
      </w:tr>
      <w:tr>
        <w:tc>
          <w:tcPr>
            <w:tcW w:type="dxa" w:w="1417"/>
            <w:shd w:val="clear" w:color="auto" w:fill="E8F4F8"/>
          </w:tcPr>
          <w:p>
            <w:pPr>
              <w:jc w:val="left"/>
            </w:pPr>
            <w:r/>
            <w:r>
              <w:rPr>
                <w:rFonts w:ascii="Times New Roman" w:hAnsi="Times New Roman"/>
                <w:b w:val="0"/>
                <w:i w:val="0"/>
                <w:sz w:val="18"/>
              </w:rPr>
              <w:t>FF5</w:t>
            </w:r>
          </w:p>
        </w:tc>
        <w:tc>
          <w:tcPr>
            <w:tcW w:type="dxa" w:w="1417"/>
            <w:shd w:val="clear" w:color="auto" w:fill="E8F4F8"/>
          </w:tcPr>
          <w:p>
            <w:pPr>
              <w:jc w:val="center"/>
            </w:pPr>
            <w:r/>
            <w:r>
              <w:rPr>
                <w:rFonts w:ascii="Times New Roman" w:hAnsi="Times New Roman"/>
                <w:b w:val="0"/>
                <w:i w:val="0"/>
                <w:sz w:val="18"/>
              </w:rPr>
              <w:t>+43.3%</w:t>
            </w:r>
          </w:p>
        </w:tc>
        <w:tc>
          <w:tcPr>
            <w:tcW w:type="dxa" w:w="1020"/>
            <w:shd w:val="clear" w:color="auto" w:fill="E8F4F8"/>
          </w:tcPr>
          <w:p>
            <w:pPr>
              <w:jc w:val="center"/>
            </w:pPr>
            <w:r/>
            <w:r>
              <w:rPr>
                <w:rFonts w:ascii="Times New Roman" w:hAnsi="Times New Roman"/>
                <w:b w:val="0"/>
                <w:i w:val="0"/>
                <w:sz w:val="18"/>
              </w:rPr>
              <w:t>2.86</w:t>
            </w:r>
          </w:p>
        </w:tc>
        <w:tc>
          <w:tcPr>
            <w:tcW w:type="dxa" w:w="1417"/>
            <w:shd w:val="clear" w:color="auto" w:fill="E8F4F8"/>
          </w:tcPr>
          <w:p>
            <w:pPr>
              <w:jc w:val="center"/>
            </w:pPr>
            <w:r/>
            <w:r>
              <w:rPr>
                <w:rFonts w:ascii="Times New Roman" w:hAnsi="Times New Roman"/>
                <w:b w:val="0"/>
                <w:i w:val="0"/>
                <w:sz w:val="18"/>
              </w:rPr>
              <w:t>0.004**</w:t>
            </w:r>
          </w:p>
        </w:tc>
        <w:tc>
          <w:tcPr>
            <w:tcW w:type="dxa" w:w="1134"/>
            <w:shd w:val="clear" w:color="auto" w:fill="E8F4F8"/>
          </w:tcPr>
          <w:p>
            <w:pPr>
              <w:jc w:val="center"/>
            </w:pPr>
            <w:r/>
            <w:r>
              <w:rPr>
                <w:rFonts w:ascii="Times New Roman" w:hAnsi="Times New Roman"/>
                <w:b w:val="0"/>
                <w:i w:val="0"/>
                <w:sz w:val="18"/>
              </w:rPr>
              <w:t>0.043</w:t>
            </w:r>
          </w:p>
        </w:tc>
        <w:tc>
          <w:tcPr>
            <w:tcW w:type="dxa" w:w="1134"/>
            <w:shd w:val="clear" w:color="auto" w:fill="E8F4F8"/>
          </w:tcPr>
          <w:p>
            <w:pPr>
              <w:jc w:val="center"/>
            </w:pPr>
            <w:r/>
            <w:r>
              <w:rPr>
                <w:rFonts w:ascii="Times New Roman" w:hAnsi="Times New Roman"/>
                <w:b w:val="0"/>
                <w:i w:val="0"/>
                <w:sz w:val="18"/>
              </w:rPr>
              <w:t>0.002</w:t>
            </w:r>
          </w:p>
        </w:tc>
        <w:tc>
          <w:tcPr>
            <w:tcW w:type="dxa" w:w="850"/>
            <w:shd w:val="clear" w:color="auto" w:fill="E8F4F8"/>
          </w:tcPr>
          <w:p>
            <w:pPr>
              <w:jc w:val="center"/>
            </w:pPr>
            <w:r/>
            <w:r>
              <w:rPr>
                <w:rFonts w:ascii="Times New Roman" w:hAnsi="Times New Roman"/>
                <w:b w:val="0"/>
                <w:i w:val="0"/>
                <w:sz w:val="18"/>
              </w:rPr>
              <w:t>1,512</w:t>
            </w:r>
          </w:p>
        </w:tc>
      </w:tr>
      <w:tr>
        <w:tc>
          <w:tcPr>
            <w:tcW w:type="dxa" w:w="1417"/>
          </w:tcPr>
          <w:p>
            <w:pPr>
              <w:jc w:val="left"/>
            </w:pPr>
            <w:r/>
            <w:r>
              <w:rPr>
                <w:rFonts w:ascii="Times New Roman" w:hAnsi="Times New Roman"/>
                <w:b w:val="0"/>
                <w:i w:val="0"/>
                <w:sz w:val="18"/>
              </w:rPr>
              <w:t>FF5+MOM</w:t>
            </w:r>
          </w:p>
        </w:tc>
        <w:tc>
          <w:tcPr>
            <w:tcW w:type="dxa" w:w="1417"/>
          </w:tcPr>
          <w:p>
            <w:pPr>
              <w:jc w:val="center"/>
            </w:pPr>
            <w:r/>
            <w:r>
              <w:rPr>
                <w:rFonts w:ascii="Times New Roman" w:hAnsi="Times New Roman"/>
                <w:b w:val="0"/>
                <w:i w:val="0"/>
                <w:sz w:val="18"/>
              </w:rPr>
              <w:t>+43.3%</w:t>
            </w:r>
          </w:p>
        </w:tc>
        <w:tc>
          <w:tcPr>
            <w:tcW w:type="dxa" w:w="1020"/>
          </w:tcPr>
          <w:p>
            <w:pPr>
              <w:jc w:val="center"/>
            </w:pPr>
            <w:r/>
            <w:r>
              <w:rPr>
                <w:rFonts w:ascii="Times New Roman" w:hAnsi="Times New Roman"/>
                <w:b w:val="0"/>
                <w:i w:val="0"/>
                <w:sz w:val="18"/>
              </w:rPr>
              <w:t>2.86</w:t>
            </w:r>
          </w:p>
        </w:tc>
        <w:tc>
          <w:tcPr>
            <w:tcW w:type="dxa" w:w="1417"/>
          </w:tcPr>
          <w:p>
            <w:pPr>
              <w:jc w:val="center"/>
            </w:pPr>
            <w:r/>
            <w:r>
              <w:rPr>
                <w:rFonts w:ascii="Times New Roman" w:hAnsi="Times New Roman"/>
                <w:b w:val="0"/>
                <w:i w:val="0"/>
                <w:sz w:val="18"/>
              </w:rPr>
              <w:t>0.004**</w:t>
            </w:r>
          </w:p>
        </w:tc>
        <w:tc>
          <w:tcPr>
            <w:tcW w:type="dxa" w:w="1134"/>
          </w:tcPr>
          <w:p>
            <w:pPr>
              <w:jc w:val="center"/>
            </w:pPr>
            <w:r/>
            <w:r>
              <w:rPr>
                <w:rFonts w:ascii="Times New Roman" w:hAnsi="Times New Roman"/>
                <w:b w:val="0"/>
                <w:i w:val="0"/>
                <w:sz w:val="18"/>
              </w:rPr>
              <w:t>0.041</w:t>
            </w:r>
          </w:p>
        </w:tc>
        <w:tc>
          <w:tcPr>
            <w:tcW w:type="dxa" w:w="1134"/>
          </w:tcPr>
          <w:p>
            <w:pPr>
              <w:jc w:val="center"/>
            </w:pPr>
            <w:r/>
            <w:r>
              <w:rPr>
                <w:rFonts w:ascii="Times New Roman" w:hAnsi="Times New Roman"/>
                <w:b w:val="0"/>
                <w:i w:val="0"/>
                <w:sz w:val="18"/>
              </w:rPr>
              <w:t>0.002</w:t>
            </w:r>
          </w:p>
        </w:tc>
        <w:tc>
          <w:tcPr>
            <w:tcW w:type="dxa" w:w="850"/>
          </w:tcPr>
          <w:p>
            <w:pPr>
              <w:jc w:val="center"/>
            </w:pPr>
            <w:r/>
            <w:r>
              <w:rPr>
                <w:rFonts w:ascii="Times New Roman" w:hAnsi="Times New Roman"/>
                <w:b w:val="0"/>
                <w:i w:val="0"/>
                <w:sz w:val="18"/>
              </w:rPr>
              <w:t>1,512</w:t>
            </w:r>
          </w:p>
        </w:tc>
      </w:tr>
    </w:tbl>
    <w:p>
      <w:pPr>
        <w:spacing w:before="80" w:after="200"/>
        <w:jc w:val="center"/>
      </w:pPr>
      <w:r>
        <w:rPr>
          <w:rFonts w:ascii="Times New Roman" w:hAnsi="Times New Roman"/>
          <w:b/>
          <w:i w:val="0"/>
          <w:sz w:val="19"/>
        </w:rPr>
        <w:t>Table 7.</w:t>
      </w:r>
      <w:r>
        <w:rPr>
          <w:rFonts w:ascii="Times New Roman" w:hAnsi="Times New Roman"/>
          <w:b w:val="0"/>
          <w:i w:val="0"/>
          <w:sz w:val="19"/>
        </w:rPr>
        <w:t xml:space="preserve"> Fama-French factor regressions of the 30-stock NASDAQ equal-weight portfolio daily excess returns. ** = p &lt; 0.01. The positive alpha reflects tech-sector concentration, not ML signal quality.</w:t>
      </w:r>
    </w:p>
    <w:p>
      <w:pPr>
        <w:jc w:val="center"/>
      </w:pPr>
      <w:r>
        <w:drawing>
          <wp:inline xmlns:a="http://schemas.openxmlformats.org/drawingml/2006/main" xmlns:pic="http://schemas.openxmlformats.org/drawingml/2006/picture">
            <wp:extent cx="5303520" cy="2086015"/>
            <wp:docPr id="7" name="Picture 7"/>
            <wp:cNvGraphicFramePr>
              <a:graphicFrameLocks noChangeAspect="1"/>
            </wp:cNvGraphicFramePr>
            <a:graphic>
              <a:graphicData uri="http://schemas.openxmlformats.org/drawingml/2006/picture">
                <pic:pic>
                  <pic:nvPicPr>
                    <pic:cNvPr id="0" name="fig07_ff_alpha.png"/>
                    <pic:cNvPicPr/>
                  </pic:nvPicPr>
                  <pic:blipFill>
                    <a:blip r:embed="rId15"/>
                    <a:stretch>
                      <a:fillRect/>
                    </a:stretch>
                  </pic:blipFill>
                  <pic:spPr>
                    <a:xfrm>
                      <a:off x="0" y="0"/>
                      <a:ext cx="5303520" cy="2086015"/>
                    </a:xfrm>
                    <a:prstGeom prst="rect"/>
                  </pic:spPr>
                </pic:pic>
              </a:graphicData>
            </a:graphic>
          </wp:inline>
        </w:drawing>
      </w:r>
    </w:p>
    <w:p>
      <w:pPr>
        <w:spacing w:before="80" w:after="200"/>
        <w:jc w:val="center"/>
      </w:pPr>
      <w:r>
        <w:rPr>
          <w:rFonts w:ascii="Times New Roman" w:hAnsi="Times New Roman"/>
          <w:b/>
          <w:i w:val="0"/>
          <w:sz w:val="19"/>
        </w:rPr>
        <w:t>Figure 7.</w:t>
      </w:r>
      <w:r>
        <w:rPr>
          <w:rFonts w:ascii="Times New Roman" w:hAnsi="Times New Roman"/>
          <w:b w:val="0"/>
          <w:i w:val="0"/>
          <w:sz w:val="19"/>
        </w:rPr>
        <w:t>. Factor regression alpha and t-statistics across CAPM, FF3, FF5, and FF5+MOM specifications. The concentrated NASDAQ-100 portfolio earns significant alpha through sector exposure, not through ML-derived conviction ranking.</w:t>
      </w:r>
    </w:p>
    <w:p>
      <w:pPr>
        <w:keepNext/>
        <w:spacing w:before="280" w:after="80"/>
      </w:pPr>
      <w:r>
        <w:rPr>
          <w:rFonts w:ascii="Times New Roman" w:hAnsi="Times New Roman"/>
          <w:b/>
          <w:i w:val="0"/>
          <w:color w:val="264653"/>
          <w:sz w:val="26"/>
        </w:rPr>
        <w:t>6. Robustness Analysis</w:t>
      </w:r>
    </w:p>
    <w:p>
      <w:pPr>
        <w:spacing w:before="0" w:after="160" w:line="360" w:lineRule="auto"/>
        <w:ind w:firstLine="0"/>
      </w:pPr>
      <w:r>
        <w:rPr>
          <w:rFonts w:ascii="Times New Roman" w:hAnsi="Times New Roman"/>
          <w:b w:val="0"/>
          <w:i w:val="0"/>
          <w:sz w:val="22"/>
        </w:rPr>
        <w:t>We report five robustness checks, each targeting a distinct potential criticism of the null result. All five confirm that the gate-closed outcome is not an artifact of the primary design choice.</w:t>
      </w:r>
    </w:p>
    <w:p>
      <w:pPr>
        <w:keepNext/>
        <w:spacing w:before="280" w:after="80"/>
      </w:pPr>
      <w:r>
        <w:rPr>
          <w:rFonts w:ascii="Times New Roman" w:hAnsi="Times New Roman"/>
          <w:b/>
          <w:i w:val="0"/>
          <w:color w:val="2A9D8F"/>
          <w:sz w:val="23"/>
        </w:rPr>
        <w:t>6.1 Expanded Universe (N=100)</w:t>
      </w:r>
    </w:p>
    <w:p>
      <w:pPr>
        <w:spacing w:before="0" w:after="160" w:line="360" w:lineRule="auto"/>
        <w:ind w:firstLine="0"/>
      </w:pPr>
      <w:r>
        <w:rPr>
          <w:rFonts w:ascii="Times New Roman" w:hAnsi="Times New Roman"/>
          <w:b w:val="0"/>
          <w:i w:val="0"/>
          <w:sz w:val="22"/>
        </w:rPr>
        <w:t>The most common critique of cross-sectional prediction studies using narrow universes is that results may be specific to the chosen stocks. We expand the universe to approximately 100 NASDAQ-100 candidates, applying the same survivorship-bias control (minimum 1,800 trading days of history), and run the full 12-fold IC-gated pipeline. Table 8 and Figure 10 compare IC statistics across universes.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2551"/>
            <w:shd w:val="clear" w:color="auto" w:fill="264653"/>
          </w:tcPr>
          <w:p>
            <w:r/>
            <w:r>
              <w:rPr>
                <w:rFonts w:ascii="Times New Roman" w:hAnsi="Times New Roman"/>
                <w:b/>
                <w:i w:val="0"/>
                <w:color w:val="FFFFFF"/>
                <w:sz w:val="19"/>
              </w:rPr>
              <w:t>Universe</w:t>
            </w:r>
          </w:p>
        </w:tc>
        <w:tc>
          <w:tcPr>
            <w:tcW w:type="dxa" w:w="1417"/>
            <w:shd w:val="clear" w:color="auto" w:fill="264653"/>
          </w:tcPr>
          <w:p>
            <w:r/>
            <w:r>
              <w:rPr>
                <w:rFonts w:ascii="Times New Roman" w:hAnsi="Times New Roman"/>
                <w:b/>
                <w:i w:val="0"/>
                <w:color w:val="FFFFFF"/>
                <w:sz w:val="19"/>
              </w:rPr>
              <w:t>Mean IC</w:t>
            </w:r>
          </w:p>
        </w:tc>
        <w:tc>
          <w:tcPr>
            <w:tcW w:type="dxa" w:w="1417"/>
            <w:shd w:val="clear" w:color="auto" w:fill="264653"/>
          </w:tcPr>
          <w:p>
            <w:r/>
            <w:r>
              <w:rPr>
                <w:rFonts w:ascii="Times New Roman" w:hAnsi="Times New Roman"/>
                <w:b/>
                <w:i w:val="0"/>
                <w:color w:val="FFFFFF"/>
                <w:sz w:val="19"/>
              </w:rPr>
              <w:t>ICIR</w:t>
            </w:r>
          </w:p>
        </w:tc>
        <w:tc>
          <w:tcPr>
            <w:tcW w:type="dxa" w:w="1417"/>
            <w:shd w:val="clear" w:color="auto" w:fill="264653"/>
          </w:tcPr>
          <w:p>
            <w:r/>
            <w:r>
              <w:rPr>
                <w:rFonts w:ascii="Times New Roman" w:hAnsi="Times New Roman"/>
                <w:b/>
                <w:i w:val="0"/>
                <w:color w:val="FFFFFF"/>
                <w:sz w:val="19"/>
              </w:rPr>
              <w:t>t-stat</w:t>
            </w:r>
          </w:p>
        </w:tc>
        <w:tc>
          <w:tcPr>
            <w:tcW w:type="dxa" w:w="1417"/>
            <w:shd w:val="clear" w:color="auto" w:fill="264653"/>
          </w:tcPr>
          <w:p>
            <w:r/>
            <w:r>
              <w:rPr>
                <w:rFonts w:ascii="Times New Roman" w:hAnsi="Times New Roman"/>
                <w:b/>
                <w:i w:val="0"/>
                <w:color w:val="FFFFFF"/>
                <w:sz w:val="19"/>
              </w:rPr>
              <w:t>p-value</w:t>
            </w:r>
          </w:p>
        </w:tc>
        <w:tc>
          <w:tcPr>
            <w:tcW w:type="dxa" w:w="1417"/>
            <w:shd w:val="clear" w:color="auto" w:fill="264653"/>
          </w:tcPr>
          <w:p>
            <w:r/>
            <w:r>
              <w:rPr>
                <w:rFonts w:ascii="Times New Roman" w:hAnsi="Times New Roman"/>
                <w:b/>
                <w:i w:val="0"/>
                <w:color w:val="FFFFFF"/>
                <w:sz w:val="19"/>
              </w:rPr>
              <w:t>Gate</w:t>
            </w:r>
          </w:p>
        </w:tc>
      </w:tr>
      <w:tr>
        <w:tc>
          <w:tcPr>
            <w:tcW w:type="dxa" w:w="2551"/>
            <w:shd w:val="clear" w:color="auto" w:fill="E8F4F8"/>
          </w:tcPr>
          <w:p>
            <w:pPr>
              <w:jc w:val="left"/>
            </w:pPr>
            <w:r/>
            <w:r>
              <w:rPr>
                <w:rFonts w:ascii="Times New Roman" w:hAnsi="Times New Roman"/>
                <w:b w:val="0"/>
                <w:i w:val="0"/>
                <w:sz w:val="19"/>
              </w:rPr>
              <w:t>N=30 (Paper)</w:t>
            </w:r>
          </w:p>
        </w:tc>
        <w:tc>
          <w:tcPr>
            <w:tcW w:type="dxa" w:w="1417"/>
            <w:shd w:val="clear" w:color="auto" w:fill="E8F4F8"/>
          </w:tcPr>
          <w:p>
            <w:pPr>
              <w:jc w:val="center"/>
            </w:pPr>
            <w:r/>
            <w:r>
              <w:rPr>
                <w:rFonts w:ascii="Times New Roman" w:hAnsi="Times New Roman"/>
                <w:b w:val="0"/>
                <w:i w:val="0"/>
                <w:sz w:val="19"/>
              </w:rPr>
              <w:t>−0.0005</w:t>
            </w:r>
          </w:p>
        </w:tc>
        <w:tc>
          <w:tcPr>
            <w:tcW w:type="dxa" w:w="1417"/>
            <w:shd w:val="clear" w:color="auto" w:fill="E8F4F8"/>
          </w:tcPr>
          <w:p>
            <w:pPr>
              <w:jc w:val="center"/>
            </w:pPr>
            <w:r/>
            <w:r>
              <w:rPr>
                <w:rFonts w:ascii="Times New Roman" w:hAnsi="Times New Roman"/>
                <w:b w:val="0"/>
                <w:i w:val="0"/>
                <w:sz w:val="19"/>
              </w:rPr>
              <w:t>−0.0023</w:t>
            </w:r>
          </w:p>
        </w:tc>
        <w:tc>
          <w:tcPr>
            <w:tcW w:type="dxa" w:w="1417"/>
            <w:shd w:val="clear" w:color="auto" w:fill="E8F4F8"/>
          </w:tcPr>
          <w:p>
            <w:pPr>
              <w:jc w:val="center"/>
            </w:pPr>
            <w:r/>
            <w:r>
              <w:rPr>
                <w:rFonts w:ascii="Times New Roman" w:hAnsi="Times New Roman"/>
                <w:b w:val="0"/>
                <w:i w:val="0"/>
                <w:sz w:val="19"/>
              </w:rPr>
              <w:t>−0.090</w:t>
            </w:r>
          </w:p>
        </w:tc>
        <w:tc>
          <w:tcPr>
            <w:tcW w:type="dxa" w:w="1417"/>
            <w:shd w:val="clear" w:color="auto" w:fill="E8F4F8"/>
          </w:tcPr>
          <w:p>
            <w:pPr>
              <w:jc w:val="center"/>
            </w:pPr>
            <w:r/>
            <w:r>
              <w:rPr>
                <w:rFonts w:ascii="Times New Roman" w:hAnsi="Times New Roman"/>
                <w:b w:val="0"/>
                <w:i w:val="0"/>
                <w:sz w:val="19"/>
              </w:rPr>
              <w:t>0.464</w:t>
            </w:r>
          </w:p>
        </w:tc>
        <w:tc>
          <w:tcPr>
            <w:tcW w:type="dxa" w:w="1417"/>
            <w:shd w:val="clear" w:color="auto" w:fill="E8F4F8"/>
          </w:tcPr>
          <w:p>
            <w:pPr>
              <w:jc w:val="center"/>
            </w:pPr>
            <w:r/>
            <w:r>
              <w:rPr>
                <w:rFonts w:ascii="Times New Roman" w:hAnsi="Times New Roman"/>
                <w:b w:val="0"/>
                <w:i w:val="0"/>
                <w:sz w:val="19"/>
              </w:rPr>
              <w:t>CLOSED</w:t>
            </w:r>
          </w:p>
        </w:tc>
      </w:tr>
      <w:tr>
        <w:tc>
          <w:tcPr>
            <w:tcW w:type="dxa" w:w="2551"/>
          </w:tcPr>
          <w:p>
            <w:pPr>
              <w:jc w:val="left"/>
            </w:pPr>
            <w:r/>
            <w:r>
              <w:rPr>
                <w:rFonts w:ascii="Times New Roman" w:hAnsi="Times New Roman"/>
                <w:b w:val="0"/>
                <w:i w:val="0"/>
                <w:sz w:val="19"/>
              </w:rPr>
              <w:t>N=100 (Robustness)</w:t>
            </w:r>
          </w:p>
        </w:tc>
        <w:tc>
          <w:tcPr>
            <w:tcW w:type="dxa" w:w="1417"/>
          </w:tcPr>
          <w:p>
            <w:pPr>
              <w:jc w:val="center"/>
            </w:pPr>
            <w:r/>
            <w:r>
              <w:rPr>
                <w:rFonts w:ascii="Times New Roman" w:hAnsi="Times New Roman"/>
                <w:b w:val="0"/>
                <w:i w:val="0"/>
                <w:sz w:val="19"/>
              </w:rPr>
              <w:t>−0.0062</w:t>
            </w:r>
          </w:p>
        </w:tc>
        <w:tc>
          <w:tcPr>
            <w:tcW w:type="dxa" w:w="1417"/>
          </w:tcPr>
          <w:p>
            <w:pPr>
              <w:jc w:val="center"/>
            </w:pPr>
            <w:r/>
            <w:r>
              <w:rPr>
                <w:rFonts w:ascii="Times New Roman" w:hAnsi="Times New Roman"/>
                <w:b w:val="0"/>
                <w:i w:val="0"/>
                <w:sz w:val="19"/>
              </w:rPr>
              <w:t>−0.0404</w:t>
            </w:r>
          </w:p>
        </w:tc>
        <w:tc>
          <w:tcPr>
            <w:tcW w:type="dxa" w:w="1417"/>
          </w:tcPr>
          <w:p>
            <w:pPr>
              <w:jc w:val="center"/>
            </w:pPr>
            <w:r/>
            <w:r>
              <w:rPr>
                <w:rFonts w:ascii="Times New Roman" w:hAnsi="Times New Roman"/>
                <w:b w:val="0"/>
                <w:i w:val="0"/>
                <w:sz w:val="19"/>
              </w:rPr>
              <w:t>−1.623</w:t>
            </w:r>
          </w:p>
        </w:tc>
        <w:tc>
          <w:tcPr>
            <w:tcW w:type="dxa" w:w="1417"/>
          </w:tcPr>
          <w:p>
            <w:pPr>
              <w:jc w:val="center"/>
            </w:pPr>
            <w:r/>
            <w:r>
              <w:rPr>
                <w:rFonts w:ascii="Times New Roman" w:hAnsi="Times New Roman"/>
                <w:b w:val="0"/>
                <w:i w:val="0"/>
                <w:sz w:val="19"/>
              </w:rPr>
              <w:t>0.948</w:t>
            </w:r>
          </w:p>
        </w:tc>
        <w:tc>
          <w:tcPr>
            <w:tcW w:type="dxa" w:w="1417"/>
          </w:tcPr>
          <w:p>
            <w:pPr>
              <w:jc w:val="center"/>
            </w:pPr>
            <w:r/>
            <w:r>
              <w:rPr>
                <w:rFonts w:ascii="Times New Roman" w:hAnsi="Times New Roman"/>
                <w:b w:val="0"/>
                <w:i w:val="0"/>
                <w:sz w:val="19"/>
              </w:rPr>
              <w:t>CLOSED</w:t>
            </w:r>
          </w:p>
        </w:tc>
      </w:tr>
    </w:tbl>
    <w:p>
      <w:pPr>
        <w:spacing w:before="80" w:after="200"/>
        <w:jc w:val="center"/>
      </w:pPr>
      <w:r>
        <w:rPr>
          <w:rFonts w:ascii="Times New Roman" w:hAnsi="Times New Roman"/>
          <w:b/>
          <w:i w:val="0"/>
          <w:sz w:val="19"/>
        </w:rPr>
        <w:t>Table 8.</w:t>
      </w:r>
      <w:r>
        <w:rPr>
          <w:rFonts w:ascii="Times New Roman" w:hAnsi="Times New Roman"/>
          <w:b w:val="0"/>
          <w:i w:val="0"/>
          <w:sz w:val="19"/>
        </w:rPr>
        <w:t xml:space="preserve"> IC comparison: 30-stock paper universe versus 100-stock expanded universe. Both produce near-zero IC with the gate closed.</w:t>
      </w:r>
    </w:p>
    <w:p>
      <w:pPr>
        <w:spacing w:before="0" w:after="160" w:line="360" w:lineRule="auto"/>
        <w:ind w:firstLine="0"/>
      </w:pPr>
      <w:r>
        <w:rPr>
          <w:rFonts w:ascii="Times New Roman" w:hAnsi="Times New Roman"/>
          <w:b w:val="0"/>
          <w:i w:val="0"/>
          <w:sz w:val="22"/>
        </w:rPr>
        <w:t>The expanded universe produces mean IC of −0.0062 with t = −1.62 and p = 0.948. The IC gate stays closed. The result is not specific to the 30-stock primary universe — a three times broader universe of survivorship-bias-controlled NASDAQ-100 candidates also shows no exploitable cross-sectional signal from 49 technical indicators.</w:t>
      </w:r>
    </w:p>
    <w:p>
      <w:pPr>
        <w:jc w:val="center"/>
      </w:pPr>
      <w:r>
        <w:drawing>
          <wp:inline xmlns:a="http://schemas.openxmlformats.org/drawingml/2006/main" xmlns:pic="http://schemas.openxmlformats.org/drawingml/2006/picture">
            <wp:extent cx="5303520" cy="2314816"/>
            <wp:docPr id="8" name="Picture 8"/>
            <wp:cNvGraphicFramePr>
              <a:graphicFrameLocks noChangeAspect="1"/>
            </wp:cNvGraphicFramePr>
            <a:graphic>
              <a:graphicData uri="http://schemas.openxmlformats.org/drawingml/2006/picture">
                <pic:pic>
                  <pic:nvPicPr>
                    <pic:cNvPr id="0" name="fig10_expanded_universe.png"/>
                    <pic:cNvPicPr/>
                  </pic:nvPicPr>
                  <pic:blipFill>
                    <a:blip r:embed="rId16"/>
                    <a:stretch>
                      <a:fillRect/>
                    </a:stretch>
                  </pic:blipFill>
                  <pic:spPr>
                    <a:xfrm>
                      <a:off x="0" y="0"/>
                      <a:ext cx="5303520" cy="2314816"/>
                    </a:xfrm>
                    <a:prstGeom prst="rect"/>
                  </pic:spPr>
                </pic:pic>
              </a:graphicData>
            </a:graphic>
          </wp:inline>
        </w:drawing>
      </w:r>
    </w:p>
    <w:p>
      <w:pPr>
        <w:spacing w:before="80" w:after="200"/>
        <w:jc w:val="center"/>
      </w:pPr>
      <w:r>
        <w:rPr>
          <w:rFonts w:ascii="Times New Roman" w:hAnsi="Times New Roman"/>
          <w:b/>
          <w:i w:val="0"/>
          <w:sz w:val="19"/>
        </w:rPr>
        <w:t>Figure 10.</w:t>
      </w:r>
      <w:r>
        <w:rPr>
          <w:rFonts w:ascii="Times New Roman" w:hAnsi="Times New Roman"/>
          <w:b w:val="0"/>
          <w:i w:val="0"/>
          <w:sz w:val="19"/>
        </w:rPr>
        <w:t>. Expanded universe robustness check: N=30 vs N=100. Both universes produce near-zero mean IC and near-zero ICIR. The IC gate stays closed in both settings.</w:t>
      </w:r>
    </w:p>
    <w:p>
      <w:pPr>
        <w:keepNext/>
        <w:spacing w:before="280" w:after="80"/>
      </w:pPr>
      <w:r>
        <w:rPr>
          <w:rFonts w:ascii="Times New Roman" w:hAnsi="Times New Roman"/>
          <w:b/>
          <w:i w:val="0"/>
          <w:color w:val="2A9D8F"/>
          <w:sz w:val="23"/>
        </w:rPr>
        <w:t>6.2 Feature Attribution (SHAP Values)</w:t>
      </w:r>
    </w:p>
    <w:p>
      <w:pPr>
        <w:spacing w:before="0" w:after="160" w:line="360" w:lineRule="auto"/>
        <w:ind w:firstLine="0"/>
      </w:pPr>
      <w:r>
        <w:rPr>
          <w:rFonts w:ascii="Times New Roman" w:hAnsi="Times New Roman"/>
          <w:b w:val="0"/>
          <w:i w:val="0"/>
          <w:sz w:val="22"/>
        </w:rPr>
        <w:t>We compute SHAP values via TreeExplainer (Lundberg and Lee, 2017) for the CatBoost component across the last four test folds (Folds 9–12). Figure 8 shows the top-20 features by mean absolute SHAP importance. The scores are uniformly small — rolling 63-day volatility tops the list at 3.4 × 10⁻³, barely above other features.</w:t>
      </w:r>
    </w:p>
    <w:p>
      <w:pPr>
        <w:spacing w:before="0" w:after="160" w:line="360" w:lineRule="auto"/>
        <w:ind w:firstLine="0"/>
      </w:pPr>
      <w:r>
        <w:rPr>
          <w:rFonts w:ascii="Times New Roman" w:hAnsi="Times New Roman"/>
          <w:b w:val="0"/>
          <w:i w:val="0"/>
          <w:sz w:val="22"/>
        </w:rPr>
        <w:t>More important is feature rank stability across folds. Spearman rank correlation of the top-feature orderings between adjacent folds ranges from 0.13 to 0.40, with a mean below 0.30. This low stability confirms that different folds use different features — the ensemble is fitting fold-specific noise patterns rather than a stable, generalisable signal. No feature class (momentum, volatility, trend, volume) consistently dominates across folds.</w:t>
      </w:r>
    </w:p>
    <w:p>
      <w:pPr>
        <w:jc w:val="center"/>
      </w:pPr>
      <w:r>
        <w:drawing>
          <wp:inline xmlns:a="http://schemas.openxmlformats.org/drawingml/2006/main" xmlns:pic="http://schemas.openxmlformats.org/drawingml/2006/picture">
            <wp:extent cx="5029200" cy="3325792"/>
            <wp:docPr id="9" name="Picture 9"/>
            <wp:cNvGraphicFramePr>
              <a:graphicFrameLocks noChangeAspect="1"/>
            </wp:cNvGraphicFramePr>
            <a:graphic>
              <a:graphicData uri="http://schemas.openxmlformats.org/drawingml/2006/picture">
                <pic:pic>
                  <pic:nvPicPr>
                    <pic:cNvPr id="0" name="fig08_shap_importance.png"/>
                    <pic:cNvPicPr/>
                  </pic:nvPicPr>
                  <pic:blipFill>
                    <a:blip r:embed="rId17"/>
                    <a:stretch>
                      <a:fillRect/>
                    </a:stretch>
                  </pic:blipFill>
                  <pic:spPr>
                    <a:xfrm>
                      <a:off x="0" y="0"/>
                      <a:ext cx="5029200" cy="3325792"/>
                    </a:xfrm>
                    <a:prstGeom prst="rect"/>
                  </pic:spPr>
                </pic:pic>
              </a:graphicData>
            </a:graphic>
          </wp:inline>
        </w:drawing>
      </w:r>
    </w:p>
    <w:p>
      <w:pPr>
        <w:spacing w:before="80" w:after="200"/>
        <w:jc w:val="center"/>
      </w:pPr>
      <w:r>
        <w:rPr>
          <w:rFonts w:ascii="Times New Roman" w:hAnsi="Times New Roman"/>
          <w:b/>
          <w:i w:val="0"/>
          <w:sz w:val="19"/>
        </w:rPr>
        <w:t>Figure 8.</w:t>
      </w:r>
      <w:r>
        <w:rPr>
          <w:rFonts w:ascii="Times New Roman" w:hAnsi="Times New Roman"/>
          <w:b w:val="0"/>
          <w:i w:val="0"/>
          <w:sz w:val="19"/>
        </w:rPr>
        <w:t>. Top-20 features by mean absolute SHAP value (last 4 folds, TreeExplainer). Scores are uniformly small with no dominant feature. Inter-fold Spearman rank ρ = 0.13–0.40 confirms instability consistent with noise-fitting.</w:t>
      </w:r>
    </w:p>
    <w:p>
      <w:pPr>
        <w:keepNext/>
        <w:spacing w:before="280" w:after="80"/>
      </w:pPr>
      <w:r>
        <w:rPr>
          <w:rFonts w:ascii="Times New Roman" w:hAnsi="Times New Roman"/>
          <w:b/>
          <w:i w:val="0"/>
          <w:color w:val="2A9D8F"/>
          <w:sz w:val="23"/>
        </w:rPr>
        <w:t>6.3 Diebold-Mariano Predictive Accuracy Test</w:t>
      </w:r>
    </w:p>
    <w:p>
      <w:pPr>
        <w:spacing w:before="0" w:after="120" w:line="360" w:lineRule="auto"/>
        <w:ind w:firstLine="0"/>
      </w:pPr>
      <w:r>
        <w:rPr>
          <w:rFonts w:ascii="Times New Roman" w:hAnsi="Times New Roman"/>
          <w:b w:val="0"/>
          <w:i w:val="0"/>
          <w:sz w:val="22"/>
        </w:rPr>
        <w:t>The Diebold-Mariano (DM) test (Diebold and Mariano, 1995) formally tests whether two forecast methods differ in their expected loss. We apply the Harvey, Leybourne and Newbold (1997) finite-sample correction with Newey-West HAC standard errors (5 lags) and squared loss, testing TopK1 against each alternative strategy. The key test is TopK1 versus Random Top-1:</w:t>
      </w:r>
    </w:p>
    <w:p>
      <w:pPr>
        <w:spacing w:before="0" w:after="160" w:line="360" w:lineRule="auto"/>
        <w:ind w:firstLine="0"/>
      </w:pPr>
      <w:r>
        <w:rPr>
          <w:rFonts w:ascii="Times New Roman" w:hAnsi="Times New Roman"/>
          <w:b w:val="0"/>
          <w:i w:val="0"/>
          <w:sz w:val="22"/>
        </w:rPr>
        <w:t>The key comparison — TopK1 against Random Top-1 — yields DM = 0.42 (p = 0.672), indicating that the ML conviction ranking produces daily returns statistically indistinguishable from random stock selection. All remaining comparisons (TopK1 vs Equal-Weight, vs SPY Buy &amp; Hold, vs TopK2, TopK3, Threshold P60, and Baseline P50) are highly significant in the expected direction — TopK1 is measurably worse than any sensible diversified alternative.</w:t>
      </w:r>
    </w:p>
    <w:p>
      <w:pPr>
        <w:jc w:val="center"/>
      </w:pPr>
      <w:r>
        <w:drawing>
          <wp:inline xmlns:a="http://schemas.openxmlformats.org/drawingml/2006/main" xmlns:pic="http://schemas.openxmlformats.org/drawingml/2006/picture">
            <wp:extent cx="5486400" cy="2263348"/>
            <wp:docPr id="10" name="Picture 10"/>
            <wp:cNvGraphicFramePr>
              <a:graphicFrameLocks noChangeAspect="1"/>
            </wp:cNvGraphicFramePr>
            <a:graphic>
              <a:graphicData uri="http://schemas.openxmlformats.org/drawingml/2006/picture">
                <pic:pic>
                  <pic:nvPicPr>
                    <pic:cNvPr id="0" name="fig11_dm_test.png"/>
                    <pic:cNvPicPr/>
                  </pic:nvPicPr>
                  <pic:blipFill>
                    <a:blip r:embed="rId18"/>
                    <a:stretch>
                      <a:fillRect/>
                    </a:stretch>
                  </pic:blipFill>
                  <pic:spPr>
                    <a:xfrm>
                      <a:off x="0" y="0"/>
                      <a:ext cx="5486400" cy="2263348"/>
                    </a:xfrm>
                    <a:prstGeom prst="rect"/>
                  </pic:spPr>
                </pic:pic>
              </a:graphicData>
            </a:graphic>
          </wp:inline>
        </w:drawing>
      </w:r>
    </w:p>
    <w:p>
      <w:pPr>
        <w:spacing w:before="80" w:after="200"/>
        <w:jc w:val="center"/>
      </w:pPr>
      <w:r>
        <w:rPr>
          <w:rFonts w:ascii="Times New Roman" w:hAnsi="Times New Roman"/>
          <w:b/>
          <w:i w:val="0"/>
          <w:sz w:val="19"/>
        </w:rPr>
        <w:t>Figure 11.</w:t>
      </w:r>
      <w:r>
        <w:rPr>
          <w:rFonts w:ascii="Times New Roman" w:hAnsi="Times New Roman"/>
          <w:b w:val="0"/>
          <w:i w:val="0"/>
          <w:sz w:val="19"/>
        </w:rPr>
        <w:t>. Diebold-Mariano test results (HLN-corrected, HAC errors). TopK1 is statistically indistinguishable from Random Top-1 (p = 0.672) but significantly worse than all diversified benchmarks. This directly confirms the central claim at the daily return level.</w:t>
      </w:r>
    </w:p>
    <w:p>
      <w:pPr>
        <w:keepNext/>
        <w:spacing w:before="280" w:after="80"/>
      </w:pPr>
      <w:r>
        <w:rPr>
          <w:rFonts w:ascii="Times New Roman" w:hAnsi="Times New Roman"/>
          <w:b/>
          <w:i w:val="0"/>
          <w:color w:val="2A9D8F"/>
          <w:sz w:val="23"/>
        </w:rPr>
        <w:t>6.4 VIX-Regime-Conditioned IC</w:t>
      </w:r>
    </w:p>
    <w:p>
      <w:pPr>
        <w:spacing w:before="0" w:after="160" w:line="360" w:lineRule="auto"/>
        <w:ind w:firstLine="0"/>
      </w:pPr>
      <w:r>
        <w:rPr>
          <w:rFonts w:ascii="Times New Roman" w:hAnsi="Times New Roman"/>
          <w:b w:val="0"/>
          <w:i w:val="0"/>
          <w:sz w:val="22"/>
        </w:rPr>
        <w:t>A common hypothesis is that technical indicators carry more cross-sectional information during high-volatility periods, when return dispersion is greater and price patterns are more pronounced. We test this by partitioning the 1,512 out-of-sample days into three VIX terciles and computing IC statistics separately for each regime.</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587"/>
            <w:shd w:val="clear" w:color="auto" w:fill="264653"/>
          </w:tcPr>
          <w:p>
            <w:r/>
            <w:r>
              <w:rPr>
                <w:rFonts w:ascii="Times New Roman" w:hAnsi="Times New Roman"/>
                <w:b/>
                <w:i w:val="0"/>
                <w:color w:val="FFFFFF"/>
                <w:sz w:val="18"/>
              </w:rPr>
              <w:t>VIX Regime</w:t>
            </w:r>
          </w:p>
        </w:tc>
        <w:tc>
          <w:tcPr>
            <w:tcW w:type="dxa" w:w="1304"/>
            <w:shd w:val="clear" w:color="auto" w:fill="264653"/>
          </w:tcPr>
          <w:p>
            <w:r/>
            <w:r>
              <w:rPr>
                <w:rFonts w:ascii="Times New Roman" w:hAnsi="Times New Roman"/>
                <w:b/>
                <w:i w:val="0"/>
                <w:color w:val="FFFFFF"/>
                <w:sz w:val="18"/>
              </w:rPr>
              <w:t>VIX Mean</w:t>
            </w:r>
          </w:p>
        </w:tc>
        <w:tc>
          <w:tcPr>
            <w:tcW w:type="dxa" w:w="1304"/>
            <w:shd w:val="clear" w:color="auto" w:fill="264653"/>
          </w:tcPr>
          <w:p>
            <w:r/>
            <w:r>
              <w:rPr>
                <w:rFonts w:ascii="Times New Roman" w:hAnsi="Times New Roman"/>
                <w:b/>
                <w:i w:val="0"/>
                <w:color w:val="FFFFFF"/>
                <w:sz w:val="18"/>
              </w:rPr>
              <w:t>N Days</w:t>
            </w:r>
          </w:p>
        </w:tc>
        <w:tc>
          <w:tcPr>
            <w:tcW w:type="dxa" w:w="1417"/>
            <w:shd w:val="clear" w:color="auto" w:fill="264653"/>
          </w:tcPr>
          <w:p>
            <w:r/>
            <w:r>
              <w:rPr>
                <w:rFonts w:ascii="Times New Roman" w:hAnsi="Times New Roman"/>
                <w:b/>
                <w:i w:val="0"/>
                <w:color w:val="FFFFFF"/>
                <w:sz w:val="18"/>
              </w:rPr>
              <w:t>Mean IC</w:t>
            </w:r>
          </w:p>
        </w:tc>
        <w:tc>
          <w:tcPr>
            <w:tcW w:type="dxa" w:w="1134"/>
            <w:shd w:val="clear" w:color="auto" w:fill="264653"/>
          </w:tcPr>
          <w:p>
            <w:r/>
            <w:r>
              <w:rPr>
                <w:rFonts w:ascii="Times New Roman" w:hAnsi="Times New Roman"/>
                <w:b/>
                <w:i w:val="0"/>
                <w:color w:val="FFFFFF"/>
                <w:sz w:val="18"/>
              </w:rPr>
              <w:t>ICIR</w:t>
            </w:r>
          </w:p>
        </w:tc>
        <w:tc>
          <w:tcPr>
            <w:tcW w:type="dxa" w:w="1417"/>
            <w:shd w:val="clear" w:color="auto" w:fill="264653"/>
          </w:tcPr>
          <w:p>
            <w:r/>
            <w:r>
              <w:rPr>
                <w:rFonts w:ascii="Times New Roman" w:hAnsi="Times New Roman"/>
                <w:b/>
                <w:i w:val="0"/>
                <w:color w:val="FFFFFF"/>
                <w:sz w:val="18"/>
              </w:rPr>
              <w:t>p-value</w:t>
            </w:r>
          </w:p>
        </w:tc>
        <w:tc>
          <w:tcPr>
            <w:tcW w:type="dxa" w:w="1134"/>
            <w:shd w:val="clear" w:color="auto" w:fill="264653"/>
          </w:tcPr>
          <w:p>
            <w:r/>
            <w:r>
              <w:rPr>
                <w:rFonts w:ascii="Times New Roman" w:hAnsi="Times New Roman"/>
                <w:b/>
                <w:i w:val="0"/>
                <w:color w:val="FFFFFF"/>
                <w:sz w:val="18"/>
              </w:rPr>
              <w:t>Gate</w:t>
            </w:r>
          </w:p>
        </w:tc>
      </w:tr>
      <w:tr>
        <w:tc>
          <w:tcPr>
            <w:tcW w:type="dxa" w:w="1587"/>
            <w:shd w:val="clear" w:color="auto" w:fill="E8F4F8"/>
          </w:tcPr>
          <w:p>
            <w:pPr>
              <w:jc w:val="left"/>
            </w:pPr>
            <w:r/>
            <w:r>
              <w:rPr>
                <w:rFonts w:ascii="Times New Roman" w:hAnsi="Times New Roman"/>
                <w:b w:val="0"/>
                <w:i w:val="0"/>
                <w:sz w:val="18"/>
              </w:rPr>
              <w:t>Low VIX</w:t>
            </w:r>
          </w:p>
        </w:tc>
        <w:tc>
          <w:tcPr>
            <w:tcW w:type="dxa" w:w="1304"/>
            <w:shd w:val="clear" w:color="auto" w:fill="E8F4F8"/>
          </w:tcPr>
          <w:p>
            <w:pPr>
              <w:jc w:val="center"/>
            </w:pPr>
            <w:r/>
            <w:r>
              <w:rPr>
                <w:rFonts w:ascii="Times New Roman" w:hAnsi="Times New Roman"/>
                <w:b w:val="0"/>
                <w:i w:val="0"/>
                <w:sz w:val="18"/>
              </w:rPr>
              <w:t>13.97</w:t>
            </w:r>
          </w:p>
        </w:tc>
        <w:tc>
          <w:tcPr>
            <w:tcW w:type="dxa" w:w="1304"/>
            <w:shd w:val="clear" w:color="auto" w:fill="E8F4F8"/>
          </w:tcPr>
          <w:p>
            <w:pPr>
              <w:jc w:val="center"/>
            </w:pPr>
            <w:r/>
            <w:r>
              <w:rPr>
                <w:rFonts w:ascii="Times New Roman" w:hAnsi="Times New Roman"/>
                <w:b w:val="0"/>
                <w:i w:val="0"/>
                <w:sz w:val="18"/>
              </w:rPr>
              <w:t>486</w:t>
            </w:r>
          </w:p>
        </w:tc>
        <w:tc>
          <w:tcPr>
            <w:tcW w:type="dxa" w:w="1417"/>
            <w:shd w:val="clear" w:color="auto" w:fill="E8F4F8"/>
          </w:tcPr>
          <w:p>
            <w:pPr>
              <w:jc w:val="center"/>
            </w:pPr>
            <w:r/>
            <w:r>
              <w:rPr>
                <w:rFonts w:ascii="Times New Roman" w:hAnsi="Times New Roman"/>
                <w:b w:val="0"/>
                <w:i w:val="0"/>
                <w:sz w:val="18"/>
              </w:rPr>
              <w:t>+0.0106</w:t>
            </w:r>
          </w:p>
        </w:tc>
        <w:tc>
          <w:tcPr>
            <w:tcW w:type="dxa" w:w="1134"/>
            <w:shd w:val="clear" w:color="auto" w:fill="E8F4F8"/>
          </w:tcPr>
          <w:p>
            <w:pPr>
              <w:jc w:val="center"/>
            </w:pPr>
            <w:r/>
            <w:r>
              <w:rPr>
                <w:rFonts w:ascii="Times New Roman" w:hAnsi="Times New Roman"/>
                <w:b w:val="0"/>
                <w:i w:val="0"/>
                <w:sz w:val="18"/>
              </w:rPr>
              <w:t>+0.047</w:t>
            </w:r>
          </w:p>
        </w:tc>
        <w:tc>
          <w:tcPr>
            <w:tcW w:type="dxa" w:w="1417"/>
            <w:shd w:val="clear" w:color="auto" w:fill="E8F4F8"/>
          </w:tcPr>
          <w:p>
            <w:pPr>
              <w:jc w:val="center"/>
            </w:pPr>
            <w:r/>
            <w:r>
              <w:rPr>
                <w:rFonts w:ascii="Times New Roman" w:hAnsi="Times New Roman"/>
                <w:b w:val="0"/>
                <w:i w:val="0"/>
                <w:sz w:val="18"/>
              </w:rPr>
              <w:t>0.152</w:t>
            </w:r>
          </w:p>
        </w:tc>
        <w:tc>
          <w:tcPr>
            <w:tcW w:type="dxa" w:w="1134"/>
            <w:shd w:val="clear" w:color="auto" w:fill="E8F4F8"/>
          </w:tcPr>
          <w:p>
            <w:pPr>
              <w:jc w:val="center"/>
            </w:pPr>
            <w:r/>
            <w:r>
              <w:rPr>
                <w:rFonts w:ascii="Times New Roman" w:hAnsi="Times New Roman"/>
                <w:b w:val="0"/>
                <w:i w:val="0"/>
                <w:sz w:val="18"/>
              </w:rPr>
              <w:t>CLOSED</w:t>
            </w:r>
          </w:p>
        </w:tc>
      </w:tr>
      <w:tr>
        <w:tc>
          <w:tcPr>
            <w:tcW w:type="dxa" w:w="1587"/>
          </w:tcPr>
          <w:p>
            <w:pPr>
              <w:jc w:val="left"/>
            </w:pPr>
            <w:r/>
            <w:r>
              <w:rPr>
                <w:rFonts w:ascii="Times New Roman" w:hAnsi="Times New Roman"/>
                <w:b w:val="0"/>
                <w:i w:val="0"/>
                <w:sz w:val="18"/>
              </w:rPr>
              <w:t>Mid VIX</w:t>
            </w:r>
          </w:p>
        </w:tc>
        <w:tc>
          <w:tcPr>
            <w:tcW w:type="dxa" w:w="1304"/>
          </w:tcPr>
          <w:p>
            <w:pPr>
              <w:jc w:val="center"/>
            </w:pPr>
            <w:r/>
            <w:r>
              <w:rPr>
                <w:rFonts w:ascii="Times New Roman" w:hAnsi="Times New Roman"/>
                <w:b w:val="0"/>
                <w:i w:val="0"/>
                <w:sz w:val="18"/>
              </w:rPr>
              <w:t>18.98</w:t>
            </w:r>
          </w:p>
        </w:tc>
        <w:tc>
          <w:tcPr>
            <w:tcW w:type="dxa" w:w="1304"/>
          </w:tcPr>
          <w:p>
            <w:pPr>
              <w:jc w:val="center"/>
            </w:pPr>
            <w:r/>
            <w:r>
              <w:rPr>
                <w:rFonts w:ascii="Times New Roman" w:hAnsi="Times New Roman"/>
                <w:b w:val="0"/>
                <w:i w:val="0"/>
                <w:sz w:val="18"/>
              </w:rPr>
              <w:t>485</w:t>
            </w:r>
          </w:p>
        </w:tc>
        <w:tc>
          <w:tcPr>
            <w:tcW w:type="dxa" w:w="1417"/>
          </w:tcPr>
          <w:p>
            <w:pPr>
              <w:jc w:val="center"/>
            </w:pPr>
            <w:r/>
            <w:r>
              <w:rPr>
                <w:rFonts w:ascii="Times New Roman" w:hAnsi="Times New Roman"/>
                <w:b w:val="0"/>
                <w:i w:val="0"/>
                <w:sz w:val="18"/>
              </w:rPr>
              <w:t>−0.0106</w:t>
            </w:r>
          </w:p>
        </w:tc>
        <w:tc>
          <w:tcPr>
            <w:tcW w:type="dxa" w:w="1134"/>
          </w:tcPr>
          <w:p>
            <w:pPr>
              <w:jc w:val="center"/>
            </w:pPr>
            <w:r/>
            <w:r>
              <w:rPr>
                <w:rFonts w:ascii="Times New Roman" w:hAnsi="Times New Roman"/>
                <w:b w:val="0"/>
                <w:i w:val="0"/>
                <w:sz w:val="18"/>
              </w:rPr>
              <w:t>−0.050</w:t>
            </w:r>
          </w:p>
        </w:tc>
        <w:tc>
          <w:tcPr>
            <w:tcW w:type="dxa" w:w="1417"/>
          </w:tcPr>
          <w:p>
            <w:pPr>
              <w:jc w:val="center"/>
            </w:pPr>
            <w:r/>
            <w:r>
              <w:rPr>
                <w:rFonts w:ascii="Times New Roman" w:hAnsi="Times New Roman"/>
                <w:b w:val="0"/>
                <w:i w:val="0"/>
                <w:sz w:val="18"/>
              </w:rPr>
              <w:t>0.136</w:t>
            </w:r>
          </w:p>
        </w:tc>
        <w:tc>
          <w:tcPr>
            <w:tcW w:type="dxa" w:w="1134"/>
          </w:tcPr>
          <w:p>
            <w:pPr>
              <w:jc w:val="center"/>
            </w:pPr>
            <w:r/>
            <w:r>
              <w:rPr>
                <w:rFonts w:ascii="Times New Roman" w:hAnsi="Times New Roman"/>
                <w:b w:val="0"/>
                <w:i w:val="0"/>
                <w:sz w:val="18"/>
              </w:rPr>
              <w:t>CLOSED</w:t>
            </w:r>
          </w:p>
        </w:tc>
      </w:tr>
      <w:tr>
        <w:tc>
          <w:tcPr>
            <w:tcW w:type="dxa" w:w="1587"/>
            <w:shd w:val="clear" w:color="auto" w:fill="E8F4F8"/>
          </w:tcPr>
          <w:p>
            <w:pPr>
              <w:jc w:val="left"/>
            </w:pPr>
            <w:r/>
            <w:r>
              <w:rPr>
                <w:rFonts w:ascii="Times New Roman" w:hAnsi="Times New Roman"/>
                <w:b w:val="0"/>
                <w:i w:val="0"/>
                <w:sz w:val="18"/>
              </w:rPr>
              <w:t>High VIX</w:t>
            </w:r>
          </w:p>
        </w:tc>
        <w:tc>
          <w:tcPr>
            <w:tcW w:type="dxa" w:w="1304"/>
            <w:shd w:val="clear" w:color="auto" w:fill="E8F4F8"/>
          </w:tcPr>
          <w:p>
            <w:pPr>
              <w:jc w:val="center"/>
            </w:pPr>
            <w:r/>
            <w:r>
              <w:rPr>
                <w:rFonts w:ascii="Times New Roman" w:hAnsi="Times New Roman"/>
                <w:b w:val="0"/>
                <w:i w:val="0"/>
                <w:sz w:val="18"/>
              </w:rPr>
              <w:t>29.01</w:t>
            </w:r>
          </w:p>
        </w:tc>
        <w:tc>
          <w:tcPr>
            <w:tcW w:type="dxa" w:w="1304"/>
            <w:shd w:val="clear" w:color="auto" w:fill="E8F4F8"/>
          </w:tcPr>
          <w:p>
            <w:pPr>
              <w:jc w:val="center"/>
            </w:pPr>
            <w:r/>
            <w:r>
              <w:rPr>
                <w:rFonts w:ascii="Times New Roman" w:hAnsi="Times New Roman"/>
                <w:b w:val="0"/>
                <w:i w:val="0"/>
                <w:sz w:val="18"/>
              </w:rPr>
              <w:t>485</w:t>
            </w:r>
          </w:p>
        </w:tc>
        <w:tc>
          <w:tcPr>
            <w:tcW w:type="dxa" w:w="1417"/>
            <w:shd w:val="clear" w:color="auto" w:fill="E8F4F8"/>
          </w:tcPr>
          <w:p>
            <w:pPr>
              <w:jc w:val="center"/>
            </w:pPr>
            <w:r/>
            <w:r>
              <w:rPr>
                <w:rFonts w:ascii="Times New Roman" w:hAnsi="Times New Roman"/>
                <w:b w:val="0"/>
                <w:i w:val="0"/>
                <w:sz w:val="18"/>
              </w:rPr>
              <w:t>−0.0111</w:t>
            </w:r>
          </w:p>
        </w:tc>
        <w:tc>
          <w:tcPr>
            <w:tcW w:type="dxa" w:w="1134"/>
            <w:shd w:val="clear" w:color="auto" w:fill="E8F4F8"/>
          </w:tcPr>
          <w:p>
            <w:pPr>
              <w:jc w:val="center"/>
            </w:pPr>
            <w:r/>
            <w:r>
              <w:rPr>
                <w:rFonts w:ascii="Times New Roman" w:hAnsi="Times New Roman"/>
                <w:b w:val="0"/>
                <w:i w:val="0"/>
                <w:sz w:val="18"/>
              </w:rPr>
              <w:t>−0.049</w:t>
            </w:r>
          </w:p>
        </w:tc>
        <w:tc>
          <w:tcPr>
            <w:tcW w:type="dxa" w:w="1417"/>
            <w:shd w:val="clear" w:color="auto" w:fill="E8F4F8"/>
          </w:tcPr>
          <w:p>
            <w:pPr>
              <w:jc w:val="center"/>
            </w:pPr>
            <w:r/>
            <w:r>
              <w:rPr>
                <w:rFonts w:ascii="Times New Roman" w:hAnsi="Times New Roman"/>
                <w:b w:val="0"/>
                <w:i w:val="0"/>
                <w:sz w:val="18"/>
              </w:rPr>
              <w:t>0.141</w:t>
            </w:r>
          </w:p>
        </w:tc>
        <w:tc>
          <w:tcPr>
            <w:tcW w:type="dxa" w:w="1134"/>
            <w:shd w:val="clear" w:color="auto" w:fill="E8F4F8"/>
          </w:tcPr>
          <w:p>
            <w:pPr>
              <w:jc w:val="center"/>
            </w:pPr>
            <w:r/>
            <w:r>
              <w:rPr>
                <w:rFonts w:ascii="Times New Roman" w:hAnsi="Times New Roman"/>
                <w:b w:val="0"/>
                <w:i w:val="0"/>
                <w:sz w:val="18"/>
              </w:rPr>
              <w:t>CLOSED</w:t>
            </w:r>
          </w:p>
        </w:tc>
      </w:tr>
    </w:tbl>
    <w:p>
      <w:pPr>
        <w:spacing w:before="80" w:after="200"/>
        <w:jc w:val="center"/>
      </w:pPr>
      <w:r>
        <w:rPr>
          <w:rFonts w:ascii="Times New Roman" w:hAnsi="Times New Roman"/>
          <w:b/>
          <w:i w:val="0"/>
          <w:sz w:val="19"/>
        </w:rPr>
        <w:t>Table 9.</w:t>
      </w:r>
      <w:r>
        <w:rPr>
          <w:rFonts w:ascii="Times New Roman" w:hAnsi="Times New Roman"/>
          <w:b w:val="0"/>
          <w:i w:val="0"/>
          <w:sz w:val="19"/>
        </w:rPr>
        <w:t xml:space="preserve"> VIX-conditioned IC statistics. The IC gate stays closed in all three volatility regimes. High-VIX periods do not activate the technical signal.</w:t>
      </w:r>
    </w:p>
    <w:p>
      <w:pPr>
        <w:spacing w:before="0" w:after="160" w:line="360" w:lineRule="auto"/>
        <w:ind w:firstLine="0"/>
      </w:pPr>
      <w:r>
        <w:rPr>
          <w:rFonts w:ascii="Times New Roman" w:hAnsi="Times New Roman"/>
          <w:b w:val="0"/>
          <w:i w:val="0"/>
          <w:sz w:val="22"/>
        </w:rPr>
        <w:t>The IC gate stays closed in all three regimes. Low-VIX mean IC is +0.0106 (p = 0.152), mid-VIX is −0.0106 (p = 0.136), and high-VIX is −0.0111 (p = 0.141). None approaches the 0.05 significance threshold. The hypothesis that high market volatility activates the technical indicator signal class is rejected.</w:t>
      </w:r>
    </w:p>
    <w:p>
      <w:pPr>
        <w:jc w:val="center"/>
      </w:pPr>
      <w:r>
        <w:drawing>
          <wp:inline xmlns:a="http://schemas.openxmlformats.org/drawingml/2006/main" xmlns:pic="http://schemas.openxmlformats.org/drawingml/2006/picture">
            <wp:extent cx="5303520" cy="1991864"/>
            <wp:docPr id="11" name="Picture 11"/>
            <wp:cNvGraphicFramePr>
              <a:graphicFrameLocks noChangeAspect="1"/>
            </wp:cNvGraphicFramePr>
            <a:graphic>
              <a:graphicData uri="http://schemas.openxmlformats.org/drawingml/2006/picture">
                <pic:pic>
                  <pic:nvPicPr>
                    <pic:cNvPr id="0" name="fig09_vix_ic.png"/>
                    <pic:cNvPicPr/>
                  </pic:nvPicPr>
                  <pic:blipFill>
                    <a:blip r:embed="rId19"/>
                    <a:stretch>
                      <a:fillRect/>
                    </a:stretch>
                  </pic:blipFill>
                  <pic:spPr>
                    <a:xfrm>
                      <a:off x="0" y="0"/>
                      <a:ext cx="5303520" cy="1991864"/>
                    </a:xfrm>
                    <a:prstGeom prst="rect"/>
                  </pic:spPr>
                </pic:pic>
              </a:graphicData>
            </a:graphic>
          </wp:inline>
        </w:drawing>
      </w:r>
    </w:p>
    <w:p>
      <w:pPr>
        <w:spacing w:before="80" w:after="200"/>
        <w:jc w:val="center"/>
      </w:pPr>
      <w:r>
        <w:rPr>
          <w:rFonts w:ascii="Times New Roman" w:hAnsi="Times New Roman"/>
          <w:b/>
          <w:i w:val="0"/>
          <w:sz w:val="19"/>
        </w:rPr>
        <w:t>Figure 9.</w:t>
      </w:r>
      <w:r>
        <w:rPr>
          <w:rFonts w:ascii="Times New Roman" w:hAnsi="Times New Roman"/>
          <w:b w:val="0"/>
          <w:i w:val="0"/>
          <w:sz w:val="19"/>
        </w:rPr>
        <w:t>. VIX-regime-conditioned IC analysis. The IC gate stays closed across all three VIX terciles, ruling out the hypothesis that cross-sectional predictability emerges during high-dispersion periods.</w:t>
      </w:r>
    </w:p>
    <w:p>
      <w:pPr>
        <w:keepNext/>
        <w:spacing w:before="280" w:after="80"/>
      </w:pPr>
      <w:r>
        <w:rPr>
          <w:rFonts w:ascii="Times New Roman" w:hAnsi="Times New Roman"/>
          <w:b/>
          <w:i w:val="0"/>
          <w:color w:val="2A9D8F"/>
          <w:sz w:val="23"/>
        </w:rPr>
        <w:t>6.5 Block Bootstrap Confidence Intervals</w:t>
      </w:r>
    </w:p>
    <w:p>
      <w:pPr>
        <w:spacing w:before="0" w:after="160" w:line="360" w:lineRule="auto"/>
        <w:ind w:firstLine="0"/>
      </w:pPr>
      <w:r>
        <w:rPr>
          <w:rFonts w:ascii="Times New Roman" w:hAnsi="Times New Roman"/>
          <w:b w:val="0"/>
          <w:i w:val="0"/>
          <w:sz w:val="22"/>
        </w:rPr>
        <w:t>Point estimates of fold-level IC can be misleading if within-fold autocorrelation inflates precision. We replace point estimates with 95% block bootstrap confidence intervals, using circular block bootstrap with block size 5 trading days (approximately one trading week, capturing short-term autocorrelation in IC series) and B = 2,000 resamples per fold.</w:t>
      </w:r>
    </w:p>
    <w:p>
      <w:pPr>
        <w:spacing w:before="0" w:after="160" w:line="360" w:lineRule="auto"/>
        <w:ind w:firstLine="0"/>
      </w:pPr>
      <w:r>
        <w:rPr>
          <w:rFonts w:ascii="Times New Roman" w:hAnsi="Times New Roman"/>
          <w:b w:val="0"/>
          <w:i w:val="0"/>
          <w:sz w:val="22"/>
        </w:rPr>
        <w:t>All 12 fold-level 95% CIs span zero — no fold's confidence interval excludes zero — confirming the null IC signal finding under inference robust to autocorrelation. The widest CI is [−0.064, +0.031] for Fold 6, and the narrowest is [−0.011, +0.058] for Fold 3 — which is the fold with the highest point-estimate IC (+0.023). Even the most optimistic fold's upper CI of +0.058 is economically negligible. Bootstrap inference confirms that no fold achieves significant positive IC when autocorrelation is properly accounted for.</w:t>
      </w:r>
    </w:p>
    <w:p>
      <w:pPr>
        <w:jc w:val="center"/>
      </w:pPr>
      <w:r>
        <w:drawing>
          <wp:inline xmlns:a="http://schemas.openxmlformats.org/drawingml/2006/main" xmlns:pic="http://schemas.openxmlformats.org/drawingml/2006/picture">
            <wp:extent cx="5669280" cy="2762595"/>
            <wp:docPr id="12" name="Picture 12"/>
            <wp:cNvGraphicFramePr>
              <a:graphicFrameLocks noChangeAspect="1"/>
            </wp:cNvGraphicFramePr>
            <a:graphic>
              <a:graphicData uri="http://schemas.openxmlformats.org/drawingml/2006/picture">
                <pic:pic>
                  <pic:nvPicPr>
                    <pic:cNvPr id="0" name="fig12_gate_summary.png"/>
                    <pic:cNvPicPr/>
                  </pic:nvPicPr>
                  <pic:blipFill>
                    <a:blip r:embed="rId20"/>
                    <a:stretch>
                      <a:fillRect/>
                    </a:stretch>
                  </pic:blipFill>
                  <pic:spPr>
                    <a:xfrm>
                      <a:off x="0" y="0"/>
                      <a:ext cx="5669280" cy="2762595"/>
                    </a:xfrm>
                    <a:prstGeom prst="rect"/>
                  </pic:spPr>
                </pic:pic>
              </a:graphicData>
            </a:graphic>
          </wp:inline>
        </w:drawing>
      </w:r>
    </w:p>
    <w:p>
      <w:pPr>
        <w:spacing w:before="80" w:after="200"/>
        <w:jc w:val="center"/>
      </w:pPr>
      <w:r>
        <w:rPr>
          <w:rFonts w:ascii="Times New Roman" w:hAnsi="Times New Roman"/>
          <w:b/>
          <w:i w:val="0"/>
          <w:sz w:val="19"/>
        </w:rPr>
        <w:t>Figure 12.</w:t>
      </w:r>
      <w:r>
        <w:rPr>
          <w:rFonts w:ascii="Times New Roman" w:hAnsi="Times New Roman"/>
          <w:b w:val="0"/>
          <w:i w:val="0"/>
          <w:sz w:val="19"/>
        </w:rPr>
        <w:t>. IC gate summary panel. (Left) IC signal statistics across the full OOS window. (Centre) Fold-level IC point estimates — no fold shows persistent directional bias. (Right) Gate decision across all robustness checks — the gate stays closed in all settings.</w:t>
      </w:r>
    </w:p>
    <w:p>
      <w:pPr>
        <w:keepNext/>
        <w:spacing w:before="280" w:after="80"/>
      </w:pPr>
      <w:r>
        <w:rPr>
          <w:rFonts w:ascii="Times New Roman" w:hAnsi="Times New Roman"/>
          <w:b/>
          <w:i w:val="0"/>
          <w:color w:val="2A9D8F"/>
          <w:sz w:val="23"/>
        </w:rPr>
        <w:t>6.6 IC Gate Applied to Momentum Signal — Mechanism Analysis</w:t>
      </w:r>
    </w:p>
    <w:p>
      <w:pPr>
        <w:spacing w:before="0" w:after="160" w:line="360" w:lineRule="auto"/>
        <w:ind w:firstLine="0"/>
      </w:pPr>
      <w:r>
        <w:rPr>
          <w:rFonts w:ascii="Times New Roman" w:hAnsi="Times New Roman"/>
          <w:b w:val="0"/>
          <w:i w:val="0"/>
          <w:sz w:val="22"/>
        </w:rPr>
        <w:t>To understand the boundary conditions of the ICGDF gate, we apply the identical two-stage test to a simple momentum signal: for each day in the OOS window, stocks are ranked by their trailing 252-day return (consistent with Jegadeesh and Titman 1993), and the cross-sectional Spearman IC between momentum ranks and next-day returns is computed. Table 10 reports the IC gate statistics for momentum alongside the ML ensemble baseline.</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2268"/>
            <w:shd w:val="clear" w:color="auto" w:fill="264653"/>
          </w:tcPr>
          <w:p>
            <w:r/>
            <w:r>
              <w:rPr>
                <w:rFonts w:ascii="Times New Roman" w:hAnsi="Times New Roman"/>
                <w:b/>
                <w:i w:val="0"/>
                <w:color w:val="FFFFFF"/>
                <w:sz w:val="18"/>
              </w:rPr>
              <w:t>Signal</w:t>
            </w:r>
          </w:p>
        </w:tc>
        <w:tc>
          <w:tcPr>
            <w:tcW w:type="dxa" w:w="1417"/>
            <w:shd w:val="clear" w:color="auto" w:fill="264653"/>
          </w:tcPr>
          <w:p>
            <w:r/>
            <w:r>
              <w:rPr>
                <w:rFonts w:ascii="Times New Roman" w:hAnsi="Times New Roman"/>
                <w:b/>
                <w:i w:val="0"/>
                <w:color w:val="FFFFFF"/>
                <w:sz w:val="18"/>
              </w:rPr>
              <w:t>Mean IC</w:t>
            </w:r>
          </w:p>
        </w:tc>
        <w:tc>
          <w:tcPr>
            <w:tcW w:type="dxa" w:w="1247"/>
            <w:shd w:val="clear" w:color="auto" w:fill="264653"/>
          </w:tcPr>
          <w:p>
            <w:r/>
            <w:r>
              <w:rPr>
                <w:rFonts w:ascii="Times New Roman" w:hAnsi="Times New Roman"/>
                <w:b/>
                <w:i w:val="0"/>
                <w:color w:val="FFFFFF"/>
                <w:sz w:val="18"/>
              </w:rPr>
              <w:t>IC Std</w:t>
            </w:r>
          </w:p>
        </w:tc>
        <w:tc>
          <w:tcPr>
            <w:tcW w:type="dxa" w:w="1247"/>
            <w:shd w:val="clear" w:color="auto" w:fill="264653"/>
          </w:tcPr>
          <w:p>
            <w:r/>
            <w:r>
              <w:rPr>
                <w:rFonts w:ascii="Times New Roman" w:hAnsi="Times New Roman"/>
                <w:b/>
                <w:i w:val="0"/>
                <w:color w:val="FFFFFF"/>
                <w:sz w:val="18"/>
              </w:rPr>
              <w:t>ICIR</w:t>
            </w:r>
          </w:p>
        </w:tc>
        <w:tc>
          <w:tcPr>
            <w:tcW w:type="dxa" w:w="1587"/>
            <w:shd w:val="clear" w:color="auto" w:fill="264653"/>
          </w:tcPr>
          <w:p>
            <w:r/>
            <w:r>
              <w:rPr>
                <w:rFonts w:ascii="Times New Roman" w:hAnsi="Times New Roman"/>
                <w:b/>
                <w:i w:val="0"/>
                <w:color w:val="FFFFFF"/>
                <w:sz w:val="18"/>
              </w:rPr>
              <w:t>HAC t-stat</w:t>
            </w:r>
          </w:p>
        </w:tc>
        <w:tc>
          <w:tcPr>
            <w:tcW w:type="dxa" w:w="1417"/>
            <w:shd w:val="clear" w:color="auto" w:fill="264653"/>
          </w:tcPr>
          <w:p>
            <w:r/>
            <w:r>
              <w:rPr>
                <w:rFonts w:ascii="Times New Roman" w:hAnsi="Times New Roman"/>
                <w:b/>
                <w:i w:val="0"/>
                <w:color w:val="FFFFFF"/>
                <w:sz w:val="18"/>
              </w:rPr>
              <w:t>p-value</w:t>
            </w:r>
          </w:p>
        </w:tc>
        <w:tc>
          <w:tcPr>
            <w:tcW w:type="dxa" w:w="1247"/>
            <w:shd w:val="clear" w:color="auto" w:fill="264653"/>
          </w:tcPr>
          <w:p>
            <w:r/>
            <w:r>
              <w:rPr>
                <w:rFonts w:ascii="Times New Roman" w:hAnsi="Times New Roman"/>
                <w:b/>
                <w:i w:val="0"/>
                <w:color w:val="FFFFFF"/>
                <w:sz w:val="18"/>
              </w:rPr>
              <w:t>Gate</w:t>
            </w:r>
          </w:p>
        </w:tc>
      </w:tr>
      <w:tr>
        <w:tc>
          <w:tcPr>
            <w:tcW w:type="dxa" w:w="2268"/>
            <w:shd w:val="clear" w:color="auto" w:fill="E8F4F8"/>
          </w:tcPr>
          <w:p>
            <w:pPr>
              <w:jc w:val="left"/>
            </w:pPr>
            <w:r/>
            <w:r>
              <w:rPr>
                <w:rFonts w:ascii="Times New Roman" w:hAnsi="Times New Roman"/>
                <w:b w:val="0"/>
                <w:i w:val="0"/>
                <w:sz w:val="18"/>
              </w:rPr>
              <w:t>Momentum (252d)</w:t>
            </w:r>
          </w:p>
        </w:tc>
        <w:tc>
          <w:tcPr>
            <w:tcW w:type="dxa" w:w="1417"/>
            <w:shd w:val="clear" w:color="auto" w:fill="E8F4F8"/>
          </w:tcPr>
          <w:p>
            <w:pPr>
              <w:jc w:val="center"/>
            </w:pPr>
            <w:r/>
            <w:r>
              <w:rPr>
                <w:rFonts w:ascii="Times New Roman" w:hAnsi="Times New Roman"/>
                <w:b w:val="0"/>
                <w:i w:val="0"/>
                <w:sz w:val="18"/>
              </w:rPr>
              <w:t>+0.0071</w:t>
            </w:r>
          </w:p>
        </w:tc>
        <w:tc>
          <w:tcPr>
            <w:tcW w:type="dxa" w:w="1247"/>
            <w:shd w:val="clear" w:color="auto" w:fill="E8F4F8"/>
          </w:tcPr>
          <w:p>
            <w:pPr>
              <w:jc w:val="center"/>
            </w:pPr>
            <w:r/>
            <w:r>
              <w:rPr>
                <w:rFonts w:ascii="Times New Roman" w:hAnsi="Times New Roman"/>
                <w:b w:val="0"/>
                <w:i w:val="0"/>
                <w:sz w:val="18"/>
              </w:rPr>
              <w:t>0.4747</w:t>
            </w:r>
          </w:p>
        </w:tc>
        <w:tc>
          <w:tcPr>
            <w:tcW w:type="dxa" w:w="1247"/>
            <w:shd w:val="clear" w:color="auto" w:fill="E8F4F8"/>
          </w:tcPr>
          <w:p>
            <w:pPr>
              <w:jc w:val="center"/>
            </w:pPr>
            <w:r/>
            <w:r>
              <w:rPr>
                <w:rFonts w:ascii="Times New Roman" w:hAnsi="Times New Roman"/>
                <w:b w:val="0"/>
                <w:i w:val="0"/>
                <w:sz w:val="18"/>
              </w:rPr>
              <w:t>+0.015</w:t>
            </w:r>
          </w:p>
        </w:tc>
        <w:tc>
          <w:tcPr>
            <w:tcW w:type="dxa" w:w="1587"/>
            <w:shd w:val="clear" w:color="auto" w:fill="E8F4F8"/>
          </w:tcPr>
          <w:p>
            <w:pPr>
              <w:jc w:val="center"/>
            </w:pPr>
            <w:r/>
            <w:r>
              <w:rPr>
                <w:rFonts w:ascii="Times New Roman" w:hAnsi="Times New Roman"/>
                <w:b w:val="0"/>
                <w:i w:val="0"/>
                <w:sz w:val="18"/>
              </w:rPr>
              <w:t>+0.60</w:t>
            </w:r>
          </w:p>
        </w:tc>
        <w:tc>
          <w:tcPr>
            <w:tcW w:type="dxa" w:w="1417"/>
            <w:shd w:val="clear" w:color="auto" w:fill="E8F4F8"/>
          </w:tcPr>
          <w:p>
            <w:pPr>
              <w:jc w:val="center"/>
            </w:pPr>
            <w:r/>
            <w:r>
              <w:rPr>
                <w:rFonts w:ascii="Times New Roman" w:hAnsi="Times New Roman"/>
                <w:b w:val="0"/>
                <w:i w:val="0"/>
                <w:sz w:val="18"/>
              </w:rPr>
              <w:t>0.276</w:t>
            </w:r>
          </w:p>
        </w:tc>
        <w:tc>
          <w:tcPr>
            <w:tcW w:type="dxa" w:w="1247"/>
            <w:shd w:val="clear" w:color="auto" w:fill="E8F4F8"/>
          </w:tcPr>
          <w:p>
            <w:pPr>
              <w:jc w:val="center"/>
            </w:pPr>
            <w:r/>
            <w:r>
              <w:rPr>
                <w:rFonts w:ascii="Times New Roman" w:hAnsi="Times New Roman"/>
                <w:b w:val="0"/>
                <w:i w:val="0"/>
                <w:sz w:val="18"/>
              </w:rPr>
              <w:t>CLOSED</w:t>
            </w:r>
          </w:p>
        </w:tc>
      </w:tr>
      <w:tr>
        <w:tc>
          <w:tcPr>
            <w:tcW w:type="dxa" w:w="2268"/>
          </w:tcPr>
          <w:p>
            <w:pPr>
              <w:jc w:val="left"/>
            </w:pPr>
            <w:r/>
            <w:r>
              <w:rPr>
                <w:rFonts w:ascii="Times New Roman" w:hAnsi="Times New Roman"/>
                <w:b w:val="0"/>
                <w:i w:val="0"/>
                <w:sz w:val="18"/>
              </w:rPr>
              <w:t>ML Ensemble</w:t>
            </w:r>
          </w:p>
        </w:tc>
        <w:tc>
          <w:tcPr>
            <w:tcW w:type="dxa" w:w="1417"/>
          </w:tcPr>
          <w:p>
            <w:pPr>
              <w:jc w:val="center"/>
            </w:pPr>
            <w:r/>
            <w:r>
              <w:rPr>
                <w:rFonts w:ascii="Times New Roman" w:hAnsi="Times New Roman"/>
                <w:b w:val="0"/>
                <w:i w:val="0"/>
                <w:sz w:val="18"/>
              </w:rPr>
              <w:t>−0.0005</w:t>
            </w:r>
          </w:p>
        </w:tc>
        <w:tc>
          <w:tcPr>
            <w:tcW w:type="dxa" w:w="1247"/>
          </w:tcPr>
          <w:p>
            <w:pPr>
              <w:jc w:val="center"/>
            </w:pPr>
            <w:r/>
            <w:r>
              <w:rPr>
                <w:rFonts w:ascii="Times New Roman" w:hAnsi="Times New Roman"/>
                <w:b w:val="0"/>
                <w:i w:val="0"/>
                <w:sz w:val="18"/>
              </w:rPr>
              <w:t>0.2204</w:t>
            </w:r>
          </w:p>
        </w:tc>
        <w:tc>
          <w:tcPr>
            <w:tcW w:type="dxa" w:w="1247"/>
          </w:tcPr>
          <w:p>
            <w:pPr>
              <w:jc w:val="center"/>
            </w:pPr>
            <w:r/>
            <w:r>
              <w:rPr>
                <w:rFonts w:ascii="Times New Roman" w:hAnsi="Times New Roman"/>
                <w:b w:val="0"/>
                <w:i w:val="0"/>
                <w:sz w:val="18"/>
              </w:rPr>
              <w:t>−0.0023</w:t>
            </w:r>
          </w:p>
        </w:tc>
        <w:tc>
          <w:tcPr>
            <w:tcW w:type="dxa" w:w="1587"/>
          </w:tcPr>
          <w:p>
            <w:pPr>
              <w:jc w:val="center"/>
            </w:pPr>
            <w:r/>
            <w:r>
              <w:rPr>
                <w:rFonts w:ascii="Times New Roman" w:hAnsi="Times New Roman"/>
                <w:b w:val="0"/>
                <w:i w:val="0"/>
                <w:sz w:val="18"/>
              </w:rPr>
              <w:t>−0.09</w:t>
            </w:r>
          </w:p>
        </w:tc>
        <w:tc>
          <w:tcPr>
            <w:tcW w:type="dxa" w:w="1417"/>
          </w:tcPr>
          <w:p>
            <w:pPr>
              <w:jc w:val="center"/>
            </w:pPr>
            <w:r/>
            <w:r>
              <w:rPr>
                <w:rFonts w:ascii="Times New Roman" w:hAnsi="Times New Roman"/>
                <w:b w:val="0"/>
                <w:i w:val="0"/>
                <w:sz w:val="18"/>
              </w:rPr>
              <w:t>0.464</w:t>
            </w:r>
          </w:p>
        </w:tc>
        <w:tc>
          <w:tcPr>
            <w:tcW w:type="dxa" w:w="1247"/>
          </w:tcPr>
          <w:p>
            <w:pPr>
              <w:jc w:val="center"/>
            </w:pPr>
            <w:r/>
            <w:r>
              <w:rPr>
                <w:rFonts w:ascii="Times New Roman" w:hAnsi="Times New Roman"/>
                <w:b w:val="0"/>
                <w:i w:val="0"/>
                <w:sz w:val="18"/>
              </w:rPr>
              <w:t>CLOSED</w:t>
            </w:r>
          </w:p>
        </w:tc>
      </w:tr>
    </w:tbl>
    <w:p>
      <w:pPr>
        <w:spacing w:before="80" w:after="200"/>
        <w:jc w:val="center"/>
      </w:pPr>
      <w:r>
        <w:rPr>
          <w:rFonts w:ascii="Times New Roman" w:hAnsi="Times New Roman"/>
          <w:b/>
          <w:i w:val="0"/>
          <w:sz w:val="19"/>
        </w:rPr>
        <w:t>Table 10.</w:t>
      </w:r>
      <w:r>
        <w:rPr>
          <w:rFonts w:ascii="Times New Roman" w:hAnsi="Times New Roman"/>
          <w:b w:val="0"/>
          <w:i w:val="0"/>
          <w:sz w:val="19"/>
        </w:rPr>
        <w:t xml:space="preserve"> IC gate statistics: momentum signal vs ML ensemble baseline. HAC Newey-West t-test (lag = 9) and permutation test (B = 1,000) applied identically to both signals over the full 1,532-day OOS window. The momentum IC is positive but does not meet the daily-frequency significance threshold; the ML ensemble IC is near-zero and negative.</w:t>
      </w:r>
    </w:p>
    <w:p>
      <w:pPr>
        <w:spacing w:before="0" w:after="160" w:line="360" w:lineRule="auto"/>
        <w:ind w:firstLine="0"/>
      </w:pPr>
      <w:r>
        <w:rPr>
          <w:rFonts w:ascii="Times New Roman" w:hAnsi="Times New Roman"/>
          <w:b w:val="0"/>
          <w:i w:val="0"/>
          <w:sz w:val="22"/>
        </w:rPr>
        <w:t>Both signals produce a closed gate, but for qualitatively different reasons. The ML ensemble mean IC is −0.0005 — negative, near-zero, and with HAC t = −0.09 (p = 0.464). There is no directional signal. The momentum IC is directionally consistent with the known momentum premium (+0.007, positive), but statistically insufficient at daily frequency in a seven-stock universe: the high IC standard deviation (0.47 vs 0.22 for ML ensemble) reflects the variance of a cross-sectional rank correlation computed over only seven stocks, producing HAC t = +0.60 (p = 0.276). This distinction is mechanistically important: the Momentum Top-1 strategy achieves an annualised Sharpe ratio of 0.57 (Section 5) not through statistically significant day-to-day cross-sectional IC, but through multi-week trend persistence — a distinct predictive mechanism that the daily IC test is not designed to detect. The ICGDF gate specifically evaluates daily cross-sectional prediction quality; a positive Sharpe from trend following does not imply daily IC significance.</w:t>
      </w:r>
    </w:p>
    <w:p>
      <w:pPr>
        <w:keepNext/>
        <w:spacing w:before="280" w:after="80"/>
      </w:pPr>
      <w:r>
        <w:rPr>
          <w:rFonts w:ascii="Times New Roman" w:hAnsi="Times New Roman"/>
          <w:b/>
          <w:i w:val="0"/>
          <w:color w:val="2A9D8F"/>
          <w:sz w:val="23"/>
        </w:rPr>
        <w:t>6.7 Ablation Study: Component Necessity</w:t>
      </w:r>
    </w:p>
    <w:p>
      <w:pPr>
        <w:spacing w:before="0" w:after="160" w:line="360" w:lineRule="auto"/>
        <w:ind w:firstLine="0"/>
      </w:pPr>
      <w:r>
        <w:rPr>
          <w:rFonts w:ascii="Times New Roman" w:hAnsi="Times New Roman"/>
          <w:b w:val="0"/>
          <w:i w:val="0"/>
          <w:sz w:val="22"/>
        </w:rPr>
        <w:t>ICGDF comprises two components applied in sequence: a Newey-West HAC t-test (correcting for autocorrelation in the IC series) and a permutation test (providing non-parametric confirmation robust to distributional assumptions). To assess whether both components are individually necessary, we compare three gate variants: (i) naive t-test only — no autocorrelation correction; (ii) HAC t-test only — no permutation confirmation; and (iii) full ICGDF — both components applied conjunctively. Table 11 reports gate decisions applied to the ML ensemble IC and momentum IC across all 12 walk-forward folds, and the empirical false positive rate under a simulated null AR(1) IC process (φ = 0.30, 500 trials, N = 126 days per trial).</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381"/>
            <w:shd w:val="clear" w:color="auto" w:fill="264653"/>
          </w:tcPr>
          <w:p>
            <w:r/>
            <w:r>
              <w:rPr>
                <w:rFonts w:ascii="Times New Roman" w:hAnsi="Times New Roman"/>
                <w:b/>
                <w:i w:val="0"/>
                <w:color w:val="FFFFFF"/>
                <w:sz w:val="18"/>
              </w:rPr>
              <w:t>Gate Variant</w:t>
            </w:r>
          </w:p>
        </w:tc>
        <w:tc>
          <w:tcPr>
            <w:tcW w:type="dxa" w:w="1984"/>
            <w:shd w:val="clear" w:color="auto" w:fill="264653"/>
          </w:tcPr>
          <w:p>
            <w:r/>
            <w:r>
              <w:rPr>
                <w:rFonts w:ascii="Times New Roman" w:hAnsi="Times New Roman"/>
                <w:b/>
                <w:i w:val="0"/>
                <w:color w:val="FFFFFF"/>
                <w:sz w:val="18"/>
              </w:rPr>
              <w:t>ML Folds Closed</w:t>
            </w:r>
          </w:p>
        </w:tc>
        <w:tc>
          <w:tcPr>
            <w:tcW w:type="dxa" w:w="1984"/>
            <w:shd w:val="clear" w:color="auto" w:fill="264653"/>
          </w:tcPr>
          <w:p>
            <w:r/>
            <w:r>
              <w:rPr>
                <w:rFonts w:ascii="Times New Roman" w:hAnsi="Times New Roman"/>
                <w:b/>
                <w:i w:val="0"/>
                <w:color w:val="FFFFFF"/>
                <w:sz w:val="18"/>
              </w:rPr>
              <w:t>Momentum Gate</w:t>
            </w:r>
          </w:p>
        </w:tc>
        <w:tc>
          <w:tcPr>
            <w:tcW w:type="dxa" w:w="1587"/>
            <w:shd w:val="clear" w:color="auto" w:fill="264653"/>
          </w:tcPr>
          <w:p>
            <w:r/>
            <w:r>
              <w:rPr>
                <w:rFonts w:ascii="Times New Roman" w:hAnsi="Times New Roman"/>
                <w:b/>
                <w:i w:val="0"/>
                <w:color w:val="FFFFFF"/>
                <w:sz w:val="18"/>
              </w:rPr>
              <w:t>Null FPR</w:t>
            </w:r>
          </w:p>
        </w:tc>
        <w:tc>
          <w:tcPr>
            <w:tcW w:type="dxa" w:w="3118"/>
            <w:shd w:val="clear" w:color="auto" w:fill="264653"/>
          </w:tcPr>
          <w:p>
            <w:r/>
            <w:r>
              <w:rPr>
                <w:rFonts w:ascii="Times New Roman" w:hAnsi="Times New Roman"/>
                <w:b/>
                <w:i w:val="0"/>
                <w:color w:val="FFFFFF"/>
                <w:sz w:val="18"/>
              </w:rPr>
              <w:t>Assessment</w:t>
            </w:r>
          </w:p>
        </w:tc>
      </w:tr>
      <w:tr>
        <w:tc>
          <w:tcPr>
            <w:tcW w:type="dxa" w:w="2381"/>
            <w:shd w:val="clear" w:color="auto" w:fill="E8F4F8"/>
          </w:tcPr>
          <w:p>
            <w:pPr>
              <w:jc w:val="left"/>
            </w:pPr>
            <w:r/>
            <w:r>
              <w:rPr>
                <w:rFonts w:ascii="Times New Roman" w:hAnsi="Times New Roman"/>
                <w:b w:val="0"/>
                <w:i w:val="0"/>
                <w:sz w:val="18"/>
              </w:rPr>
              <w:t>Naive t-test only</w:t>
            </w:r>
          </w:p>
        </w:tc>
        <w:tc>
          <w:tcPr>
            <w:tcW w:type="dxa" w:w="1984"/>
            <w:shd w:val="clear" w:color="auto" w:fill="E8F4F8"/>
          </w:tcPr>
          <w:p>
            <w:pPr>
              <w:jc w:val="center"/>
            </w:pPr>
            <w:r/>
            <w:r>
              <w:rPr>
                <w:rFonts w:ascii="Times New Roman" w:hAnsi="Times New Roman"/>
                <w:b w:val="0"/>
                <w:i w:val="0"/>
                <w:sz w:val="18"/>
              </w:rPr>
              <w:t>12/12 CLOSED</w:t>
            </w:r>
          </w:p>
        </w:tc>
        <w:tc>
          <w:tcPr>
            <w:tcW w:type="dxa" w:w="1984"/>
            <w:shd w:val="clear" w:color="auto" w:fill="E8F4F8"/>
          </w:tcPr>
          <w:p>
            <w:pPr>
              <w:jc w:val="center"/>
            </w:pPr>
            <w:r/>
            <w:r>
              <w:rPr>
                <w:rFonts w:ascii="Times New Roman" w:hAnsi="Times New Roman"/>
                <w:b w:val="0"/>
                <w:i w:val="0"/>
                <w:sz w:val="18"/>
              </w:rPr>
              <w:t>CLOSED</w:t>
            </w:r>
          </w:p>
        </w:tc>
        <w:tc>
          <w:tcPr>
            <w:tcW w:type="dxa" w:w="1587"/>
            <w:shd w:val="clear" w:color="auto" w:fill="E8F4F8"/>
          </w:tcPr>
          <w:p>
            <w:pPr>
              <w:jc w:val="center"/>
            </w:pPr>
            <w:r/>
            <w:r>
              <w:rPr>
                <w:rFonts w:ascii="Times New Roman" w:hAnsi="Times New Roman"/>
                <w:b w:val="0"/>
                <w:i w:val="0"/>
                <w:sz w:val="18"/>
              </w:rPr>
              <w:t>11.8%</w:t>
            </w:r>
          </w:p>
        </w:tc>
        <w:tc>
          <w:tcPr>
            <w:tcW w:type="dxa" w:w="3118"/>
            <w:shd w:val="clear" w:color="auto" w:fill="E8F4F8"/>
          </w:tcPr>
          <w:p>
            <w:pPr>
              <w:jc w:val="center"/>
            </w:pPr>
            <w:r/>
            <w:r>
              <w:rPr>
                <w:rFonts w:ascii="Times New Roman" w:hAnsi="Times New Roman"/>
                <w:b w:val="0"/>
                <w:i w:val="0"/>
                <w:sz w:val="18"/>
              </w:rPr>
              <w:t>Inflated type-I error</w:t>
            </w:r>
          </w:p>
        </w:tc>
      </w:tr>
      <w:tr>
        <w:tc>
          <w:tcPr>
            <w:tcW w:type="dxa" w:w="2381"/>
          </w:tcPr>
          <w:p>
            <w:pPr>
              <w:jc w:val="left"/>
            </w:pPr>
            <w:r/>
            <w:r>
              <w:rPr>
                <w:rFonts w:ascii="Times New Roman" w:hAnsi="Times New Roman"/>
                <w:b w:val="0"/>
                <w:i w:val="0"/>
                <w:sz w:val="18"/>
              </w:rPr>
              <w:t>HAC t-test only</w:t>
            </w:r>
          </w:p>
        </w:tc>
        <w:tc>
          <w:tcPr>
            <w:tcW w:type="dxa" w:w="1984"/>
          </w:tcPr>
          <w:p>
            <w:pPr>
              <w:jc w:val="center"/>
            </w:pPr>
            <w:r/>
            <w:r>
              <w:rPr>
                <w:rFonts w:ascii="Times New Roman" w:hAnsi="Times New Roman"/>
                <w:b w:val="0"/>
                <w:i w:val="0"/>
                <w:sz w:val="18"/>
              </w:rPr>
              <w:t>12/12 CLOSED</w:t>
            </w:r>
          </w:p>
        </w:tc>
        <w:tc>
          <w:tcPr>
            <w:tcW w:type="dxa" w:w="1984"/>
          </w:tcPr>
          <w:p>
            <w:pPr>
              <w:jc w:val="center"/>
            </w:pPr>
            <w:r/>
            <w:r>
              <w:rPr>
                <w:rFonts w:ascii="Times New Roman" w:hAnsi="Times New Roman"/>
                <w:b w:val="0"/>
                <w:i w:val="0"/>
                <w:sz w:val="18"/>
              </w:rPr>
              <w:t>CLOSED</w:t>
            </w:r>
          </w:p>
        </w:tc>
        <w:tc>
          <w:tcPr>
            <w:tcW w:type="dxa" w:w="1587"/>
          </w:tcPr>
          <w:p>
            <w:pPr>
              <w:jc w:val="center"/>
            </w:pPr>
            <w:r/>
            <w:r>
              <w:rPr>
                <w:rFonts w:ascii="Times New Roman" w:hAnsi="Times New Roman"/>
                <w:b w:val="0"/>
                <w:i w:val="0"/>
                <w:sz w:val="18"/>
              </w:rPr>
              <w:t>7.6%</w:t>
            </w:r>
          </w:p>
        </w:tc>
        <w:tc>
          <w:tcPr>
            <w:tcW w:type="dxa" w:w="3118"/>
          </w:tcPr>
          <w:p>
            <w:pPr>
              <w:jc w:val="center"/>
            </w:pPr>
            <w:r/>
            <w:r>
              <w:rPr>
                <w:rFonts w:ascii="Times New Roman" w:hAnsi="Times New Roman"/>
                <w:b w:val="0"/>
                <w:i w:val="0"/>
                <w:sz w:val="18"/>
              </w:rPr>
              <w:t>Reduced but not correct</w:t>
            </w:r>
          </w:p>
        </w:tc>
      </w:tr>
      <w:tr>
        <w:tc>
          <w:tcPr>
            <w:tcW w:type="dxa" w:w="2381"/>
            <w:shd w:val="clear" w:color="auto" w:fill="E8F4F8"/>
          </w:tcPr>
          <w:p>
            <w:pPr>
              <w:jc w:val="left"/>
            </w:pPr>
            <w:r/>
            <w:r>
              <w:rPr>
                <w:rFonts w:ascii="Times New Roman" w:hAnsi="Times New Roman"/>
                <w:b w:val="0"/>
                <w:i w:val="0"/>
                <w:sz w:val="18"/>
              </w:rPr>
              <w:t>Full ICGDF (paper)</w:t>
            </w:r>
          </w:p>
        </w:tc>
        <w:tc>
          <w:tcPr>
            <w:tcW w:type="dxa" w:w="1984"/>
            <w:shd w:val="clear" w:color="auto" w:fill="E8F4F8"/>
          </w:tcPr>
          <w:p>
            <w:pPr>
              <w:jc w:val="center"/>
            </w:pPr>
            <w:r/>
            <w:r>
              <w:rPr>
                <w:rFonts w:ascii="Times New Roman" w:hAnsi="Times New Roman"/>
                <w:b w:val="0"/>
                <w:i w:val="0"/>
                <w:sz w:val="18"/>
              </w:rPr>
              <w:t>12/12 CLOSED</w:t>
            </w:r>
          </w:p>
        </w:tc>
        <w:tc>
          <w:tcPr>
            <w:tcW w:type="dxa" w:w="1984"/>
            <w:shd w:val="clear" w:color="auto" w:fill="E8F4F8"/>
          </w:tcPr>
          <w:p>
            <w:pPr>
              <w:jc w:val="center"/>
            </w:pPr>
            <w:r/>
            <w:r>
              <w:rPr>
                <w:rFonts w:ascii="Times New Roman" w:hAnsi="Times New Roman"/>
                <w:b w:val="0"/>
                <w:i w:val="0"/>
                <w:sz w:val="18"/>
              </w:rPr>
              <w:t>CLOSED</w:t>
            </w:r>
          </w:p>
        </w:tc>
        <w:tc>
          <w:tcPr>
            <w:tcW w:type="dxa" w:w="1587"/>
            <w:shd w:val="clear" w:color="auto" w:fill="E8F4F8"/>
          </w:tcPr>
          <w:p>
            <w:pPr>
              <w:jc w:val="center"/>
            </w:pPr>
            <w:r/>
            <w:r>
              <w:rPr>
                <w:rFonts w:ascii="Times New Roman" w:hAnsi="Times New Roman"/>
                <w:b w:val="0"/>
                <w:i w:val="0"/>
                <w:sz w:val="18"/>
              </w:rPr>
              <w:t>0.0%</w:t>
            </w:r>
          </w:p>
        </w:tc>
        <w:tc>
          <w:tcPr>
            <w:tcW w:type="dxa" w:w="3118"/>
            <w:shd w:val="clear" w:color="auto" w:fill="E8F4F8"/>
          </w:tcPr>
          <w:p>
            <w:pPr>
              <w:jc w:val="center"/>
            </w:pPr>
            <w:r/>
            <w:r>
              <w:rPr>
                <w:rFonts w:ascii="Times New Roman" w:hAnsi="Times New Roman"/>
                <w:b w:val="0"/>
                <w:i w:val="0"/>
                <w:sz w:val="18"/>
              </w:rPr>
              <w:t>Correct (both conditions)</w:t>
            </w:r>
          </w:p>
        </w:tc>
      </w:tr>
    </w:tbl>
    <w:p>
      <w:pPr>
        <w:spacing w:before="80" w:after="200"/>
        <w:jc w:val="center"/>
      </w:pPr>
      <w:r>
        <w:rPr>
          <w:rFonts w:ascii="Times New Roman" w:hAnsi="Times New Roman"/>
          <w:b/>
          <w:i w:val="0"/>
          <w:sz w:val="19"/>
        </w:rPr>
        <w:t>Table 11.</w:t>
      </w:r>
      <w:r>
        <w:rPr>
          <w:rFonts w:ascii="Times New Roman" w:hAnsi="Times New Roman"/>
          <w:b w:val="0"/>
          <w:i w:val="0"/>
          <w:sz w:val="19"/>
        </w:rPr>
        <w:t xml:space="preserve"> ICGDF component ablation: gate decisions across 12 ML folds and momentum IC, and false positive rate (FPR) under 500 simulated AR(1) null IC series (φ = 0.30, N = 126 days, IC std = 0.22). Full ICGDF achieves the lowest null FPR. Gate decisions are identical across all variants for signals far from the significance boundary.</w:t>
      </w:r>
    </w:p>
    <w:p>
      <w:pPr>
        <w:spacing w:before="0" w:after="160" w:line="360" w:lineRule="auto"/>
        <w:ind w:firstLine="0"/>
      </w:pPr>
      <w:r>
        <w:rPr>
          <w:rFonts w:ascii="Times New Roman" w:hAnsi="Times New Roman"/>
          <w:b w:val="0"/>
          <w:i w:val="0"/>
          <w:sz w:val="22"/>
        </w:rPr>
        <w:t>All three variants correctly close the gate for both the ML ensemble IC and momentum IC: both signals are well below the significance threshold, and the gate decisions are invariant to component choice. The ablation's diagnostic value lies in the false positive rate under the simulated null. The naive t-test, which ignores serial correlation in the IC series, spuriously rejects the null at 11.8% — more than double the nominal α = 5% level — when IC observations exhibit moderate autocorrelation (φ = 0.30). Adding the HAC correction (variant B) reduces the false positive rate to 7.6%, still above α. Full ICGDF, requiring both HAC significance and permutation confirmation (a stricter conjunctive test), achieves 0.0% FPR across 500 trials: the gate never fires spuriously for pure AR(1) noise. Both components are therefore individually necessary — HAC corrects for autocorrelation inflation; the permutation test provides distributional robustness that eliminates the remaining 2.6 percentage-point excess above α.</w:t>
      </w:r>
    </w:p>
    <w:p>
      <w:pPr>
        <w:keepNext/>
        <w:spacing w:before="280" w:after="80"/>
      </w:pPr>
      <w:r>
        <w:rPr>
          <w:rFonts w:ascii="Times New Roman" w:hAnsi="Times New Roman"/>
          <w:b/>
          <w:i w:val="0"/>
          <w:color w:val="264653"/>
          <w:sz w:val="26"/>
        </w:rPr>
        <w:t>7. Discussion</w:t>
      </w:r>
    </w:p>
    <w:p>
      <w:pPr>
        <w:keepNext/>
        <w:spacing w:before="280" w:after="80"/>
      </w:pPr>
      <w:r>
        <w:rPr>
          <w:rFonts w:ascii="Times New Roman" w:hAnsi="Times New Roman"/>
          <w:b/>
          <w:i w:val="0"/>
          <w:color w:val="2A9D8F"/>
          <w:sz w:val="23"/>
        </w:rPr>
        <w:t>7.1 Why the Gate Closing is the Right Answer</w:t>
      </w:r>
    </w:p>
    <w:p>
      <w:pPr>
        <w:spacing w:before="0" w:after="160" w:line="360" w:lineRule="auto"/>
        <w:ind w:firstLine="0"/>
      </w:pPr>
      <w:r>
        <w:rPr>
          <w:rFonts w:ascii="Times New Roman" w:hAnsi="Times New Roman"/>
          <w:b w:val="0"/>
          <w:i w:val="0"/>
          <w:sz w:val="22"/>
        </w:rPr>
        <w:t>An IC gate that never opens is not a broken model — it is an honest model in an efficient market segment. The 30 large-cap NASDAQ-100 stocks in our universe are among the most analysed, most liquid equities in the world. Hundreds of professional managers and quant funds apply far more sophisticated signals to the same instruments daily. The notion that 49 backward-looking OHLCV technical indicators would produce exploitable cross-sectional signal in this segment contradicts both the efficient market hypothesis and the well-documented attenuation of technical anomalies documented by Chordia et al. (2014).</w:t>
      </w:r>
    </w:p>
    <w:p>
      <w:pPr>
        <w:spacing w:before="0" w:after="160" w:line="360" w:lineRule="auto"/>
        <w:ind w:firstLine="0"/>
      </w:pPr>
      <w:r>
        <w:rPr>
          <w:rFonts w:ascii="Times New Roman" w:hAnsi="Times New Roman"/>
          <w:b w:val="0"/>
          <w:i w:val="0"/>
          <w:sz w:val="22"/>
        </w:rPr>
        <w:t>Our result is consistent with but distinct from the broader ML-in-finance literature. Gu et al. (2020) find positive return predictability, but their universe spans the full US cross-section including small-cap stocks where efficiency is weaker, and their horizon is monthly rather than daily. The daily, large-cap, single-sector setting we study is substantially harder. The null result is specific to the signal class tested: 49 OHLCV-derived technical indicators applied to large-cap NASDAQ stocks at daily frequency. It does not generalise to ML models using richer information sets or applied to less efficient market segments.</w:t>
      </w:r>
    </w:p>
    <w:p>
      <w:pPr>
        <w:keepNext/>
        <w:spacing w:before="280" w:after="80"/>
      </w:pPr>
      <w:r>
        <w:rPr>
          <w:rFonts w:ascii="Times New Roman" w:hAnsi="Times New Roman"/>
          <w:b/>
          <w:i w:val="0"/>
          <w:color w:val="2A9D8F"/>
          <w:sz w:val="23"/>
        </w:rPr>
        <w:t>7.2 Calibration Orthogonality</w:t>
      </w:r>
    </w:p>
    <w:p>
      <w:pPr>
        <w:spacing w:before="0" w:after="160" w:line="360" w:lineRule="auto"/>
        <w:ind w:firstLine="0"/>
      </w:pPr>
      <w:r>
        <w:rPr>
          <w:rFonts w:ascii="Times New Roman" w:hAnsi="Times New Roman"/>
          <w:b w:val="0"/>
          <w:i w:val="0"/>
          <w:sz w:val="22"/>
        </w:rPr>
        <w:t>The finding that calibration quality (ECE &lt; 0.025) is orthogonal to discriminative content (IC ≈ 0) has practical implications. A well-calibrated model that produces IC ≈ 0 is not a poorly trained model — it has correctly learned that each stock has a roughly 50% probability of going up tomorrow, and reports close to 50% for each. The cross-sectional rank ordering of those probabilities is nearly random. This is different from a poorly calibrated model that reports 80% for every stock — that model is wrong even though it might produce the same ranking.</w:t>
      </w:r>
    </w:p>
    <w:p>
      <w:pPr>
        <w:spacing w:before="0" w:after="160" w:line="360" w:lineRule="auto"/>
        <w:ind w:firstLine="0"/>
      </w:pPr>
      <w:r>
        <w:rPr>
          <w:rFonts w:ascii="Times New Roman" w:hAnsi="Times New Roman"/>
          <w:b w:val="0"/>
          <w:i w:val="0"/>
          <w:sz w:val="22"/>
        </w:rPr>
        <w:t>This distinction matters for model evaluation in finance. A calibration diagnostic alone cannot confirm that a model has learned the right signal. The IC test is essential — it evaluates rank ordering explicitly rather than marginal probability accuracy. We recommend that quantitative researchers report both ECE and IC as complementary diagnostics, rather than relying on either alone.</w:t>
      </w:r>
    </w:p>
    <w:p>
      <w:pPr>
        <w:keepNext/>
        <w:spacing w:before="280" w:after="80"/>
      </w:pPr>
      <w:r>
        <w:rPr>
          <w:rFonts w:ascii="Times New Roman" w:hAnsi="Times New Roman"/>
          <w:b/>
          <w:i w:val="0"/>
          <w:color w:val="2A9D8F"/>
          <w:sz w:val="23"/>
        </w:rPr>
        <w:t>7.3 ICGDF as the Primary Contribution</w:t>
      </w:r>
    </w:p>
    <w:p>
      <w:pPr>
        <w:spacing w:before="0" w:after="160" w:line="360" w:lineRule="auto"/>
        <w:ind w:firstLine="0"/>
      </w:pPr>
      <w:r>
        <w:rPr>
          <w:rFonts w:ascii="Times New Roman" w:hAnsi="Times New Roman"/>
          <w:b w:val="0"/>
          <w:i w:val="0"/>
          <w:sz w:val="22"/>
        </w:rPr>
        <w:t>The IC-Gated Deployment Framework is the primary contribution of this paper. The null empirical finding — the gate staying closed — is evidence that ICGDF functions as intended, not a limitation of the research. A gate that opens indiscriminately, or a framework that deploys capital without pre-deployment screening, would be the failure mode. ICGDF is a reusable, architecture-agnostic protocol: any walk-forward conviction ranking system — whether based on gradient boosting, neural networks, or linear models — can incorporate the two-stage gate (HAC t-test followed by permutation confirmation) without modification to the base learner. The gate substantially reduces the risk of deploying capital when the cross-sectional IC series does not carry genuine predictive content, protecting against the false-discovery conditions identified by Harvey et al. (2016) and the backtest overfitting dynamics formalised by Bailey et al. (2014).</w:t>
      </w:r>
    </w:p>
    <w:p>
      <w:pPr>
        <w:spacing w:before="0" w:after="160" w:line="360" w:lineRule="auto"/>
        <w:ind w:firstLine="0"/>
      </w:pPr>
      <w:r>
        <w:rPr>
          <w:rFonts w:ascii="Times New Roman" w:hAnsi="Times New Roman"/>
          <w:b w:val="0"/>
          <w:i w:val="0"/>
          <w:sz w:val="22"/>
        </w:rPr>
        <w:t>The framework's leakage-free walk-forward protocol — expanding windows with temporal embargoes, fold-specific isotonic calibration on held-out windows, and strictly causal feature construction — represents a methodologically complete implementation of the principles in Prado (2018). The five robustness checks confirm the null result under varying universe size, inference method, volatility regime, and resampling scheme. Each check independently satisfies conditions under which a false positive could plausibly emerge; none does. The combination of a well-specified framework, a well-trained model (ECE &lt; 0.025), and a well-controlled null result constitutes a stronger methodological statement than a marginal positive finding obtained under weaker experimental design.</w:t>
      </w:r>
    </w:p>
    <w:p>
      <w:pPr>
        <w:spacing w:before="0" w:after="160" w:line="360" w:lineRule="auto"/>
        <w:ind w:firstLine="0"/>
      </w:pPr>
      <w:r>
        <w:rPr>
          <w:rFonts w:ascii="Times New Roman" w:hAnsi="Times New Roman"/>
          <w:b w:val="0"/>
          <w:i w:val="0"/>
          <w:sz w:val="22"/>
        </w:rPr>
        <w:t>ICGDF is deliberately model-agnostic and market-agnostic. The framework imposes no constraint on the choice of base learner: the two-stage gate (Steps 5–10 of Algorithm 1) operates solely on the daily IC series produced by whatever scoring model is employed, and can be incorporated without modification into systems using gradient boosting, deep neural networks, linear factor models, or any other architecture that produces a cross-sectional conviction ranking. The protocol is equally applicable to equity markets outside the NASDAQ-100 universe — including small-cap stocks, emerging markets, commodity futures, and fixed-income credit spreads — wherever a daily cross-sectional IC series can be constructed. Future empirical work should test whether richer information sets (fundamental signals, NLP-derived sentiment, options-implied volatility surfaces) open the gate in the same large-cap universe, and whether the two-stage gate generalises to less informationally efficient market segments where the efficiency hypothesis is more contestable.</w:t>
      </w:r>
    </w:p>
    <w:p>
      <w:pPr>
        <w:keepNext/>
        <w:spacing w:before="280" w:after="80"/>
      </w:pPr>
      <w:r>
        <w:rPr>
          <w:rFonts w:ascii="Times New Roman" w:hAnsi="Times New Roman"/>
          <w:b/>
          <w:i w:val="0"/>
          <w:color w:val="2A9D8F"/>
          <w:sz w:val="23"/>
        </w:rPr>
        <w:t>7.4 Positive Control: Momentum Contrast and Mechanism Separation</w:t>
      </w:r>
    </w:p>
    <w:p>
      <w:pPr>
        <w:spacing w:before="0" w:after="160" w:line="360" w:lineRule="auto"/>
        <w:ind w:firstLine="0"/>
      </w:pPr>
      <w:r>
        <w:rPr>
          <w:rFonts w:ascii="Times New Roman" w:hAnsi="Times New Roman"/>
          <w:b w:val="0"/>
          <w:i w:val="0"/>
          <w:sz w:val="22"/>
        </w:rPr>
        <w:t>A null result requires a positive control to establish that cross-sectional structure exists in the data and that the ICGDF gate's closure is informative, not a consequence of a uniformly unpredictable universe. We provide this through a simple momentum heuristic: at each rebalance date, rank stocks by trailing 12-month return and go long the top-ranked stock (Momentum Top-1), consistent with the long-run momentum effect documented by Jegadeesh and Titman (1993). This heuristic, which requires no machine learning and no calibration, achieves an annualised Sharpe ratio of 0.57 over the same 1,512-day out-of-sample window — compared with −0.16 for the ML TopK1 strategy and −0.046 for random stock selection. The Sharpe differential of 0.57 versus −0.046 between momentum and random selection confirms that stocks in this universe are not cross-sectionally equivalent: systematic ranking by 12-month return produces consistently different outcomes from chance.</w:t>
      </w:r>
    </w:p>
    <w:p>
      <w:pPr>
        <w:spacing w:before="0" w:after="160" w:line="360" w:lineRule="auto"/>
        <w:ind w:firstLine="0"/>
      </w:pPr>
      <w:r>
        <w:rPr>
          <w:rFonts w:ascii="Times New Roman" w:hAnsi="Times New Roman"/>
          <w:b w:val="0"/>
          <w:i w:val="0"/>
          <w:sz w:val="22"/>
        </w:rPr>
        <w:t>The IC analysis in Section 6.6 (Table 10) adds an important mechanistic clarification. When the identical ICGDF gate is applied to the momentum IC series (daily Spearman rank correlation between 252-day trailing return ranks and next-day returns), the gate also stays closed: momentum daily IC = +0.0071, HAC t = +0.60, p = 0.276. The momentum IC is directionally consistent (positive, as expected) but statistically insufficient at daily frequency. This reveals that the Sharpe advantage of momentum comes from multi-week trend persistence — a mechanism distinct from day-to-day cross-sectional rank prediction, which is what the ICGDF gate specifically evaluates. The IC test requires mean IC &gt; 0.009 to reject the null at 1,532 daily observations; momentum meets this bar directionally but not statistically, whereas the ML ensemble IC (−0.0005) fails even the directional criterion.</w:t>
      </w:r>
    </w:p>
    <w:p>
      <w:pPr>
        <w:spacing w:before="0" w:after="160" w:line="360" w:lineRule="auto"/>
        <w:ind w:firstLine="0"/>
      </w:pPr>
      <w:r>
        <w:rPr>
          <w:rFonts w:ascii="Times New Roman" w:hAnsi="Times New Roman"/>
          <w:b w:val="0"/>
          <w:i w:val="0"/>
          <w:sz w:val="22"/>
        </w:rPr>
        <w:t>This separation of mechanisms is a substantive finding in its own right. The ICGDF gate is not a general filter for strategies with positive Sharpe — it specifically screens for daily cross-sectional IC significance, a stricter criterion. A practitioner could deploy a momentum trend-following strategy without an IC gate because momentum's mechanism (holding winners over weeks) does not depend on daily prediction accuracy. ICGDF is designed for conviction-ranked strategies where daily IC directly determines position sizing — and for that specific use case, neither the 49-indicator ML ensemble nor momentum's daily IC meets the deployment threshold. The Diebold-Mariano test confirms the ML ranking is statistically indistinguishable from random selection (DM = 0.42, p = 0.672), establishing that the gate's closure for the ML model reflects genuine null content, not an overly strict threshold.</w:t>
      </w:r>
    </w:p>
    <w:p>
      <w:pPr>
        <w:keepNext/>
        <w:spacing w:before="280" w:after="80"/>
      </w:pPr>
      <w:r>
        <w:rPr>
          <w:rFonts w:ascii="Times New Roman" w:hAnsi="Times New Roman"/>
          <w:b/>
          <w:i w:val="0"/>
          <w:color w:val="264653"/>
          <w:sz w:val="26"/>
        </w:rPr>
        <w:t>8. Limitations</w:t>
      </w:r>
    </w:p>
    <w:p>
      <w:pPr>
        <w:spacing w:before="0" w:after="120" w:line="360" w:lineRule="auto"/>
        <w:ind w:firstLine="0"/>
      </w:pPr>
      <w:r>
        <w:rPr>
          <w:rFonts w:ascii="Times New Roman" w:hAnsi="Times New Roman"/>
          <w:b w:val="0"/>
          <w:i w:val="0"/>
          <w:sz w:val="22"/>
        </w:rPr>
        <w:t>Four limitations qualify the interpretation of our results.</w:t>
      </w:r>
    </w:p>
    <w:p>
      <w:pPr>
        <w:spacing w:before="0" w:after="120" w:line="360" w:lineRule="auto"/>
        <w:ind w:firstLine="0"/>
      </w:pPr>
      <w:r>
        <w:rPr>
          <w:rFonts w:ascii="Times New Roman" w:hAnsi="Times New Roman"/>
          <w:b w:val="0"/>
          <w:i w:val="0"/>
          <w:sz w:val="22"/>
        </w:rPr>
        <w:t>Universe scope. The 30-stock NASDAQ-100 universe covers only mega-cap technology companies. Results should not be extrapolated to small-cap stocks, non-technology sectors, or international markets where informational efficiency may differ substantially. Our expanded-universe robustness check to N=100 (Section 6.1) shows the null result holds in the broader NASDAQ-100, but leaves other market segments untested.</w:t>
      </w:r>
    </w:p>
    <w:p>
      <w:pPr>
        <w:spacing w:before="0" w:after="120" w:line="360" w:lineRule="auto"/>
        <w:ind w:firstLine="0"/>
      </w:pPr>
      <w:r>
        <w:rPr>
          <w:rFonts w:ascii="Times New Roman" w:hAnsi="Times New Roman"/>
          <w:b w:val="0"/>
          <w:i w:val="0"/>
          <w:sz w:val="22"/>
        </w:rPr>
        <w:t>Feature scope. We test 49 OHLCV-derived technical indicators. Fundamental signals, NLP-derived sentiment features, options market data, cross-asset momentum, and alternative data were not included. The null result applies specifically to the technical indicator signal class, not to ML prediction from richer information sets.</w:t>
      </w:r>
    </w:p>
    <w:p>
      <w:pPr>
        <w:spacing w:before="0" w:after="120" w:line="360" w:lineRule="auto"/>
        <w:ind w:firstLine="0"/>
      </w:pPr>
      <w:r>
        <w:rPr>
          <w:rFonts w:ascii="Times New Roman" w:hAnsi="Times New Roman"/>
          <w:b w:val="0"/>
          <w:i w:val="0"/>
          <w:sz w:val="22"/>
        </w:rPr>
        <w:t>Sample period. The 2015–2024 evaluation window is dominated by a prolonged NASDAQ bull market interrupted by the COVID-19 shock. The rate-shock period (2022–2024) provides some variation, but a full market cycle including a secular bear market would strengthen generalisability claims.</w:t>
      </w:r>
    </w:p>
    <w:p>
      <w:pPr>
        <w:spacing w:before="0" w:after="120" w:line="360" w:lineRule="auto"/>
        <w:ind w:firstLine="0"/>
      </w:pPr>
      <w:r>
        <w:rPr>
          <w:rFonts w:ascii="Times New Roman" w:hAnsi="Times New Roman"/>
          <w:b w:val="0"/>
          <w:i w:val="0"/>
          <w:sz w:val="22"/>
        </w:rPr>
        <w:t>Execution assumptions. We assume close-to-close execution with a fixed 5 bps round-trip cost. In practice, market impact is convex in position size and would make even a non-zero-IC strategy substantially harder to monetise at institutional scale. Our cost sensitivity analysis (Section 5.6) shows the strategy fails even at zero cost, so this limitation does not change the sign of the conclusion.</w:t>
      </w:r>
    </w:p>
    <w:p>
      <w:pPr>
        <w:spacing w:before="0" w:after="160" w:line="360" w:lineRule="auto"/>
        <w:ind w:firstLine="0"/>
      </w:pPr>
      <w:r>
        <w:rPr>
          <w:rFonts w:ascii="Times New Roman" w:hAnsi="Times New Roman"/>
          <w:b w:val="0"/>
          <w:i w:val="0"/>
          <w:sz w:val="22"/>
        </w:rPr>
        <w:t>Computational overhead. The full ICGDF pipeline — including data preparation, 12-fold walk-forward training of the three-model ensemble (CatBoost, Random Forest, MLP), isotonic calibration, IC gate computation, and permutation tests (B = 1,000 shuffles) — completes in approximately 90 minutes on consumer-grade hardware (NVIDIA RTX 4060 GPU, 16 GB RAM). The primary computational cost is CatBoost training; the IC gate itself (HAC t-test and permutation test) adds less than 30 seconds per fold. In a live deployment context, the per-day inference cost (scoring 30 stocks and checking the IC gate) is sub-second, making ICGDF viable for daily-rebalanced strategies without modification.</w:t>
      </w:r>
    </w:p>
    <w:p>
      <w:pPr>
        <w:keepNext/>
        <w:spacing w:before="280" w:after="80"/>
      </w:pPr>
      <w:r>
        <w:rPr>
          <w:rFonts w:ascii="Times New Roman" w:hAnsi="Times New Roman"/>
          <w:b/>
          <w:i w:val="0"/>
          <w:color w:val="264653"/>
          <w:sz w:val="26"/>
        </w:rPr>
        <w:t>9. Conclusion</w:t>
      </w:r>
    </w:p>
    <w:p>
      <w:pPr>
        <w:spacing w:before="0" w:after="160" w:line="360" w:lineRule="auto"/>
        <w:ind w:firstLine="0"/>
      </w:pPr>
      <w:r>
        <w:rPr>
          <w:rFonts w:ascii="Times New Roman" w:hAnsi="Times New Roman"/>
          <w:b w:val="0"/>
          <w:i w:val="0"/>
          <w:sz w:val="22"/>
        </w:rPr>
        <w:t>This paper introduces the IC-Gated Deployment Framework (ICGDF), a two-stage statistical gate that reduces the risk of false discoveries in financial machine learning by requiring Newey-West HAC-corrected IC significance before any position is taken. ICGDF provides a portable, leakage-free protocol — combining expanding walk-forward validation, temporal embargoes, fold-specific isotonic calibration, and a pre-deployment IC test — that can be incorporated into any conviction ranking system without modification to the base learner architecture. The framework directly addresses the methodological failures documented by Harvey et al. (2016) and Bailey et al. (2014): temporal leakage, autocorrelation-naive inference, survivorship bias, and the absence of pre-deployment signal testing.</w:t>
      </w:r>
    </w:p>
    <w:p>
      <w:pPr>
        <w:spacing w:before="0" w:after="160" w:line="360" w:lineRule="auto"/>
        <w:ind w:firstLine="0"/>
      </w:pPr>
      <w:r>
        <w:rPr>
          <w:rFonts w:ascii="Times New Roman" w:hAnsi="Times New Roman"/>
          <w:b w:val="0"/>
          <w:i w:val="0"/>
          <w:sz w:val="22"/>
        </w:rPr>
        <w:t>Applied to 30 survivorship-bias-controlled NASDAQ-100 stocks over 1,512 out-of-sample trading days using 49 strictly causal OHLCV indicators, the gate stays closed: mean IC = −0.0005, t = −0.09, p = 0.464. The TopK1 strategy achieves a Sharpe ratio of −0.16; the ensemble is well-calibrated (ECE &lt; 0.025), establishing that calibration quality and discriminative content are orthogonal. Five independent robustness checks confirm the null. A momentum positive control achieves Sharpe 0.57 over the same window, confirming that cross-sectional structure exists in the universe. An IC gate analysis of the momentum signal reveals that its Sharpe advantage comes from multi-week trend persistence rather than daily IC significance (momentum IC = +0.007, t = +0.60) — establishing an important mechanistic separation between trend-following strategies and daily conviction-ranked approaches for which ICGDF is designed. An ablation study confirms both gate components are necessary: the naive t-test produces an 11.8% false positive rate under a null AR(1) IC process; Full ICGDF reduces this to 0.0%. The Diebold-Mariano test confirms the ML ranking is statistically indistinguishable from random selection (DM = 0.42, p = 0.672).</w:t>
      </w:r>
    </w:p>
    <w:p>
      <w:pPr>
        <w:spacing w:before="0" w:after="240" w:line="360" w:lineRule="auto"/>
        <w:ind w:firstLine="0"/>
      </w:pPr>
      <w:r>
        <w:rPr>
          <w:rFonts w:ascii="Times New Roman" w:hAnsi="Times New Roman"/>
          <w:b w:val="0"/>
          <w:i w:val="0"/>
          <w:sz w:val="22"/>
        </w:rPr>
        <w:t>ICGDF is offered as a reusable, model-agnostic framework for pre-deployment screening in financial ML research. The framework's value lies not in any particular empirical outcome but in the discipline it imposes: a conviction-ranked strategy that cannot clear a pre-deployment daily IC test should not be deployed as a daily trading system, regardless of in-sample performance. Future work should test whether richer information sets — fundamental signals, NLP-derived sentiment, options-implied volatility surfaces, or higher-frequency signals — can open the gate in the same universe, and whether the two-stage gate generalises to less informationally efficient market segments where daily IC significance may be achievable.</w:t>
      </w:r>
    </w:p>
    <w:p>
      <w:pPr>
        <w:keepNext/>
        <w:spacing w:before="280" w:after="80"/>
      </w:pPr>
      <w:r>
        <w:rPr>
          <w:rFonts w:ascii="Times New Roman" w:hAnsi="Times New Roman"/>
          <w:b/>
          <w:i w:val="0"/>
          <w:color w:val="264653"/>
          <w:sz w:val="26"/>
        </w:rPr>
        <w:t>References</w:t>
      </w:r>
    </w:p>
    <w:p>
      <w:pPr>
        <w:spacing w:after="100"/>
        <w:ind w:left="504" w:hanging="504"/>
      </w:pPr>
      <w:r>
        <w:rPr>
          <w:rFonts w:ascii="Times New Roman" w:hAnsi="Times New Roman"/>
          <w:b w:val="0"/>
          <w:i w:val="0"/>
          <w:sz w:val="19"/>
        </w:rPr>
        <w:t>Bailey, D. H., Borwein, J. M., Lopez de Prado, M., &amp; Zhu, Q. J. (2014). Pseudo-mathematics and financial charlatanism: The effects of backtest overfitting on out-of-sample performance. Notices of the American Mathematical Society, 61(5), 458–471.</w:t>
      </w:r>
    </w:p>
    <w:p>
      <w:pPr>
        <w:spacing w:after="100"/>
        <w:ind w:left="504" w:hanging="504"/>
      </w:pPr>
      <w:r>
        <w:rPr>
          <w:rFonts w:ascii="Times New Roman" w:hAnsi="Times New Roman"/>
          <w:b w:val="0"/>
          <w:i w:val="0"/>
          <w:sz w:val="19"/>
        </w:rPr>
        <w:t>Breiman, L. (2001). Random forests. Machine Learning, 45(1), 5–32.</w:t>
      </w:r>
    </w:p>
    <w:p>
      <w:pPr>
        <w:spacing w:after="100"/>
        <w:ind w:left="504" w:hanging="504"/>
      </w:pPr>
      <w:r>
        <w:rPr>
          <w:rFonts w:ascii="Times New Roman" w:hAnsi="Times New Roman"/>
          <w:b w:val="0"/>
          <w:i w:val="0"/>
          <w:sz w:val="19"/>
        </w:rPr>
        <w:t>Chordia, T., Roll, R., &amp; Subrahmanyam, A. (2005). Evidence on the speed of convergence to market efficiency. Journal of Financial Economics, 76(2), 271–292.</w:t>
      </w:r>
    </w:p>
    <w:p>
      <w:pPr>
        <w:spacing w:after="100"/>
        <w:ind w:left="504" w:hanging="504"/>
      </w:pPr>
      <w:r>
        <w:rPr>
          <w:rFonts w:ascii="Times New Roman" w:hAnsi="Times New Roman"/>
          <w:b w:val="0"/>
          <w:i w:val="0"/>
          <w:sz w:val="19"/>
        </w:rPr>
        <w:t>Chordia, T., Subrahmanyam, A., &amp; Tong, Q. (2014). Have capital market anomalies attenuated in the recent era of high liquidity and trading activity? Journal of Accounting and Economics, 58(1), 41–58.</w:t>
      </w:r>
    </w:p>
    <w:p>
      <w:pPr>
        <w:spacing w:after="100"/>
        <w:ind w:left="504" w:hanging="504"/>
      </w:pPr>
      <w:r>
        <w:rPr>
          <w:rFonts w:ascii="Times New Roman" w:hAnsi="Times New Roman"/>
          <w:b w:val="0"/>
          <w:i w:val="0"/>
          <w:sz w:val="19"/>
        </w:rPr>
        <w:t>Diebold, F. X., &amp; Mariano, R. S. (1995). Comparing predictive accuracy. Journal of Business &amp; Economic Statistics, 13(3), 253–263.</w:t>
      </w:r>
    </w:p>
    <w:p>
      <w:pPr>
        <w:spacing w:after="100"/>
        <w:ind w:left="504" w:hanging="504"/>
      </w:pPr>
      <w:r>
        <w:rPr>
          <w:rFonts w:ascii="Times New Roman" w:hAnsi="Times New Roman"/>
          <w:b w:val="0"/>
          <w:i w:val="0"/>
          <w:sz w:val="19"/>
        </w:rPr>
        <w:t>Fama, E. F. (1991). Efficient capital markets: II. Journal of Finance, 46(5), 1575–1617.</w:t>
      </w:r>
    </w:p>
    <w:p>
      <w:pPr>
        <w:spacing w:after="100"/>
        <w:ind w:left="504" w:hanging="504"/>
      </w:pPr>
      <w:r>
        <w:rPr>
          <w:rFonts w:ascii="Times New Roman" w:hAnsi="Times New Roman"/>
          <w:b w:val="0"/>
          <w:i w:val="0"/>
          <w:sz w:val="19"/>
        </w:rPr>
        <w:t>Freyberger, J., Neuhierl, A., &amp; Weber, M. (2020). Dissecting characteristics nonparametrically. Review of Financial Studies, 33(5), 2326–2377.</w:t>
      </w:r>
    </w:p>
    <w:p>
      <w:pPr>
        <w:spacing w:after="100"/>
        <w:ind w:left="504" w:hanging="504"/>
      </w:pPr>
      <w:r>
        <w:rPr>
          <w:rFonts w:ascii="Times New Roman" w:hAnsi="Times New Roman"/>
          <w:b w:val="0"/>
          <w:i w:val="0"/>
          <w:sz w:val="19"/>
        </w:rPr>
        <w:t>Grinold, R. C., &amp; Kahn, R. N. (1999). Active Portfolio Management: A Quantitative Approach for Producing Superior Returns and Selecting Superior Returns and Controlling Risk (2nd ed.). McGraw-Hill.</w:t>
      </w:r>
    </w:p>
    <w:p>
      <w:pPr>
        <w:spacing w:after="100"/>
        <w:ind w:left="504" w:hanging="504"/>
      </w:pPr>
      <w:r>
        <w:rPr>
          <w:rFonts w:ascii="Times New Roman" w:hAnsi="Times New Roman"/>
          <w:b w:val="0"/>
          <w:i w:val="0"/>
          <w:sz w:val="19"/>
        </w:rPr>
        <w:t>Gu, S., Kelly, B., &amp; Xiu, D. (2020). Empirical asset pricing via machine learning. Review of Financial Studies, 33(5), 2223–2273.</w:t>
      </w:r>
    </w:p>
    <w:p>
      <w:pPr>
        <w:spacing w:after="100"/>
        <w:ind w:left="504" w:hanging="504"/>
      </w:pPr>
      <w:r>
        <w:rPr>
          <w:rFonts w:ascii="Times New Roman" w:hAnsi="Times New Roman"/>
          <w:b w:val="0"/>
          <w:i w:val="0"/>
          <w:sz w:val="19"/>
        </w:rPr>
        <w:t>Guo, C., Pleiss, G., Sun, Y., &amp; Weinberger, K. Q. (2017). On calibration of modern neural networks. Proceedings of the 34th International Conference on Machine Learning (ICML), 1321–1330.</w:t>
      </w:r>
    </w:p>
    <w:p>
      <w:pPr>
        <w:spacing w:after="100"/>
        <w:ind w:left="504" w:hanging="504"/>
      </w:pPr>
      <w:r>
        <w:rPr>
          <w:rFonts w:ascii="Times New Roman" w:hAnsi="Times New Roman"/>
          <w:b w:val="0"/>
          <w:i w:val="0"/>
          <w:sz w:val="19"/>
        </w:rPr>
        <w:t>Harvey, C. R., Liu, Y., &amp; Zhu, H. (2016). …and the cross-section of expected returns. Review of Financial Studies, 29(1), 5–68.</w:t>
      </w:r>
    </w:p>
    <w:p>
      <w:pPr>
        <w:spacing w:after="100"/>
        <w:ind w:left="504" w:hanging="504"/>
      </w:pPr>
      <w:r>
        <w:rPr>
          <w:rFonts w:ascii="Times New Roman" w:hAnsi="Times New Roman"/>
          <w:b w:val="0"/>
          <w:i w:val="0"/>
          <w:sz w:val="19"/>
        </w:rPr>
        <w:t>Jegadeesh, N., &amp; Titman, S. (1993). Returns to buying winners and selling losers: Implications for stock market efficiency. Journal of Finance, 48(1), 65–91.</w:t>
      </w:r>
    </w:p>
    <w:p>
      <w:pPr>
        <w:spacing w:after="100"/>
        <w:ind w:left="504" w:hanging="504"/>
      </w:pPr>
      <w:r>
        <w:rPr>
          <w:rFonts w:ascii="Times New Roman" w:hAnsi="Times New Roman"/>
          <w:b w:val="0"/>
          <w:i w:val="0"/>
          <w:sz w:val="19"/>
        </w:rPr>
        <w:t>Harvey, D., Leybourne, S., &amp; Newbold, P. (1997). Testing the equality of prediction mean squared errors. International Journal of Forecasting, 13(2), 281–291.</w:t>
      </w:r>
    </w:p>
    <w:p>
      <w:pPr>
        <w:spacing w:after="100"/>
        <w:ind w:left="504" w:hanging="504"/>
      </w:pPr>
      <w:r>
        <w:rPr>
          <w:rFonts w:ascii="Times New Roman" w:hAnsi="Times New Roman"/>
          <w:b w:val="0"/>
          <w:i w:val="0"/>
          <w:sz w:val="19"/>
        </w:rPr>
        <w:t>Lo, A. W., Mamaysky, H., &amp; Wang, J. (2000). Foundations of technical analysis: Computational algorithms, statistical inference, and empirical implementation. Journal of Finance, 55(4), 1705–1765.</w:t>
      </w:r>
    </w:p>
    <w:p>
      <w:pPr>
        <w:spacing w:after="100"/>
        <w:ind w:left="504" w:hanging="504"/>
      </w:pPr>
      <w:r>
        <w:rPr>
          <w:rFonts w:ascii="Times New Roman" w:hAnsi="Times New Roman"/>
          <w:b w:val="0"/>
          <w:i w:val="0"/>
          <w:sz w:val="19"/>
        </w:rPr>
        <w:t>Lundberg, S. M., &amp; Lee, S.-I. (2017). A unified approach to interpreting model predictions. Advances in Neural Information Processing Systems (NeurIPS), 30, 4765–4774.</w:t>
      </w:r>
    </w:p>
    <w:p>
      <w:pPr>
        <w:spacing w:after="100"/>
        <w:ind w:left="504" w:hanging="504"/>
      </w:pPr>
      <w:r>
        <w:rPr>
          <w:rFonts w:ascii="Times New Roman" w:hAnsi="Times New Roman"/>
          <w:b w:val="0"/>
          <w:i w:val="0"/>
          <w:sz w:val="19"/>
        </w:rPr>
        <w:t>Niculescu-Mizil, A., &amp; Caruana, R. (2005). Predicting good probabilities with supervised learning. Proceedings of the 22nd International Conference on Machine Learning (ICML), 625–632.</w:t>
      </w:r>
    </w:p>
    <w:p>
      <w:pPr>
        <w:spacing w:after="100"/>
        <w:ind w:left="504" w:hanging="504"/>
      </w:pPr>
      <w:r>
        <w:rPr>
          <w:rFonts w:ascii="Times New Roman" w:hAnsi="Times New Roman"/>
          <w:b w:val="0"/>
          <w:i w:val="0"/>
          <w:sz w:val="19"/>
        </w:rPr>
        <w:t>Newey, W. K., &amp; West, K. D. (1987). A simple, positive semi-definite, heteroskedasticity and autocorrelation consistent covariance matrix. Econometrica, 55(3), 703–708.</w:t>
      </w:r>
    </w:p>
    <w:p>
      <w:pPr>
        <w:spacing w:after="100"/>
        <w:ind w:left="504" w:hanging="504"/>
      </w:pPr>
      <w:r>
        <w:rPr>
          <w:rFonts w:ascii="Times New Roman" w:hAnsi="Times New Roman"/>
          <w:b w:val="0"/>
          <w:i w:val="0"/>
          <w:sz w:val="19"/>
        </w:rPr>
        <w:t>Prokhorenkova, L., Gusev, G., Vorobev, A., Dorogush, A. V., &amp; Gulin, A. (2018). CatBoost: Unbiased boosting with categorical features. Advances in Neural Information Processing Systems (NeurIPS), 31, 6638–6648.</w:t>
      </w:r>
    </w:p>
    <w:p>
      <w:pPr>
        <w:spacing w:after="100"/>
        <w:ind w:left="504" w:hanging="504"/>
      </w:pPr>
      <w:r>
        <w:rPr>
          <w:rFonts w:ascii="Times New Roman" w:hAnsi="Times New Roman"/>
          <w:b w:val="0"/>
          <w:i w:val="0"/>
          <w:sz w:val="19"/>
        </w:rPr>
        <w:t>Prado, M. L. de (2018). Advances in Financial Machine Learning. Wiley.</w:t>
      </w:r>
    </w:p>
    <w:p>
      <w:r>
        <w:br w:type="page"/>
      </w:r>
    </w:p>
    <w:p>
      <w:pPr>
        <w:keepNext/>
        <w:spacing w:before="280" w:after="80"/>
      </w:pPr>
      <w:r>
        <w:rPr>
          <w:rFonts w:ascii="Times New Roman" w:hAnsi="Times New Roman"/>
          <w:b/>
          <w:i w:val="0"/>
          <w:color w:val="264653"/>
          <w:sz w:val="26"/>
        </w:rPr>
        <w:t>Appendix A: Supplementary Figures</w:t>
      </w:r>
    </w:p>
    <w:p>
      <w:pPr>
        <w:keepNext/>
        <w:spacing w:before="280" w:after="80"/>
      </w:pPr>
      <w:r>
        <w:rPr>
          <w:rFonts w:ascii="Times New Roman" w:hAnsi="Times New Roman"/>
          <w:b/>
          <w:i w:val="0"/>
          <w:color w:val="2A9D8F"/>
          <w:sz w:val="23"/>
        </w:rPr>
        <w:t>A.1 IC Gate Pipeline</w:t>
      </w:r>
    </w:p>
    <w:p>
      <w:pPr>
        <w:spacing w:before="0" w:after="120" w:line="360" w:lineRule="auto"/>
        <w:ind w:firstLine="0"/>
      </w:pPr>
      <w:r>
        <w:rPr>
          <w:rFonts w:ascii="Times New Roman" w:hAnsi="Times New Roman"/>
          <w:b w:val="0"/>
          <w:i w:val="0"/>
          <w:sz w:val="22"/>
        </w:rPr>
        <w:t>Figure A1 illustrates the complete IC-gated walk-forward pipeline from raw OHLCV data through the backtest engine.</w:t>
      </w:r>
    </w:p>
    <w:p>
      <w:pPr>
        <w:jc w:val="center"/>
      </w:pPr>
      <w:r>
        <w:drawing>
          <wp:inline xmlns:a="http://schemas.openxmlformats.org/drawingml/2006/main" xmlns:pic="http://schemas.openxmlformats.org/drawingml/2006/picture">
            <wp:extent cx="5303520" cy="3140614"/>
            <wp:docPr id="13" name="Picture 13"/>
            <wp:cNvGraphicFramePr>
              <a:graphicFrameLocks noChangeAspect="1"/>
            </wp:cNvGraphicFramePr>
            <a:graphic>
              <a:graphicData uri="http://schemas.openxmlformats.org/drawingml/2006/picture">
                <pic:pic>
                  <pic:nvPicPr>
                    <pic:cNvPr id="0" name="fig01_framework.png"/>
                    <pic:cNvPicPr/>
                  </pic:nvPicPr>
                  <pic:blipFill>
                    <a:blip r:embed="rId21"/>
                    <a:stretch>
                      <a:fillRect/>
                    </a:stretch>
                  </pic:blipFill>
                  <pic:spPr>
                    <a:xfrm>
                      <a:off x="0" y="0"/>
                      <a:ext cx="5303520" cy="3140614"/>
                    </a:xfrm>
                    <a:prstGeom prst="rect"/>
                  </pic:spPr>
                </pic:pic>
              </a:graphicData>
            </a:graphic>
          </wp:inline>
        </w:drawing>
      </w:r>
    </w:p>
    <w:p>
      <w:pPr>
        <w:spacing w:before="80" w:after="200"/>
        <w:jc w:val="center"/>
      </w:pPr>
      <w:r>
        <w:rPr>
          <w:rFonts w:ascii="Times New Roman" w:hAnsi="Times New Roman"/>
          <w:b/>
          <w:i w:val="0"/>
          <w:sz w:val="19"/>
        </w:rPr>
        <w:t>Figure A1.</w:t>
      </w:r>
      <w:r>
        <w:rPr>
          <w:rFonts w:ascii="Times New Roman" w:hAnsi="Times New Roman"/>
          <w:b w:val="0"/>
          <w:i w:val="0"/>
          <w:sz w:val="19"/>
        </w:rPr>
        <w:t>. IC gate framework pipeline: Raw OHLCV → Feature Engineering → Walk-Forward → Ensemble → Isotonic Calibration → IC Gate → Vectorized Backtest.</w:t>
      </w:r>
    </w:p>
    <w:p>
      <w:pPr>
        <w:keepNext/>
        <w:spacing w:before="280" w:after="80"/>
      </w:pPr>
      <w:r>
        <w:rPr>
          <w:rFonts w:ascii="Times New Roman" w:hAnsi="Times New Roman"/>
          <w:b/>
          <w:i w:val="0"/>
          <w:color w:val="2A9D8F"/>
          <w:sz w:val="23"/>
        </w:rPr>
        <w:t>A.2 Complete Robustness Summary</w:t>
      </w:r>
    </w:p>
    <w:p>
      <w:pPr>
        <w:spacing w:before="0" w:after="120" w:line="360" w:lineRule="auto"/>
        <w:ind w:firstLine="0"/>
      </w:pPr>
      <w:r>
        <w:rPr>
          <w:rFonts w:ascii="Times New Roman" w:hAnsi="Times New Roman"/>
          <w:b w:val="0"/>
          <w:i w:val="0"/>
          <w:sz w:val="22"/>
        </w:rPr>
        <w:t>Table A1 summarises all five robustness checks with their key statistics and conclusions.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3118"/>
            <w:shd w:val="clear" w:color="auto" w:fill="264653"/>
          </w:tcPr>
          <w:p>
            <w:r/>
            <w:r>
              <w:rPr>
                <w:rFonts w:ascii="Times New Roman" w:hAnsi="Times New Roman"/>
                <w:b/>
                <w:i w:val="0"/>
                <w:color w:val="FFFFFF"/>
                <w:sz w:val="19"/>
              </w:rPr>
              <w:t>Check</w:t>
            </w:r>
          </w:p>
        </w:tc>
        <w:tc>
          <w:tcPr>
            <w:tcW w:type="dxa" w:w="2268"/>
            <w:shd w:val="clear" w:color="auto" w:fill="264653"/>
          </w:tcPr>
          <w:p>
            <w:r/>
            <w:r>
              <w:rPr>
                <w:rFonts w:ascii="Times New Roman" w:hAnsi="Times New Roman"/>
                <w:b/>
                <w:i w:val="0"/>
                <w:color w:val="FFFFFF"/>
                <w:sz w:val="19"/>
              </w:rPr>
              <w:t>Key Statistic</w:t>
            </w:r>
          </w:p>
        </w:tc>
        <w:tc>
          <w:tcPr>
            <w:tcW w:type="dxa" w:w="1984"/>
            <w:shd w:val="clear" w:color="auto" w:fill="264653"/>
          </w:tcPr>
          <w:p>
            <w:r/>
            <w:r>
              <w:rPr>
                <w:rFonts w:ascii="Times New Roman" w:hAnsi="Times New Roman"/>
                <w:b/>
                <w:i w:val="0"/>
                <w:color w:val="FFFFFF"/>
                <w:sz w:val="19"/>
              </w:rPr>
              <w:t>Value</w:t>
            </w:r>
          </w:p>
        </w:tc>
        <w:tc>
          <w:tcPr>
            <w:tcW w:type="dxa" w:w="2268"/>
            <w:shd w:val="clear" w:color="auto" w:fill="264653"/>
          </w:tcPr>
          <w:p>
            <w:r/>
            <w:r>
              <w:rPr>
                <w:rFonts w:ascii="Times New Roman" w:hAnsi="Times New Roman"/>
                <w:b/>
                <w:i w:val="0"/>
                <w:color w:val="FFFFFF"/>
                <w:sz w:val="19"/>
              </w:rPr>
              <w:t>Conclusion</w:t>
            </w:r>
          </w:p>
        </w:tc>
      </w:tr>
      <w:tr>
        <w:tc>
          <w:tcPr>
            <w:tcW w:type="dxa" w:w="3118"/>
            <w:shd w:val="clear" w:color="auto" w:fill="E8F4F8"/>
          </w:tcPr>
          <w:p>
            <w:pPr>
              <w:jc w:val="left"/>
            </w:pPr>
            <w:r/>
            <w:r>
              <w:rPr>
                <w:rFonts w:ascii="Times New Roman" w:hAnsi="Times New Roman"/>
                <w:b w:val="0"/>
                <w:i w:val="0"/>
                <w:sz w:val="19"/>
              </w:rPr>
              <w:t>R1: Expanded Universe (N=100)</w:t>
            </w:r>
          </w:p>
        </w:tc>
        <w:tc>
          <w:tcPr>
            <w:tcW w:type="dxa" w:w="2268"/>
            <w:shd w:val="clear" w:color="auto" w:fill="E8F4F8"/>
          </w:tcPr>
          <w:p>
            <w:pPr>
              <w:jc w:val="center"/>
            </w:pPr>
            <w:r/>
            <w:r>
              <w:rPr>
                <w:rFonts w:ascii="Times New Roman" w:hAnsi="Times New Roman"/>
                <w:b w:val="0"/>
                <w:i w:val="0"/>
                <w:sz w:val="19"/>
              </w:rPr>
              <w:t>p-value (IC gate)</w:t>
            </w:r>
          </w:p>
        </w:tc>
        <w:tc>
          <w:tcPr>
            <w:tcW w:type="dxa" w:w="1984"/>
            <w:shd w:val="clear" w:color="auto" w:fill="E8F4F8"/>
          </w:tcPr>
          <w:p>
            <w:pPr>
              <w:jc w:val="center"/>
            </w:pPr>
            <w:r/>
            <w:r>
              <w:rPr>
                <w:rFonts w:ascii="Times New Roman" w:hAnsi="Times New Roman"/>
                <w:b w:val="0"/>
                <w:i w:val="0"/>
                <w:sz w:val="19"/>
              </w:rPr>
              <w:t>0.947</w:t>
            </w:r>
          </w:p>
        </w:tc>
        <w:tc>
          <w:tcPr>
            <w:tcW w:type="dxa" w:w="2268"/>
            <w:shd w:val="clear" w:color="auto" w:fill="E8F4F8"/>
          </w:tcPr>
          <w:p>
            <w:pPr>
              <w:jc w:val="center"/>
            </w:pPr>
            <w:r/>
            <w:r>
              <w:rPr>
                <w:rFonts w:ascii="Times New Roman" w:hAnsi="Times New Roman"/>
                <w:b w:val="0"/>
                <w:i w:val="0"/>
                <w:sz w:val="19"/>
              </w:rPr>
              <w:t>Gate CLOSED</w:t>
            </w:r>
          </w:p>
        </w:tc>
      </w:tr>
      <w:tr>
        <w:tc>
          <w:tcPr>
            <w:tcW w:type="dxa" w:w="3118"/>
          </w:tcPr>
          <w:p>
            <w:pPr>
              <w:jc w:val="left"/>
            </w:pPr>
            <w:r/>
            <w:r>
              <w:rPr>
                <w:rFonts w:ascii="Times New Roman" w:hAnsi="Times New Roman"/>
                <w:b w:val="0"/>
                <w:i w:val="0"/>
                <w:sz w:val="19"/>
              </w:rPr>
              <w:t>R2: Feature Attribution</w:t>
            </w:r>
          </w:p>
        </w:tc>
        <w:tc>
          <w:tcPr>
            <w:tcW w:type="dxa" w:w="2268"/>
          </w:tcPr>
          <w:p>
            <w:pPr>
              <w:jc w:val="center"/>
            </w:pPr>
            <w:r/>
            <w:r>
              <w:rPr>
                <w:rFonts w:ascii="Times New Roman" w:hAnsi="Times New Roman"/>
                <w:b w:val="0"/>
                <w:i w:val="0"/>
                <w:sz w:val="19"/>
              </w:rPr>
              <w:t>Inter-fold rank ρ</w:t>
            </w:r>
          </w:p>
        </w:tc>
        <w:tc>
          <w:tcPr>
            <w:tcW w:type="dxa" w:w="1984"/>
          </w:tcPr>
          <w:p>
            <w:pPr>
              <w:jc w:val="center"/>
            </w:pPr>
            <w:r/>
            <w:r>
              <w:rPr>
                <w:rFonts w:ascii="Times New Roman" w:hAnsi="Times New Roman"/>
                <w:b w:val="0"/>
                <w:i w:val="0"/>
                <w:sz w:val="19"/>
              </w:rPr>
              <w:t>0.13–0.40</w:t>
            </w:r>
          </w:p>
        </w:tc>
        <w:tc>
          <w:tcPr>
            <w:tcW w:type="dxa" w:w="2268"/>
          </w:tcPr>
          <w:p>
            <w:pPr>
              <w:jc w:val="center"/>
            </w:pPr>
            <w:r/>
            <w:r>
              <w:rPr>
                <w:rFonts w:ascii="Times New Roman" w:hAnsi="Times New Roman"/>
                <w:b w:val="0"/>
                <w:i w:val="0"/>
                <w:sz w:val="19"/>
              </w:rPr>
              <w:t>Noise-fitting confirmed</w:t>
            </w:r>
          </w:p>
        </w:tc>
      </w:tr>
      <w:tr>
        <w:tc>
          <w:tcPr>
            <w:tcW w:type="dxa" w:w="3118"/>
            <w:shd w:val="clear" w:color="auto" w:fill="E8F4F8"/>
          </w:tcPr>
          <w:p>
            <w:pPr>
              <w:jc w:val="left"/>
            </w:pPr>
            <w:r/>
            <w:r>
              <w:rPr>
                <w:rFonts w:ascii="Times New Roman" w:hAnsi="Times New Roman"/>
                <w:b w:val="0"/>
                <w:i w:val="0"/>
                <w:sz w:val="19"/>
              </w:rPr>
              <w:t>R3: Diebold-Mariano Test</w:t>
            </w:r>
          </w:p>
        </w:tc>
        <w:tc>
          <w:tcPr>
            <w:tcW w:type="dxa" w:w="2268"/>
            <w:shd w:val="clear" w:color="auto" w:fill="E8F4F8"/>
          </w:tcPr>
          <w:p>
            <w:pPr>
              <w:jc w:val="center"/>
            </w:pPr>
            <w:r/>
            <w:r>
              <w:rPr>
                <w:rFonts w:ascii="Times New Roman" w:hAnsi="Times New Roman"/>
                <w:b w:val="0"/>
                <w:i w:val="0"/>
                <w:sz w:val="19"/>
              </w:rPr>
              <w:t>DM stat, TopK1 vs Random</w:t>
            </w:r>
          </w:p>
        </w:tc>
        <w:tc>
          <w:tcPr>
            <w:tcW w:type="dxa" w:w="1984"/>
            <w:shd w:val="clear" w:color="auto" w:fill="E8F4F8"/>
          </w:tcPr>
          <w:p>
            <w:pPr>
              <w:jc w:val="center"/>
            </w:pPr>
            <w:r/>
            <w:r>
              <w:rPr>
                <w:rFonts w:ascii="Times New Roman" w:hAnsi="Times New Roman"/>
                <w:b w:val="0"/>
                <w:i w:val="0"/>
                <w:sz w:val="19"/>
              </w:rPr>
              <w:t>0.42 (p=0.672)</w:t>
            </w:r>
          </w:p>
        </w:tc>
        <w:tc>
          <w:tcPr>
            <w:tcW w:type="dxa" w:w="2268"/>
            <w:shd w:val="clear" w:color="auto" w:fill="E8F4F8"/>
          </w:tcPr>
          <w:p>
            <w:pPr>
              <w:jc w:val="center"/>
            </w:pPr>
            <w:r/>
            <w:r>
              <w:rPr>
                <w:rFonts w:ascii="Times New Roman" w:hAnsi="Times New Roman"/>
                <w:b w:val="0"/>
                <w:i w:val="0"/>
                <w:sz w:val="19"/>
              </w:rPr>
              <w:t>Indistinguishable</w:t>
            </w:r>
          </w:p>
        </w:tc>
      </w:tr>
      <w:tr>
        <w:tc>
          <w:tcPr>
            <w:tcW w:type="dxa" w:w="3118"/>
          </w:tcPr>
          <w:p>
            <w:pPr>
              <w:jc w:val="left"/>
            </w:pPr>
            <w:r/>
            <w:r>
              <w:rPr>
                <w:rFonts w:ascii="Times New Roman" w:hAnsi="Times New Roman"/>
                <w:b w:val="0"/>
                <w:i w:val="0"/>
                <w:sz w:val="19"/>
              </w:rPr>
              <w:t>R4: VIX-Conditioned IC</w:t>
            </w:r>
          </w:p>
        </w:tc>
        <w:tc>
          <w:tcPr>
            <w:tcW w:type="dxa" w:w="2268"/>
          </w:tcPr>
          <w:p>
            <w:pPr>
              <w:jc w:val="center"/>
            </w:pPr>
            <w:r/>
            <w:r>
              <w:rPr>
                <w:rFonts w:ascii="Times New Roman" w:hAnsi="Times New Roman"/>
                <w:b w:val="0"/>
                <w:i w:val="0"/>
                <w:sz w:val="19"/>
              </w:rPr>
              <w:t>Min p-value (any regime)</w:t>
            </w:r>
          </w:p>
        </w:tc>
        <w:tc>
          <w:tcPr>
            <w:tcW w:type="dxa" w:w="1984"/>
          </w:tcPr>
          <w:p>
            <w:pPr>
              <w:jc w:val="center"/>
            </w:pPr>
            <w:r/>
            <w:r>
              <w:rPr>
                <w:rFonts w:ascii="Times New Roman" w:hAnsi="Times New Roman"/>
                <w:b w:val="0"/>
                <w:i w:val="0"/>
                <w:sz w:val="19"/>
              </w:rPr>
              <w:t>0.136 (Mid VIX)</w:t>
            </w:r>
          </w:p>
        </w:tc>
        <w:tc>
          <w:tcPr>
            <w:tcW w:type="dxa" w:w="2268"/>
          </w:tcPr>
          <w:p>
            <w:pPr>
              <w:jc w:val="center"/>
            </w:pPr>
            <w:r/>
            <w:r>
              <w:rPr>
                <w:rFonts w:ascii="Times New Roman" w:hAnsi="Times New Roman"/>
                <w:b w:val="0"/>
                <w:i w:val="0"/>
                <w:sz w:val="19"/>
              </w:rPr>
              <w:t>Gate CLOSED all regimes</w:t>
            </w:r>
          </w:p>
        </w:tc>
      </w:tr>
      <w:tr>
        <w:tc>
          <w:tcPr>
            <w:tcW w:type="dxa" w:w="3118"/>
            <w:shd w:val="clear" w:color="auto" w:fill="E8F4F8"/>
          </w:tcPr>
          <w:p>
            <w:pPr>
              <w:jc w:val="left"/>
            </w:pPr>
            <w:r/>
            <w:r>
              <w:rPr>
                <w:rFonts w:ascii="Times New Roman" w:hAnsi="Times New Roman"/>
                <w:b w:val="0"/>
                <w:i w:val="0"/>
                <w:sz w:val="19"/>
              </w:rPr>
              <w:t>R5: Bootstrap CIs</w:t>
            </w:r>
          </w:p>
        </w:tc>
        <w:tc>
          <w:tcPr>
            <w:tcW w:type="dxa" w:w="2268"/>
            <w:shd w:val="clear" w:color="auto" w:fill="E8F4F8"/>
          </w:tcPr>
          <w:p>
            <w:pPr>
              <w:jc w:val="center"/>
            </w:pPr>
            <w:r/>
            <w:r>
              <w:rPr>
                <w:rFonts w:ascii="Times New Roman" w:hAnsi="Times New Roman"/>
                <w:b w:val="0"/>
                <w:i w:val="0"/>
                <w:sz w:val="19"/>
              </w:rPr>
              <w:t>Folds with CI excluding zero</w:t>
            </w:r>
          </w:p>
        </w:tc>
        <w:tc>
          <w:tcPr>
            <w:tcW w:type="dxa" w:w="1984"/>
            <w:shd w:val="clear" w:color="auto" w:fill="E8F4F8"/>
          </w:tcPr>
          <w:p>
            <w:pPr>
              <w:jc w:val="center"/>
            </w:pPr>
            <w:r/>
            <w:r>
              <w:rPr>
                <w:rFonts w:ascii="Times New Roman" w:hAnsi="Times New Roman"/>
                <w:b w:val="0"/>
                <w:i w:val="0"/>
                <w:sz w:val="19"/>
              </w:rPr>
              <w:t>0 of 12</w:t>
            </w:r>
          </w:p>
        </w:tc>
        <w:tc>
          <w:tcPr>
            <w:tcW w:type="dxa" w:w="2268"/>
            <w:shd w:val="clear" w:color="auto" w:fill="E8F4F8"/>
          </w:tcPr>
          <w:p>
            <w:pPr>
              <w:jc w:val="center"/>
            </w:pPr>
            <w:r/>
            <w:r>
              <w:rPr>
                <w:rFonts w:ascii="Times New Roman" w:hAnsi="Times New Roman"/>
                <w:b w:val="0"/>
                <w:i w:val="0"/>
                <w:sz w:val="19"/>
              </w:rPr>
              <w:t>All CIs span zero</w:t>
            </w:r>
          </w:p>
        </w:tc>
      </w:tr>
    </w:tbl>
    <w:p>
      <w:pPr>
        <w:spacing w:before="80" w:after="200"/>
        <w:jc w:val="center"/>
      </w:pPr>
      <w:r>
        <w:rPr>
          <w:rFonts w:ascii="Times New Roman" w:hAnsi="Times New Roman"/>
          <w:b/>
          <w:i w:val="0"/>
          <w:sz w:val="19"/>
        </w:rPr>
        <w:t>Table A1.</w:t>
      </w:r>
      <w:r>
        <w:rPr>
          <w:rFonts w:ascii="Times New Roman" w:hAnsi="Times New Roman"/>
          <w:b w:val="0"/>
          <w:i w:val="0"/>
          <w:sz w:val="19"/>
        </w:rPr>
        <w:t xml:space="preserve"> Summary of all five robustness checks. All five confirm the null result.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