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 Model Architecture</w:t>
      </w:r>
    </w:p>
    <w:p>
      <w:pPr>
        <w:jc w:val="center"/>
      </w:pPr>
      <w:r>
        <w:t>Stage 3 – Customer Churn Analysis | Team 7</w:t>
      </w:r>
    </w:p>
    <w:p>
      <w:pPr>
        <w:jc w:val="center"/>
      </w:pPr>
      <w:r>
        <w:t>Prepared by: Rajwant Kaur  |  Role: Project Manager and Predictive Modelling</w:t>
      </w:r>
    </w:p>
    <w:p>
      <w:pPr>
        <w:pStyle w:val="Heading1"/>
      </w:pPr>
      <w:r>
        <w:t>1. Objective and Stage 2 context</w:t>
      </w:r>
    </w:p>
    <w:p>
      <w:r>
        <w:t>The proposed Artificial Neural Network (ANN) will classify whether a telecommunications customer is likely to churn (1) or remain (0). Stage 2 documented 7,043 customer records and 31 preprocessed columns. These 31 columns are not automatically the ANN input count: the target, identifiers and any leakage-prone fields must be excluded before determining the final feature dimension.</w:t>
      </w:r>
    </w:p>
    <w:p>
      <w:r>
        <w:t>Stage 2 K-Means used tenure and MonthlyCharges and identified four clusters. Cluster 2 (newer, high-charge customers) had the highest observed churn rate, 49.18%; Cluster 3 (long-term, low-charge customers) had the lowest, 4.76%. These are clustering observations, not ANN performance results.</w:t>
      </w:r>
    </w:p>
    <w:p>
      <w:pPr>
        <w:pStyle w:val="Heading1"/>
      </w:pPr>
      <w:r>
        <w:t>2. Proposed ANN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2023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Architecture_Team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2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Proposed ANN architecture (illustrative, not a trained model).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n features</w:t>
            </w:r>
          </w:p>
        </w:tc>
        <w:tc>
          <w:tcPr>
            <w:tcW w:type="dxa" w:w="2880"/>
          </w:tcPr>
          <w:p>
            <w:r>
              <w:t>Encoded and suitably scaled customer predictors; n determined after target/ID exclusion.</w:t>
            </w:r>
          </w:p>
        </w:tc>
      </w:tr>
      <w:tr>
        <w:tc>
          <w:tcPr>
            <w:tcW w:type="dxa" w:w="2880"/>
          </w:tcPr>
          <w:p>
            <w:r>
              <w:t>Hidden 1</w:t>
            </w:r>
          </w:p>
        </w:tc>
        <w:tc>
          <w:tcPr>
            <w:tcW w:type="dxa" w:w="2880"/>
          </w:tcPr>
          <w:p>
            <w:r>
              <w:t>64 neurons</w:t>
            </w:r>
          </w:p>
        </w:tc>
        <w:tc>
          <w:tcPr>
            <w:tcW w:type="dxa" w:w="2880"/>
          </w:tcPr>
          <w:p>
            <w:r>
              <w:t>Dense layer with ReLU activation.</w:t>
            </w:r>
          </w:p>
        </w:tc>
      </w:tr>
      <w:tr>
        <w:tc>
          <w:tcPr>
            <w:tcW w:type="dxa" w:w="2880"/>
          </w:tcPr>
          <w:p>
            <w:r>
              <w:t>Hidden 2</w:t>
            </w:r>
          </w:p>
        </w:tc>
        <w:tc>
          <w:tcPr>
            <w:tcW w:type="dxa" w:w="2880"/>
          </w:tcPr>
          <w:p>
            <w:r>
              <w:t>32 neurons</w:t>
            </w:r>
          </w:p>
        </w:tc>
        <w:tc>
          <w:tcPr>
            <w:tcW w:type="dxa" w:w="2880"/>
          </w:tcPr>
          <w:p>
            <w:r>
              <w:t>Dense layer with ReLU activation.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1 neuron</w:t>
            </w:r>
          </w:p>
        </w:tc>
        <w:tc>
          <w:tcPr>
            <w:tcW w:type="dxa" w:w="2880"/>
          </w:tcPr>
          <w:p>
            <w:r>
              <w:t>Sigmoid produces estimated probability of churn.</w:t>
            </w:r>
          </w:p>
        </w:tc>
      </w:tr>
    </w:tbl>
    <w:p>
      <w:pPr>
        <w:pStyle w:val="Heading1"/>
      </w:pPr>
      <w:r>
        <w:t>3. Training and optimisation specification</w:t>
      </w:r>
    </w:p>
    <w:p>
      <w:pPr>
        <w:pStyle w:val="ListBullet"/>
      </w:pPr>
      <w:r>
        <w:t>Task and loss: binary classification with binary cross-entropy.</w:t>
      </w:r>
    </w:p>
    <w:p>
      <w:pPr>
        <w:pStyle w:val="ListBullet"/>
      </w:pPr>
      <w:r>
        <w:t>Optimiser: Adam; initial learning rate 0.001, tuned on validation data.</w:t>
      </w:r>
    </w:p>
    <w:p>
      <w:pPr>
        <w:pStyle w:val="ListBullet"/>
      </w:pPr>
      <w:r>
        <w:t>Suggested batch size: 32; maximum epochs: 100, with early stopping and restoration of best validation weights.</w:t>
      </w:r>
    </w:p>
    <w:p>
      <w:pPr>
        <w:pStyle w:val="ListBullet"/>
      </w:pPr>
      <w:r>
        <w:t>Validation: use the existing Stage 2 train/test split if its provenance is confirmed; otherwise make a stratified split before fitting preprocessing. Keep the test set untouched until final evaluation.</w:t>
      </w:r>
    </w:p>
    <w:p>
      <w:pPr>
        <w:pStyle w:val="ListBullet"/>
      </w:pPr>
      <w:r>
        <w:t>Regularisation: evaluate dropout (e.g., 0.2) and/or L2 regularisation if validation results suggest overfitting.</w:t>
      </w:r>
    </w:p>
    <w:p>
      <w:pPr>
        <w:pStyle w:val="ListBullet"/>
      </w:pPr>
      <w:r>
        <w:t>Class imbalance: inspect churn prevalence and consider class weights or decision-threshold tuning using validation data only.</w:t>
      </w:r>
    </w:p>
    <w:p>
      <w:pPr>
        <w:pStyle w:val="Heading1"/>
      </w:pPr>
      <w:r>
        <w:t>4. Inputs, leakage controls and integration</w:t>
      </w:r>
    </w:p>
    <w:p>
      <w:r>
        <w:t>The Stage 2 report does not list all encoded feature names, the exact training/test split or every preprocessing transformation. Verify these using the actual Stage 2 scripts and dataset. Exclude the churn target (for example Churn_Yes), customer identifiers, and any post-outcome variables from predictors. Reuse fitted training-only preprocessing on validation and test records. If cluster labels are considered as extra features, ensure clustering is fitted without access to held-out evaluation records and compare against a no-cluster baseline.</w:t>
      </w:r>
    </w:p>
    <w:p>
      <w:pPr>
        <w:pStyle w:val="Heading1"/>
      </w:pPr>
      <w:r>
        <w:t>5. Outputs and evaluation</w:t>
      </w:r>
    </w:p>
    <w:p>
      <w:r>
        <w:t>For each customer, the ANN will output a churn probability between 0 and 1. A classification threshold (initially 0.50, subject to validation-based selection) converts this into churn/retention predictions. Report accuracy, precision, recall, F1-score, ROC-AUC, confusion matrix, and training/validation learning curves. Include a simple baseline model for comparison and permutation-based feature importance on held-out data, with correlated-feature caveats.</w:t>
      </w:r>
    </w:p>
    <w:p>
      <w:pPr>
        <w:pStyle w:val="Heading1"/>
      </w:pPr>
      <w:r>
        <w:t>6. Status and evidence required</w:t>
      </w:r>
    </w:p>
    <w:p>
      <w:r>
        <w:t>Architecture status: PROPOSED. No ANN has been trained or tested as part of this architecture document. Model weights, final feature count, hyperparameters, measured performance and ANN-based feature importance must be populated only after running the model on the actual prepared dataset.</w:t>
      </w:r>
    </w:p>
    <w:p>
      <w:r>
        <w:t>Repository deliverables: ANN_Architecture_Team7.docx; ANN_Architecture_Team7.png; training and evaluation scripts; trained model; preprocessing pipeline; metrics and prediction files; evaluation charts.</w:t>
      </w:r>
    </w:p>
    <w:p>
      <w:pPr>
        <w:pStyle w:val="Heading1"/>
      </w:pPr>
      <w:r>
        <w:t>7. Reference to team work</w:t>
      </w:r>
    </w:p>
    <w:p>
      <w:r>
        <w:t>Team 7, “Stage 2 – Data Preparation and K-Means Clustering Analysis Report,” sections 1.1–1.5 and 2.2–2.10 (provided project report).</w:t>
      </w:r>
    </w:p>
    <w:sectPr w:rsidR="00FC693F" w:rsidRPr="0006063C" w:rsidSect="00034616">
      <w:footerReference w:type="default" r:id="rId10"/>
      <w:pgSz w:w="12240" w:h="15840"/>
      <w:pgMar w:top="1080" w:right="1800" w:bottom="1008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Team 7  |  Customer Churn Analysis  |  Stage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9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96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9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