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2F22" w14:textId="77777777" w:rsidR="004D41BA" w:rsidRDefault="00000000">
      <w:pPr>
        <w:spacing w:after="40"/>
        <w:jc w:val="center"/>
      </w:pPr>
      <w:r>
        <w:rPr>
          <w:b/>
          <w:bCs/>
          <w:color w:val="1F3864"/>
          <w:spacing w:val="20"/>
          <w:sz w:val="40"/>
          <w:szCs w:val="40"/>
        </w:rPr>
        <w:t>RAJWANT MISHRA</w:t>
      </w:r>
    </w:p>
    <w:p w14:paraId="4CA312D4" w14:textId="77777777" w:rsidR="004D41BA" w:rsidRDefault="00000000">
      <w:pPr>
        <w:spacing w:after="80"/>
        <w:jc w:val="center"/>
      </w:pPr>
      <w:r>
        <w:rPr>
          <w:color w:val="444444"/>
          <w:sz w:val="21"/>
          <w:szCs w:val="21"/>
        </w:rPr>
        <w:t>AI &amp; Data Science Leader — Enterprise AI Transformation | Global Data Platforms &amp; Teams</w:t>
      </w:r>
    </w:p>
    <w:p w14:paraId="271622F0" w14:textId="7D292DAB" w:rsidR="004D41BA" w:rsidRDefault="00000000">
      <w:pPr>
        <w:spacing w:after="40"/>
        <w:jc w:val="center"/>
      </w:pPr>
      <w:r>
        <w:rPr>
          <w:color w:val="666666"/>
          <w:sz w:val="18"/>
          <w:szCs w:val="18"/>
        </w:rPr>
        <w:t xml:space="preserve">New York, NY  •  rajwantmishra@gmail.com  •  </w:t>
      </w:r>
      <w:hyperlink r:id="rId5" w:history="1">
        <w:r>
          <w:rPr>
            <w:color w:val="1F3864"/>
            <w:sz w:val="18"/>
            <w:szCs w:val="18"/>
            <w:u w:val="single"/>
          </w:rPr>
          <w:t>linkedin.com/in/rajwant</w:t>
        </w:r>
      </w:hyperlink>
    </w:p>
    <w:p w14:paraId="17471573" w14:textId="77777777" w:rsidR="004D41BA" w:rsidRDefault="004D41BA">
      <w:pPr>
        <w:pBdr>
          <w:bottom w:val="single" w:sz="12" w:space="4" w:color="1F3864"/>
        </w:pBdr>
        <w:spacing w:after="100"/>
      </w:pPr>
    </w:p>
    <w:p w14:paraId="1D0EA277" w14:textId="77777777" w:rsidR="004D41BA" w:rsidRDefault="00000000">
      <w:pPr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pacing w:val="10"/>
          <w:sz w:val="22"/>
          <w:szCs w:val="22"/>
        </w:rPr>
        <w:t>EXECUTIVE SUMMARY</w:t>
      </w:r>
    </w:p>
    <w:p w14:paraId="557B5FDC" w14:textId="77777777" w:rsidR="004D41BA" w:rsidRDefault="00000000">
      <w:pPr>
        <w:spacing w:after="100"/>
      </w:pPr>
      <w:r>
        <w:rPr>
          <w:color w:val="444444"/>
        </w:rPr>
        <w:t>AI and Data Science leader with 15+ years of experience driving enterprise AI transformation across healthcare, consumer goods, and digital platforms. Currently lead a 16–30 person Data Science and Data Engineering organization across India, Israel, Milan, and the U.S., with $1M+ in annual budget authority across AI projects and vendor contracts. Own delivery for 10+ concurrent AI initiatives in the medical and clinical space, including a multi-geography rollout across the Czech Republic, Canada, U.S., and UK. Designed and built a proprietary in-house NLP/LLM pipeline that replaced third-party translation and formatting vendors, driving approximately $2–3M in annual cost savings. Published original research in AI bias mitigation (TrueLens) and multilingual media synchronization (adaptive time-stretching algorithm, published as a peer paper). Known for translating AI capability into board-level business outcomes, operating with an entrepreneurial, ideas-to-delivery mindset, managing multi-vendor ecosystems, and scaling responsible AI governance across global, cross-functional teams.</w:t>
      </w:r>
    </w:p>
    <w:p w14:paraId="79195056" w14:textId="77777777" w:rsidR="004D41BA" w:rsidRDefault="00000000">
      <w:pPr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pacing w:val="10"/>
          <w:sz w:val="22"/>
          <w:szCs w:val="22"/>
        </w:rPr>
        <w:t>CORE COMPETENCIES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5"/>
        <w:gridCol w:w="5215"/>
      </w:tblGrid>
      <w:tr w:rsidR="004D41BA" w14:paraId="3C099F5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B2BF624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Enterprise AI Strategy &amp; Transformation</w:t>
            </w:r>
          </w:p>
        </w:tc>
        <w:tc>
          <w:tcPr>
            <w:tcW w:w="2500" w:type="pct"/>
          </w:tcPr>
          <w:p w14:paraId="408EA981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AI-Enabled Healthcare &amp; Clinical Solutions</w:t>
            </w:r>
          </w:p>
        </w:tc>
      </w:tr>
      <w:tr w:rsidR="004D41BA" w14:paraId="2A524D8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831BE04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Responsible AI Governance &amp; Bias Mitigation</w:t>
            </w:r>
          </w:p>
        </w:tc>
        <w:tc>
          <w:tcPr>
            <w:tcW w:w="2500" w:type="pct"/>
          </w:tcPr>
          <w:p w14:paraId="07538642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Global Data Science &amp; Engineering Team Leadership</w:t>
            </w:r>
          </w:p>
        </w:tc>
      </w:tr>
      <w:tr w:rsidR="004D41BA" w14:paraId="02D90CC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275B6D9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Multi-Vendor &amp; Cross-Regional Program Management</w:t>
            </w:r>
          </w:p>
        </w:tc>
        <w:tc>
          <w:tcPr>
            <w:tcW w:w="2500" w:type="pct"/>
          </w:tcPr>
          <w:p w14:paraId="68F46524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Cloud &amp; AI Platforms (Azure, Databricks, OpenAI)</w:t>
            </w:r>
          </w:p>
        </w:tc>
      </w:tr>
      <w:tr w:rsidR="004D41BA" w14:paraId="184F384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BCB8A40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Generative AI, NLP, LLMs, Predictive Analytics</w:t>
            </w:r>
          </w:p>
        </w:tc>
        <w:tc>
          <w:tcPr>
            <w:tcW w:w="2500" w:type="pct"/>
          </w:tcPr>
          <w:p w14:paraId="2A83AB4B" w14:textId="77777777" w:rsidR="004D41BA" w:rsidRDefault="00000000">
            <w:pPr>
              <w:spacing w:after="60"/>
            </w:pPr>
            <w:r>
              <w:rPr>
                <w:color w:val="444444"/>
              </w:rPr>
              <w:t>•  C-Suite &amp; Executive Stakeholder Management</w:t>
            </w:r>
          </w:p>
        </w:tc>
      </w:tr>
    </w:tbl>
    <w:p w14:paraId="322E17EA" w14:textId="77777777" w:rsidR="004D41BA" w:rsidRDefault="00000000">
      <w:pPr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pacing w:val="10"/>
          <w:sz w:val="22"/>
          <w:szCs w:val="22"/>
        </w:rPr>
        <w:t>PROFESSIONAL EXPERIENCE</w:t>
      </w:r>
    </w:p>
    <w:p w14:paraId="2D5840FA" w14:textId="77777777" w:rsidR="004D41BA" w:rsidRDefault="00000000">
      <w:pPr>
        <w:tabs>
          <w:tab w:val="right" w:pos="9360"/>
        </w:tabs>
        <w:spacing w:before="180" w:after="20"/>
      </w:pPr>
      <w:r>
        <w:rPr>
          <w:b/>
          <w:bCs/>
          <w:color w:val="111111"/>
          <w:sz w:val="21"/>
          <w:szCs w:val="21"/>
        </w:rPr>
        <w:t>Sr. Manager, IT — Data Science &amp; AI</w:t>
      </w:r>
      <w:r>
        <w:rPr>
          <w:color w:val="444444"/>
          <w:sz w:val="21"/>
          <w:szCs w:val="21"/>
        </w:rPr>
        <w:t xml:space="preserve">  |  Luxottica (EssilorLuxottica), New York, NY</w:t>
      </w:r>
    </w:p>
    <w:p w14:paraId="2DC18FE9" w14:textId="77777777" w:rsidR="004D41BA" w:rsidRDefault="00000000">
      <w:pPr>
        <w:spacing w:after="100"/>
      </w:pPr>
      <w:r>
        <w:rPr>
          <w:i/>
          <w:iCs/>
          <w:color w:val="666666"/>
          <w:sz w:val="19"/>
          <w:szCs w:val="19"/>
        </w:rPr>
        <w:t>Feb 2023 – Present</w:t>
      </w:r>
    </w:p>
    <w:p w14:paraId="75BAB65B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Lead a 16–30 person Data Science and Data Engineering organization with direct reports across India, Israel, Milan, and the U.S., delivering enterprise AI/ML strategy for the group's medical and clinical technology portfolio.</w:t>
      </w:r>
    </w:p>
    <w:p w14:paraId="16F2C3A9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Own and execute 10+ concurrent AI initiatives spanning AI-driven automated booking, AI-driven customer service, AI-driven clinical translation and scribe solutions, AI-driven document processing, and strategic product development.</w:t>
      </w:r>
    </w:p>
    <w:p w14:paraId="7A48F4F2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Designed and built a proprietary in-house NLP/LLM pipeline that replaced third-party translation and formatting vendors, driving approximately $2–3M in annual cost savings.</w:t>
      </w:r>
    </w:p>
    <w:p w14:paraId="5BE9DDDA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Own an annual budget of $1M+ across AI projects and vendor contracts, with capital allocation growing year-over-year as enterprise AI demand scales.</w:t>
      </w:r>
    </w:p>
    <w:p w14:paraId="35F0CA70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Leading a multi-geography rollout of AI-driven clinical translation and scribe solutions across the Czech Republic, Canada, U.S., and UK, navigating differing healthcare data and compliance requirements in each market.</w:t>
      </w:r>
    </w:p>
    <w:p w14:paraId="71930725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Serve as the executive owner of medical data infrastructure for the group, setting and enforcing best practices for processing and hosting sensitive clinical data.</w:t>
      </w:r>
    </w:p>
    <w:p w14:paraId="30861C31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Manage relationships across multiple external AI and technology vendors to coordinate delivery across regions and business units.</w:t>
      </w:r>
    </w:p>
    <w:p w14:paraId="23F4401F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Own the AI innovation roadmap, identifying new opportunities and driving adoption through direct engagement with business stakeholders — operating with a startup-style, ideas-to-delivery mindset rather than waiting for requirements to be handed down.</w:t>
      </w:r>
    </w:p>
    <w:p w14:paraId="6C4CA134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Lead multiple additional strategic initiatives currently in flight across the organization, requiring coordination across business, compliance, and technology stakeholders; details remain confidential at this stage.</w:t>
      </w:r>
    </w:p>
    <w:p w14:paraId="52D12DB8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Act as executive stakeholder for the Azure-based analytics platform, partnering with internal leaders and external technology partners to advance enterprise AI maturity.</w:t>
      </w:r>
    </w:p>
    <w:p w14:paraId="3DD3BFFD" w14:textId="77777777" w:rsidR="004D41BA" w:rsidRDefault="00000000">
      <w:pPr>
        <w:tabs>
          <w:tab w:val="right" w:pos="9360"/>
        </w:tabs>
        <w:spacing w:before="180" w:after="20"/>
      </w:pPr>
      <w:r>
        <w:rPr>
          <w:b/>
          <w:bCs/>
          <w:color w:val="111111"/>
          <w:sz w:val="21"/>
          <w:szCs w:val="21"/>
        </w:rPr>
        <w:t>Lead Business Analyst — Digital &amp; AI</w:t>
      </w:r>
      <w:r>
        <w:rPr>
          <w:color w:val="444444"/>
          <w:sz w:val="21"/>
          <w:szCs w:val="21"/>
        </w:rPr>
        <w:t xml:space="preserve">  |  Luxottica, New York, NY</w:t>
      </w:r>
    </w:p>
    <w:p w14:paraId="7F792612" w14:textId="77777777" w:rsidR="004D41BA" w:rsidRDefault="00000000">
      <w:pPr>
        <w:spacing w:after="100"/>
      </w:pPr>
      <w:r>
        <w:rPr>
          <w:i/>
          <w:iCs/>
          <w:color w:val="666666"/>
          <w:sz w:val="19"/>
          <w:szCs w:val="19"/>
        </w:rPr>
        <w:t>Oct 2016 – Jan 2023</w:t>
      </w:r>
    </w:p>
    <w:p w14:paraId="65B68695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Led digital transformation across sales, CRM, and marketing functions, implementing AI solutions that drove measurable gains in rep productivity and campaign performance.</w:t>
      </w:r>
    </w:p>
    <w:p w14:paraId="265600AF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lastRenderedPageBreak/>
        <w:t>Owned AI integration across SAP CRM and B2B/B2C Salesforce platforms, delivering real-time CRM/ERP insights to 500+ global sales representatives.</w:t>
      </w:r>
    </w:p>
    <w:p w14:paraId="4C650B65" w14:textId="77777777" w:rsidR="004D41BA" w:rsidRDefault="00000000">
      <w:pPr>
        <w:tabs>
          <w:tab w:val="right" w:pos="9360"/>
        </w:tabs>
        <w:spacing w:before="180" w:after="20"/>
      </w:pPr>
      <w:r>
        <w:rPr>
          <w:b/>
          <w:bCs/>
          <w:color w:val="111111"/>
          <w:sz w:val="21"/>
          <w:szCs w:val="21"/>
        </w:rPr>
        <w:t>SAP Sales, CRM Business Consultant</w:t>
      </w:r>
      <w:r>
        <w:rPr>
          <w:color w:val="444444"/>
          <w:sz w:val="21"/>
          <w:szCs w:val="21"/>
        </w:rPr>
        <w:t xml:space="preserve">  |  Infosys, Colgate-Palmolive, Deloitte &amp; Cognizant</w:t>
      </w:r>
    </w:p>
    <w:p w14:paraId="5B730904" w14:textId="77777777" w:rsidR="004D41BA" w:rsidRDefault="00000000">
      <w:pPr>
        <w:spacing w:after="100"/>
      </w:pPr>
      <w:r>
        <w:rPr>
          <w:i/>
          <w:iCs/>
          <w:color w:val="666666"/>
          <w:sz w:val="19"/>
          <w:szCs w:val="19"/>
        </w:rPr>
        <w:t>2007 – 2016</w:t>
      </w:r>
    </w:p>
    <w:p w14:paraId="672DCACC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Delivered digital transformation initiatives for Fortune 500 clients including Kraft Heinz, Colgate-Palmolive, and NuSkin.</w:t>
      </w:r>
    </w:p>
    <w:p w14:paraId="62C9E6F9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Built trade promotion systems and data-driven customer solutions leveraging SAP CRM, predictive modeling, and UX innovation.</w:t>
      </w:r>
    </w:p>
    <w:p w14:paraId="76AEC9C0" w14:textId="77777777" w:rsidR="004D41BA" w:rsidRDefault="00000000">
      <w:pPr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pacing w:val="10"/>
          <w:sz w:val="22"/>
          <w:szCs w:val="22"/>
        </w:rPr>
        <w:t>SELECTED PROJECTS</w:t>
      </w:r>
    </w:p>
    <w:p w14:paraId="2A7ECF26" w14:textId="77777777" w:rsidR="004D41BA" w:rsidRDefault="00000000">
      <w:pPr>
        <w:spacing w:after="100"/>
      </w:pPr>
      <w:r>
        <w:rPr>
          <w:color w:val="444444"/>
        </w:rPr>
        <w:t>Delivery has spanned a broader portfolio of enterprise AI initiatives, including telephony-integrated AI booking and service automation (BookMySpot, built on Genesys, adopted across multiple business units) and forensic PHI/PII identification for breach response (FIPP, built with a third-party forensics partner). Three representative initiatives are detailed below.</w:t>
      </w:r>
    </w:p>
    <w:p w14:paraId="5DDDBD25" w14:textId="77777777" w:rsidR="004D41BA" w:rsidRDefault="00000000">
      <w:pPr>
        <w:tabs>
          <w:tab w:val="right" w:pos="9360"/>
        </w:tabs>
        <w:spacing w:before="180" w:after="20"/>
      </w:pPr>
      <w:r>
        <w:rPr>
          <w:b/>
          <w:bCs/>
          <w:color w:val="111111"/>
          <w:sz w:val="21"/>
          <w:szCs w:val="21"/>
        </w:rPr>
        <w:t>ButlerAI — Enterprise AI Platform Layer</w:t>
      </w:r>
      <w:r>
        <w:rPr>
          <w:color w:val="444444"/>
          <w:sz w:val="21"/>
          <w:szCs w:val="21"/>
        </w:rPr>
        <w:t xml:space="preserve">  |  Luxottica</w:t>
      </w:r>
    </w:p>
    <w:p w14:paraId="1EAE1434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Architected an internal enterprise AI platform that abstracts LLM integration, UI, and user onboarding behind a standardized MCP (Model Context Protocol) layer, so any team exposes a single MCP server and automatically inherits auth, audit, and UI.</w:t>
      </w:r>
    </w:p>
    <w:p w14:paraId="1749C79D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Removed repeated onboarding/UI/LLM plumbing work per use case, accelerating enterprise-wide AI adoption while keeping centralized audit and governance control.</w:t>
      </w:r>
    </w:p>
    <w:p w14:paraId="047B98C5" w14:textId="77777777" w:rsidR="004D41BA" w:rsidRDefault="00000000">
      <w:pPr>
        <w:tabs>
          <w:tab w:val="right" w:pos="9360"/>
        </w:tabs>
        <w:spacing w:before="180" w:after="20"/>
      </w:pPr>
      <w:r>
        <w:rPr>
          <w:b/>
          <w:bCs/>
          <w:color w:val="111111"/>
          <w:sz w:val="21"/>
          <w:szCs w:val="21"/>
        </w:rPr>
        <w:t>RAG-Driven Chat Service</w:t>
      </w:r>
      <w:r>
        <w:rPr>
          <w:color w:val="444444"/>
          <w:sz w:val="21"/>
          <w:szCs w:val="21"/>
        </w:rPr>
        <w:t xml:space="preserve">  |  Luxottica</w:t>
      </w:r>
    </w:p>
    <w:p w14:paraId="14A08307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Built a RAG-based chat service deployed across internal tools and multiple group-facing websites, with separate medical and non-medical infrastructure to support compliance requirements.</w:t>
      </w:r>
    </w:p>
    <w:p w14:paraId="6CCF65A1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Enabled AI-assisted support across both regulated (medical) and non-regulated (non-medical) domains without compromising data segregation or governance.</w:t>
      </w:r>
    </w:p>
    <w:p w14:paraId="6B7AB344" w14:textId="77777777" w:rsidR="004D41BA" w:rsidRDefault="00000000">
      <w:pPr>
        <w:tabs>
          <w:tab w:val="right" w:pos="9360"/>
        </w:tabs>
        <w:spacing w:before="180" w:after="20"/>
      </w:pPr>
      <w:r>
        <w:rPr>
          <w:b/>
          <w:bCs/>
          <w:color w:val="111111"/>
          <w:sz w:val="21"/>
          <w:szCs w:val="21"/>
        </w:rPr>
        <w:t>On-Prem OCR Fine-Tuning for Business Document Processing</w:t>
      </w:r>
      <w:r>
        <w:rPr>
          <w:color w:val="444444"/>
          <w:sz w:val="21"/>
          <w:szCs w:val="21"/>
        </w:rPr>
        <w:t xml:space="preserve">  |  Luxottica</w:t>
      </w:r>
    </w:p>
    <w:p w14:paraId="5D3C398D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Fine-tuned an on-premises, open-weight AI model on proprietary data to automate OCR-based document processing for business operations, achieving ~90% accuracy.</w:t>
      </w:r>
    </w:p>
    <w:p w14:paraId="6A78CE2E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Delivered approximately $1.5M in annual savings against an operating cost of roughly $150K, replacing manual and third-party processing.</w:t>
      </w:r>
    </w:p>
    <w:p w14:paraId="378AB37F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Applied a RAG-based fine-tuning approach, evaluating and selecting the right retrieval/model strategy per use case to improve workflow accuracy and reliability.</w:t>
      </w:r>
    </w:p>
    <w:p w14:paraId="5F14E17B" w14:textId="77777777" w:rsidR="004D41BA" w:rsidRDefault="00000000">
      <w:pPr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pacing w:val="10"/>
          <w:sz w:val="22"/>
          <w:szCs w:val="22"/>
        </w:rPr>
        <w:t>RESEARCH &amp; PUBLICATIONS</w:t>
      </w:r>
    </w:p>
    <w:p w14:paraId="3F1B1D6D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Adaptive Time-Stretching AI Algorithm (“Ice Cube”) — published paper on original research enabling synchronized AI-translated multilingual video, improving accessibility for media platforms.</w:t>
      </w:r>
    </w:p>
    <w:p w14:paraId="0E44AE1A" w14:textId="77777777" w:rsidR="004D41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TrueLens Framework — published framework for mitigating algorithmic bias, referenced in enterprise AI governance practice.</w:t>
      </w:r>
    </w:p>
    <w:p w14:paraId="7BD7C434" w14:textId="77777777" w:rsidR="004D41BA" w:rsidRDefault="00000000">
      <w:pPr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pacing w:val="10"/>
          <w:sz w:val="22"/>
          <w:szCs w:val="22"/>
        </w:rPr>
        <w:t>EDUCATION</w:t>
      </w:r>
    </w:p>
    <w:p w14:paraId="1F8EF7E7" w14:textId="77777777" w:rsidR="004D41BA" w:rsidRDefault="00000000">
      <w:pPr>
        <w:spacing w:after="40"/>
      </w:pPr>
      <w:r>
        <w:rPr>
          <w:b/>
          <w:bCs/>
          <w:color w:val="111111"/>
        </w:rPr>
        <w:t>M.S., Data Science</w:t>
      </w:r>
    </w:p>
    <w:p w14:paraId="4AC919E1" w14:textId="77777777" w:rsidR="004D41BA" w:rsidRDefault="00000000">
      <w:pPr>
        <w:spacing w:after="100"/>
      </w:pPr>
      <w:r>
        <w:rPr>
          <w:color w:val="444444"/>
          <w:sz w:val="19"/>
          <w:szCs w:val="19"/>
        </w:rPr>
        <w:t>City University of New York (CUNY)</w:t>
      </w:r>
    </w:p>
    <w:p w14:paraId="1FF2B916" w14:textId="77777777" w:rsidR="004D41BA" w:rsidRDefault="00000000">
      <w:pPr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pacing w:val="10"/>
          <w:sz w:val="22"/>
          <w:szCs w:val="22"/>
        </w:rPr>
        <w:t>TECHNICAL ENVIRONMENT</w:t>
      </w:r>
    </w:p>
    <w:p w14:paraId="3DB34D7F" w14:textId="77777777" w:rsidR="004D41BA" w:rsidRDefault="00000000">
      <w:pPr>
        <w:spacing w:after="60"/>
      </w:pPr>
      <w:r>
        <w:rPr>
          <w:color w:val="444444"/>
        </w:rPr>
        <w:t>Python, R, Spark, SQL, Azure, Databricks, OpenAI, LLMs, ABAP, SAP CRM, NLP, MySQL, MongoDB, JavaScript, WordPress</w:t>
      </w:r>
    </w:p>
    <w:sectPr w:rsidR="004D41B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D68D9"/>
    <w:multiLevelType w:val="hybridMultilevel"/>
    <w:tmpl w:val="AAA07152"/>
    <w:lvl w:ilvl="0" w:tplc="E4FC2EA4">
      <w:start w:val="1"/>
      <w:numFmt w:val="bullet"/>
      <w:lvlText w:val="●"/>
      <w:lvlJc w:val="left"/>
      <w:pPr>
        <w:ind w:left="720" w:hanging="360"/>
      </w:pPr>
    </w:lvl>
    <w:lvl w:ilvl="1" w:tplc="9B2081B6">
      <w:start w:val="1"/>
      <w:numFmt w:val="bullet"/>
      <w:lvlText w:val="○"/>
      <w:lvlJc w:val="left"/>
      <w:pPr>
        <w:ind w:left="1440" w:hanging="360"/>
      </w:pPr>
    </w:lvl>
    <w:lvl w:ilvl="2" w:tplc="ACC813A8">
      <w:start w:val="1"/>
      <w:numFmt w:val="bullet"/>
      <w:lvlText w:val="■"/>
      <w:lvlJc w:val="left"/>
      <w:pPr>
        <w:ind w:left="2160" w:hanging="360"/>
      </w:pPr>
    </w:lvl>
    <w:lvl w:ilvl="3" w:tplc="8438C75E">
      <w:start w:val="1"/>
      <w:numFmt w:val="bullet"/>
      <w:lvlText w:val="●"/>
      <w:lvlJc w:val="left"/>
      <w:pPr>
        <w:ind w:left="2880" w:hanging="360"/>
      </w:pPr>
    </w:lvl>
    <w:lvl w:ilvl="4" w:tplc="E85812B2">
      <w:start w:val="1"/>
      <w:numFmt w:val="bullet"/>
      <w:lvlText w:val="○"/>
      <w:lvlJc w:val="left"/>
      <w:pPr>
        <w:ind w:left="3600" w:hanging="360"/>
      </w:pPr>
    </w:lvl>
    <w:lvl w:ilvl="5" w:tplc="A7AAC1E6">
      <w:start w:val="1"/>
      <w:numFmt w:val="bullet"/>
      <w:lvlText w:val="■"/>
      <w:lvlJc w:val="left"/>
      <w:pPr>
        <w:ind w:left="4320" w:hanging="360"/>
      </w:pPr>
    </w:lvl>
    <w:lvl w:ilvl="6" w:tplc="189EB4F4">
      <w:start w:val="1"/>
      <w:numFmt w:val="bullet"/>
      <w:lvlText w:val="●"/>
      <w:lvlJc w:val="left"/>
      <w:pPr>
        <w:ind w:left="5040" w:hanging="360"/>
      </w:pPr>
    </w:lvl>
    <w:lvl w:ilvl="7" w:tplc="7DD256C6">
      <w:start w:val="1"/>
      <w:numFmt w:val="bullet"/>
      <w:lvlText w:val="●"/>
      <w:lvlJc w:val="left"/>
      <w:pPr>
        <w:ind w:left="5760" w:hanging="360"/>
      </w:pPr>
    </w:lvl>
    <w:lvl w:ilvl="8" w:tplc="42C4D8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C87E39"/>
    <w:multiLevelType w:val="hybridMultilevel"/>
    <w:tmpl w:val="697AC828"/>
    <w:lvl w:ilvl="0" w:tplc="6420B09E">
      <w:start w:val="1"/>
      <w:numFmt w:val="bullet"/>
      <w:lvlText w:val="•"/>
      <w:lvlJc w:val="left"/>
      <w:pPr>
        <w:ind w:left="360" w:hanging="259"/>
      </w:pPr>
    </w:lvl>
    <w:lvl w:ilvl="1" w:tplc="4710A308">
      <w:numFmt w:val="decimal"/>
      <w:lvlText w:val=""/>
      <w:lvlJc w:val="left"/>
    </w:lvl>
    <w:lvl w:ilvl="2" w:tplc="E9DC2C96">
      <w:numFmt w:val="decimal"/>
      <w:lvlText w:val=""/>
      <w:lvlJc w:val="left"/>
    </w:lvl>
    <w:lvl w:ilvl="3" w:tplc="0400C3EA">
      <w:numFmt w:val="decimal"/>
      <w:lvlText w:val=""/>
      <w:lvlJc w:val="left"/>
    </w:lvl>
    <w:lvl w:ilvl="4" w:tplc="98962584">
      <w:numFmt w:val="decimal"/>
      <w:lvlText w:val=""/>
      <w:lvlJc w:val="left"/>
    </w:lvl>
    <w:lvl w:ilvl="5" w:tplc="A1328B48">
      <w:numFmt w:val="decimal"/>
      <w:lvlText w:val=""/>
      <w:lvlJc w:val="left"/>
    </w:lvl>
    <w:lvl w:ilvl="6" w:tplc="BAB41674">
      <w:numFmt w:val="decimal"/>
      <w:lvlText w:val=""/>
      <w:lvlJc w:val="left"/>
    </w:lvl>
    <w:lvl w:ilvl="7" w:tplc="E1481B4A">
      <w:numFmt w:val="decimal"/>
      <w:lvlText w:val=""/>
      <w:lvlJc w:val="left"/>
    </w:lvl>
    <w:lvl w:ilvl="8" w:tplc="3D8CA8DC">
      <w:numFmt w:val="decimal"/>
      <w:lvlText w:val=""/>
      <w:lvlJc w:val="left"/>
    </w:lvl>
  </w:abstractNum>
  <w:num w:numId="1" w16cid:durableId="1207983158">
    <w:abstractNumId w:val="0"/>
    <w:lvlOverride w:ilvl="0">
      <w:startOverride w:val="1"/>
    </w:lvlOverride>
  </w:num>
  <w:num w:numId="2" w16cid:durableId="292175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BA"/>
    <w:rsid w:val="0007540E"/>
    <w:rsid w:val="00430F70"/>
    <w:rsid w:val="004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6A10"/>
  <w15:docId w15:val="{F75D56A3-5602-413D-AF81-C1D77CC0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jwa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Mishra Rajwant</cp:lastModifiedBy>
  <cp:revision>2</cp:revision>
  <dcterms:created xsi:type="dcterms:W3CDTF">2026-07-27T06:04:00Z</dcterms:created>
  <dcterms:modified xsi:type="dcterms:W3CDTF">2026-08-20T21:31:00Z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2026-08-20T21:31:28Z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96a9103c-652b-461f-9fad-983a29275eac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