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4338CA"/>
          <w:sz w:val="36"/>
        </w:rPr>
        <w:t>TASK 1: STARTUP MARKET RESEARCH REPORT</w:t>
      </w:r>
    </w:p>
    <w:p>
      <w:pPr>
        <w:spacing w:after="280"/>
      </w:pPr>
      <w:r>
        <w:rPr>
          <w:rFonts w:ascii="Arial" w:hAnsi="Arial"/>
          <w:b/>
          <w:color w:val="0D9488"/>
          <w:sz w:val="22"/>
        </w:rPr>
        <w:t>Horizon TechX — Industry Landscape, SWOT &amp; Growth Opportunity Insights</w:t>
      </w:r>
    </w:p>
    <w:p>
      <w:pPr>
        <w:spacing w:before="240" w:after="80"/>
      </w:pPr>
      <w:r>
        <w:rPr>
          <w:rFonts w:ascii="Arial" w:hAnsi="Arial"/>
          <w:b/>
          <w:color w:val="4338CA"/>
          <w:sz w:val="26"/>
        </w:rPr>
        <w:t>1. Executive Summary &amp; Market Sizing</w:t>
      </w:r>
    </w:p>
    <w:p>
      <w:pPr>
        <w:spacing w:after="80" w:line="276" w:lineRule="auto"/>
      </w:pPr>
      <w:r>
        <w:rPr>
          <w:rFonts w:ascii="Arial" w:hAnsi="Arial"/>
          <w:color w:val="1E293B"/>
          <w:sz w:val="19"/>
        </w:rPr>
        <w:t>The global EdTech and AI-driven skill acceleration market is experiencing an unprecedented paradigm shift. Driven by rapid technological advancements in Generative AI, cloud computing, and automated workflows, the global EdTech market is projected to grow from $142 Billion in 2024 to over $340 Billion by 2030 at a CAGR of 15.8%. This report provides a market research analysis for Horizon TechX, evaluating industry trends, competitive positioning, SWOT metrics, and high-impact growth opportunities.</w:t>
      </w:r>
    </w:p>
    <w:tbl>
      <w:tblPr>
        <w:tblW w:type="auto" w:w="0"/>
        <w:jc w:val="center"/>
        <w:tblLook w:firstColumn="1" w:firstRow="1" w:lastColumn="0" w:lastRow="0" w:noHBand="0" w:noVBand="1" w:val="04A0"/>
      </w:tblPr>
      <w:tblGrid>
        <w:gridCol w:w="2520"/>
        <w:gridCol w:w="2520"/>
        <w:gridCol w:w="2520"/>
        <w:gridCol w:w="2520"/>
      </w:tblGrid>
      <w:tr>
        <w:tc>
          <w:tcPr>
            <w:tcW w:type="dxa" w:w="2520"/>
            <w:shd w:fill="4338CA"/>
          </w:tcPr>
          <w:p>
            <w:pPr>
              <w:jc w:val="left"/>
            </w:pPr>
            <w:r>
              <w:rPr>
                <w:rFonts w:ascii="Arial" w:hAnsi="Arial"/>
                <w:b/>
                <w:color w:val="FFFFFF"/>
                <w:sz w:val="18"/>
              </w:rPr>
              <w:t>Market Segment</w:t>
            </w:r>
          </w:p>
        </w:tc>
        <w:tc>
          <w:tcPr>
            <w:tcW w:type="dxa" w:w="2520"/>
            <w:shd w:fill="4338CA"/>
          </w:tcPr>
          <w:p>
            <w:pPr>
              <w:jc w:val="left"/>
            </w:pPr>
            <w:r>
              <w:rPr>
                <w:rFonts w:ascii="Arial" w:hAnsi="Arial"/>
                <w:b/>
                <w:color w:val="FFFFFF"/>
                <w:sz w:val="18"/>
              </w:rPr>
              <w:t>Valuation (USD)</w:t>
            </w:r>
          </w:p>
        </w:tc>
        <w:tc>
          <w:tcPr>
            <w:tcW w:type="dxa" w:w="2520"/>
            <w:shd w:fill="4338CA"/>
          </w:tcPr>
          <w:p>
            <w:pPr>
              <w:jc w:val="left"/>
            </w:pPr>
            <w:r>
              <w:rPr>
                <w:rFonts w:ascii="Arial" w:hAnsi="Arial"/>
                <w:b/>
                <w:color w:val="FFFFFF"/>
                <w:sz w:val="18"/>
              </w:rPr>
              <w:t>Growth Rate (CAGR)</w:t>
            </w:r>
          </w:p>
        </w:tc>
        <w:tc>
          <w:tcPr>
            <w:tcW w:type="dxa" w:w="2520"/>
            <w:shd w:fill="4338CA"/>
          </w:tcPr>
          <w:p>
            <w:pPr>
              <w:jc w:val="left"/>
            </w:pPr>
            <w:r>
              <w:rPr>
                <w:rFonts w:ascii="Arial" w:hAnsi="Arial"/>
                <w:b/>
                <w:color w:val="FFFFFF"/>
                <w:sz w:val="18"/>
              </w:rPr>
              <w:t>Horizon TechX Addressable Focus</w:t>
            </w:r>
          </w:p>
        </w:tc>
      </w:tr>
      <w:tr>
        <w:tc>
          <w:tcPr>
            <w:tcW w:type="dxa" w:w="2520"/>
            <w:shd w:fill="F8FAFC"/>
          </w:tcPr>
          <w:p>
            <w:r>
              <w:rPr>
                <w:rFonts w:ascii="Arial" w:hAnsi="Arial"/>
                <w:color w:val="1E293B"/>
                <w:sz w:val="17"/>
              </w:rPr>
              <w:t>TAM (Total Addressable Market)</w:t>
            </w:r>
          </w:p>
        </w:tc>
        <w:tc>
          <w:tcPr>
            <w:tcW w:type="dxa" w:w="2520"/>
            <w:shd w:fill="F8FAFC"/>
          </w:tcPr>
          <w:p>
            <w:r>
              <w:rPr>
                <w:rFonts w:ascii="Arial" w:hAnsi="Arial"/>
                <w:color w:val="1E293B"/>
                <w:sz w:val="17"/>
              </w:rPr>
              <w:t>$340 Billion</w:t>
            </w:r>
          </w:p>
        </w:tc>
        <w:tc>
          <w:tcPr>
            <w:tcW w:type="dxa" w:w="2520"/>
            <w:shd w:fill="F8FAFC"/>
          </w:tcPr>
          <w:p>
            <w:r>
              <w:rPr>
                <w:rFonts w:ascii="Arial" w:hAnsi="Arial"/>
                <w:color w:val="1E293B"/>
                <w:sz w:val="17"/>
              </w:rPr>
              <w:t>15.8%</w:t>
            </w:r>
          </w:p>
        </w:tc>
        <w:tc>
          <w:tcPr>
            <w:tcW w:type="dxa" w:w="2520"/>
            <w:shd w:fill="F8FAFC"/>
          </w:tcPr>
          <w:p>
            <w:r>
              <w:rPr>
                <w:rFonts w:ascii="Arial" w:hAnsi="Arial"/>
                <w:color w:val="1E293B"/>
                <w:sz w:val="17"/>
              </w:rPr>
              <w:t>Global Online Learning &amp; Tech Upskilling Market.</w:t>
            </w:r>
          </w:p>
        </w:tc>
      </w:tr>
      <w:tr>
        <w:tc>
          <w:tcPr>
            <w:tcW w:type="dxa" w:w="2520"/>
            <w:shd w:fill="FFFFFF"/>
          </w:tcPr>
          <w:p>
            <w:r>
              <w:rPr>
                <w:rFonts w:ascii="Arial" w:hAnsi="Arial"/>
                <w:color w:val="1E293B"/>
                <w:sz w:val="17"/>
              </w:rPr>
              <w:t>SAM (Serviceable Addressable Market)</w:t>
            </w:r>
          </w:p>
        </w:tc>
        <w:tc>
          <w:tcPr>
            <w:tcW w:type="dxa" w:w="2520"/>
            <w:shd w:fill="FFFFFF"/>
          </w:tcPr>
          <w:p>
            <w:r>
              <w:rPr>
                <w:rFonts w:ascii="Arial" w:hAnsi="Arial"/>
                <w:color w:val="1E293B"/>
                <w:sz w:val="17"/>
              </w:rPr>
              <w:t>$24 Billion</w:t>
            </w:r>
          </w:p>
        </w:tc>
        <w:tc>
          <w:tcPr>
            <w:tcW w:type="dxa" w:w="2520"/>
            <w:shd w:fill="FFFFFF"/>
          </w:tcPr>
          <w:p>
            <w:r>
              <w:rPr>
                <w:rFonts w:ascii="Arial" w:hAnsi="Arial"/>
                <w:color w:val="1E293B"/>
                <w:sz w:val="17"/>
              </w:rPr>
              <w:t>18.2%</w:t>
            </w:r>
          </w:p>
        </w:tc>
        <w:tc>
          <w:tcPr>
            <w:tcW w:type="dxa" w:w="2520"/>
            <w:shd w:fill="FFFFFF"/>
          </w:tcPr>
          <w:p>
            <w:r>
              <w:rPr>
                <w:rFonts w:ascii="Arial" w:hAnsi="Arial"/>
                <w:color w:val="1E293B"/>
                <w:sz w:val="17"/>
              </w:rPr>
              <w:t>Tech Upskilling &amp; Internship Programs in India &amp; SE Asia.</w:t>
            </w:r>
          </w:p>
        </w:tc>
      </w:tr>
      <w:tr>
        <w:tc>
          <w:tcPr>
            <w:tcW w:type="dxa" w:w="2520"/>
            <w:shd w:fill="F8FAFC"/>
          </w:tcPr>
          <w:p>
            <w:r>
              <w:rPr>
                <w:rFonts w:ascii="Arial" w:hAnsi="Arial"/>
                <w:color w:val="1E293B"/>
                <w:sz w:val="17"/>
              </w:rPr>
              <w:t>SOM (Serviceable Obtainable Market)</w:t>
            </w:r>
          </w:p>
        </w:tc>
        <w:tc>
          <w:tcPr>
            <w:tcW w:type="dxa" w:w="2520"/>
            <w:shd w:fill="F8FAFC"/>
          </w:tcPr>
          <w:p>
            <w:r>
              <w:rPr>
                <w:rFonts w:ascii="Arial" w:hAnsi="Arial"/>
                <w:color w:val="1E293B"/>
                <w:sz w:val="17"/>
              </w:rPr>
              <w:t>$450 Million</w:t>
            </w:r>
          </w:p>
        </w:tc>
        <w:tc>
          <w:tcPr>
            <w:tcW w:type="dxa" w:w="2520"/>
            <w:shd w:fill="F8FAFC"/>
          </w:tcPr>
          <w:p>
            <w:r>
              <w:rPr>
                <w:rFonts w:ascii="Arial" w:hAnsi="Arial"/>
                <w:color w:val="1E293B"/>
                <w:sz w:val="17"/>
              </w:rPr>
              <w:t>28.4%</w:t>
            </w:r>
          </w:p>
        </w:tc>
        <w:tc>
          <w:tcPr>
            <w:tcW w:type="dxa" w:w="2520"/>
            <w:shd w:fill="F8FAFC"/>
          </w:tcPr>
          <w:p>
            <w:r>
              <w:rPr>
                <w:rFonts w:ascii="Arial" w:hAnsi="Arial"/>
                <w:color w:val="1E293B"/>
                <w:sz w:val="17"/>
              </w:rPr>
              <w:t>Early Career Developers &amp; Tech Interns (Years 1-3).</w:t>
            </w:r>
          </w:p>
        </w:tc>
      </w:tr>
    </w:tbl>
    <w:p>
      <w:pPr>
        <w:spacing w:before="240" w:after="80"/>
      </w:pPr>
      <w:r>
        <w:rPr>
          <w:rFonts w:ascii="Arial" w:hAnsi="Arial"/>
          <w:b/>
          <w:color w:val="4338CA"/>
          <w:sz w:val="26"/>
        </w:rPr>
        <w:t>2. Strategic SWOT Analysis</w:t>
      </w:r>
    </w:p>
    <w:p>
      <w:pPr>
        <w:spacing w:after="80" w:line="276" w:lineRule="auto"/>
      </w:pPr>
      <w:r>
        <w:rPr>
          <w:rFonts w:ascii="Arial" w:hAnsi="Arial"/>
          <w:color w:val="1E293B"/>
          <w:sz w:val="19"/>
        </w:rPr>
        <w:t>To formulate a robust market penetration strategy, a SWOT analysis was conducted evaluating internal capabilities and external market dynamics:</w:t>
      </w:r>
    </w:p>
    <w:tbl>
      <w:tblPr>
        <w:tblW w:type="auto" w:w="0"/>
        <w:jc w:val="center"/>
        <w:tblLook w:firstColumn="1" w:firstRow="1" w:lastColumn="0" w:lastRow="0" w:noHBand="0" w:noVBand="1" w:val="04A0"/>
      </w:tblPr>
      <w:tblGrid>
        <w:gridCol w:w="5040"/>
        <w:gridCol w:w="5040"/>
      </w:tblGrid>
      <w:tr>
        <w:tc>
          <w:tcPr>
            <w:tcW w:type="dxa" w:w="5040"/>
            <w:shd w:fill="4338CA"/>
          </w:tcPr>
          <w:p>
            <w:pPr>
              <w:jc w:val="left"/>
            </w:pPr>
            <w:r>
              <w:rPr>
                <w:rFonts w:ascii="Arial" w:hAnsi="Arial"/>
                <w:b/>
                <w:color w:val="FFFFFF"/>
                <w:sz w:val="18"/>
              </w:rPr>
              <w:t>Strengths (Internal)</w:t>
            </w:r>
          </w:p>
        </w:tc>
        <w:tc>
          <w:tcPr>
            <w:tcW w:type="dxa" w:w="5040"/>
            <w:shd w:fill="4338CA"/>
          </w:tcPr>
          <w:p>
            <w:pPr>
              <w:jc w:val="left"/>
            </w:pPr>
            <w:r>
              <w:rPr>
                <w:rFonts w:ascii="Arial" w:hAnsi="Arial"/>
                <w:b/>
                <w:color w:val="FFFFFF"/>
                <w:sz w:val="18"/>
              </w:rPr>
              <w:t>Weaknesses (Internal)</w:t>
            </w:r>
          </w:p>
        </w:tc>
      </w:tr>
      <w:tr>
        <w:tc>
          <w:tcPr>
            <w:tcW w:type="dxa" w:w="5040"/>
            <w:shd w:fill="F8FAFC"/>
          </w:tcPr>
          <w:p>
            <w:r>
              <w:rPr>
                <w:rFonts w:ascii="Arial" w:hAnsi="Arial"/>
                <w:color w:val="1E293B"/>
                <w:sz w:val="17"/>
              </w:rPr>
              <w:t>Hands-on project-based internship model. Industry-aligned curriculum (AI, HR, Data Science). QR-verified credentials &amp; placement support. Highly affordable pricing.</w:t>
            </w:r>
          </w:p>
        </w:tc>
        <w:tc>
          <w:tcPr>
            <w:tcW w:type="dxa" w:w="5040"/>
            <w:shd w:fill="F8FAFC"/>
          </w:tcPr>
          <w:p>
            <w:r>
              <w:rPr>
                <w:rFonts w:ascii="Arial" w:hAnsi="Arial"/>
                <w:color w:val="1E293B"/>
                <w:sz w:val="17"/>
              </w:rPr>
              <w:t>Emerging brand awareness in Tier-2/3 cities. Reliance on third-party channels. Limited enterprise B2B partner network. Manual code review scalability.</w:t>
            </w:r>
          </w:p>
        </w:tc>
      </w:tr>
      <w:tr>
        <w:tc>
          <w:tcPr>
            <w:tcW w:type="dxa" w:w="5040"/>
            <w:shd w:fill="FFFFFF"/>
          </w:tcPr>
          <w:p>
            <w:r>
              <w:rPr>
                <w:rFonts w:ascii="Arial" w:hAnsi="Arial"/>
                <w:color w:val="1E293B"/>
                <w:sz w:val="17"/>
              </w:rPr>
              <w:t>Opportunities (External)</w:t>
            </w:r>
          </w:p>
        </w:tc>
        <w:tc>
          <w:tcPr>
            <w:tcW w:type="dxa" w:w="5040"/>
            <w:shd w:fill="FFFFFF"/>
          </w:tcPr>
          <w:p>
            <w:r>
              <w:rPr>
                <w:rFonts w:ascii="Arial" w:hAnsi="Arial"/>
                <w:color w:val="1E293B"/>
                <w:sz w:val="17"/>
              </w:rPr>
              <w:t>Threats (External)</w:t>
            </w:r>
          </w:p>
        </w:tc>
      </w:tr>
      <w:tr>
        <w:tc>
          <w:tcPr>
            <w:tcW w:type="dxa" w:w="5040"/>
            <w:shd w:fill="F8FAFC"/>
          </w:tcPr>
          <w:p>
            <w:r>
              <w:rPr>
                <w:rFonts w:ascii="Arial" w:hAnsi="Arial"/>
                <w:color w:val="1E293B"/>
                <w:sz w:val="17"/>
              </w:rPr>
              <w:t>Surge in demand for practical AI &amp; Data Analytics skills. Expansion into B2B corporate upskilling programs. Campus ambassador network across colleges.</w:t>
            </w:r>
          </w:p>
        </w:tc>
        <w:tc>
          <w:tcPr>
            <w:tcW w:type="dxa" w:w="5040"/>
            <w:shd w:fill="F8FAFC"/>
          </w:tcPr>
          <w:p>
            <w:r>
              <w:rPr>
                <w:rFonts w:ascii="Arial" w:hAnsi="Arial"/>
                <w:color w:val="1E293B"/>
                <w:sz w:val="17"/>
              </w:rPr>
              <w:t>Intense competition from legacy platforms. Rapid shifts in tech stack frameworks. Price wars from free YouTube/Open-Source content.</w:t>
            </w:r>
          </w:p>
        </w:tc>
      </w:tr>
    </w:tbl>
    <w:p>
      <w:pPr>
        <w:spacing w:before="240" w:after="80"/>
      </w:pPr>
      <w:r>
        <w:rPr>
          <w:rFonts w:ascii="Arial" w:hAnsi="Arial"/>
          <w:b/>
          <w:color w:val="4338CA"/>
          <w:sz w:val="26"/>
        </w:rPr>
        <w:t>3. Competitor Analysis Matrix</w:t>
      </w:r>
    </w:p>
    <w:p>
      <w:pPr>
        <w:spacing w:after="80" w:line="276" w:lineRule="auto"/>
      </w:pPr>
      <w:r>
        <w:rPr>
          <w:rFonts w:ascii="Arial" w:hAnsi="Arial"/>
          <w:color w:val="1E293B"/>
          <w:sz w:val="19"/>
        </w:rPr>
        <w:t>Horizon TechX competes against established MOOC platforms and specialized bootcamps. The matrix below benchmarks key operational parameters: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4338CA"/>
          </w:tcPr>
          <w:p>
            <w:pPr>
              <w:jc w:val="left"/>
            </w:pPr>
            <w:r>
              <w:rPr>
                <w:rFonts w:ascii="Arial" w:hAnsi="Arial"/>
                <w:b/>
                <w:color w:val="FFFFFF"/>
                <w:sz w:val="18"/>
              </w:rPr>
              <w:t>Competitor</w:t>
            </w:r>
          </w:p>
        </w:tc>
        <w:tc>
          <w:tcPr>
            <w:tcW w:type="dxa" w:w="2016"/>
            <w:shd w:fill="4338CA"/>
          </w:tcPr>
          <w:p>
            <w:pPr>
              <w:jc w:val="left"/>
            </w:pPr>
            <w:r>
              <w:rPr>
                <w:rFonts w:ascii="Arial" w:hAnsi="Arial"/>
                <w:b/>
                <w:color w:val="FFFFFF"/>
                <w:sz w:val="18"/>
              </w:rPr>
              <w:t>Primary Product</w:t>
            </w:r>
          </w:p>
        </w:tc>
        <w:tc>
          <w:tcPr>
            <w:tcW w:type="dxa" w:w="2016"/>
            <w:shd w:fill="4338CA"/>
          </w:tcPr>
          <w:p>
            <w:pPr>
              <w:jc w:val="left"/>
            </w:pPr>
            <w:r>
              <w:rPr>
                <w:rFonts w:ascii="Arial" w:hAnsi="Arial"/>
                <w:b/>
                <w:color w:val="FFFFFF"/>
                <w:sz w:val="18"/>
              </w:rPr>
              <w:t>Pricing Point</w:t>
            </w:r>
          </w:p>
        </w:tc>
        <w:tc>
          <w:tcPr>
            <w:tcW w:type="dxa" w:w="2016"/>
            <w:shd w:fill="4338CA"/>
          </w:tcPr>
          <w:p>
            <w:pPr>
              <w:jc w:val="left"/>
            </w:pPr>
            <w:r>
              <w:rPr>
                <w:rFonts w:ascii="Arial" w:hAnsi="Arial"/>
                <w:b/>
                <w:color w:val="FFFFFF"/>
                <w:sz w:val="18"/>
              </w:rPr>
              <w:t>Placement Support</w:t>
            </w:r>
          </w:p>
        </w:tc>
        <w:tc>
          <w:tcPr>
            <w:tcW w:type="dxa" w:w="2016"/>
            <w:shd w:fill="4338CA"/>
          </w:tcPr>
          <w:p>
            <w:pPr>
              <w:jc w:val="left"/>
            </w:pPr>
            <w:r>
              <w:rPr>
                <w:rFonts w:ascii="Arial" w:hAnsi="Arial"/>
                <w:b/>
                <w:color w:val="FFFFFF"/>
                <w:sz w:val="18"/>
              </w:rPr>
              <w:t>Horizon TechX Advantage</w:t>
            </w:r>
          </w:p>
        </w:tc>
      </w:tr>
      <w:tr>
        <w:tc>
          <w:tcPr>
            <w:tcW w:type="dxa" w:w="2016"/>
            <w:shd w:fill="F8FAFC"/>
          </w:tcPr>
          <w:p>
            <w:r>
              <w:rPr>
                <w:rFonts w:ascii="Arial" w:hAnsi="Arial"/>
                <w:color w:val="1E293B"/>
                <w:sz w:val="17"/>
              </w:rPr>
              <w:t>Coursera / edX</w:t>
            </w:r>
          </w:p>
        </w:tc>
        <w:tc>
          <w:tcPr>
            <w:tcW w:type="dxa" w:w="2016"/>
            <w:shd w:fill="F8FAFC"/>
          </w:tcPr>
          <w:p>
            <w:r>
              <w:rPr>
                <w:rFonts w:ascii="Arial" w:hAnsi="Arial"/>
                <w:color w:val="1E293B"/>
                <w:sz w:val="17"/>
              </w:rPr>
              <w:t>Video Courses</w:t>
            </w:r>
          </w:p>
        </w:tc>
        <w:tc>
          <w:tcPr>
            <w:tcW w:type="dxa" w:w="2016"/>
            <w:shd w:fill="F8FAFC"/>
          </w:tcPr>
          <w:p>
            <w:r>
              <w:rPr>
                <w:rFonts w:ascii="Arial" w:hAnsi="Arial"/>
                <w:color w:val="1E293B"/>
                <w:sz w:val="17"/>
              </w:rPr>
              <w:t>₹3,500 – ₹8,000 / mo</w:t>
            </w:r>
          </w:p>
        </w:tc>
        <w:tc>
          <w:tcPr>
            <w:tcW w:type="dxa" w:w="2016"/>
            <w:shd w:fill="F8FAFC"/>
          </w:tcPr>
          <w:p>
            <w:r>
              <w:rPr>
                <w:rFonts w:ascii="Arial" w:hAnsi="Arial"/>
                <w:color w:val="1E293B"/>
                <w:sz w:val="17"/>
              </w:rPr>
              <w:t>Self-serve job board</w:t>
            </w:r>
          </w:p>
        </w:tc>
        <w:tc>
          <w:tcPr>
            <w:tcW w:type="dxa" w:w="2016"/>
            <w:shd w:fill="F8FAFC"/>
          </w:tcPr>
          <w:p>
            <w:r>
              <w:rPr>
                <w:rFonts w:ascii="Arial" w:hAnsi="Arial"/>
                <w:color w:val="1E293B"/>
                <w:sz w:val="17"/>
              </w:rPr>
              <w:t>Live internship projects &amp; direct mentorship.</w:t>
            </w:r>
          </w:p>
        </w:tc>
      </w:tr>
      <w:tr>
        <w:tc>
          <w:tcPr>
            <w:tcW w:type="dxa" w:w="2016"/>
            <w:shd w:fill="FFFFFF"/>
          </w:tcPr>
          <w:p>
            <w:r>
              <w:rPr>
                <w:rFonts w:ascii="Arial" w:hAnsi="Arial"/>
                <w:color w:val="1E293B"/>
                <w:sz w:val="17"/>
              </w:rPr>
              <w:t>UpGrad / Scaler</w:t>
            </w:r>
          </w:p>
        </w:tc>
        <w:tc>
          <w:tcPr>
            <w:tcW w:type="dxa" w:w="2016"/>
            <w:shd w:fill="FFFFFF"/>
          </w:tcPr>
          <w:p>
            <w:r>
              <w:rPr>
                <w:rFonts w:ascii="Arial" w:hAnsi="Arial"/>
                <w:color w:val="1E293B"/>
                <w:sz w:val="17"/>
              </w:rPr>
              <w:t>Long Bootcamps</w:t>
            </w:r>
          </w:p>
        </w:tc>
        <w:tc>
          <w:tcPr>
            <w:tcW w:type="dxa" w:w="2016"/>
            <w:shd w:fill="FFFFFF"/>
          </w:tcPr>
          <w:p>
            <w:r>
              <w:rPr>
                <w:rFonts w:ascii="Arial" w:hAnsi="Arial"/>
                <w:color w:val="1E293B"/>
                <w:sz w:val="17"/>
              </w:rPr>
              <w:t>₹1.5L – ₹3.5L total</w:t>
            </w:r>
          </w:p>
        </w:tc>
        <w:tc>
          <w:tcPr>
            <w:tcW w:type="dxa" w:w="2016"/>
            <w:shd w:fill="FFFFFF"/>
          </w:tcPr>
          <w:p>
            <w:r>
              <w:rPr>
                <w:rFonts w:ascii="Arial" w:hAnsi="Arial"/>
                <w:color w:val="1E293B"/>
                <w:sz w:val="17"/>
              </w:rPr>
              <w:t>Dedicated placement cell</w:t>
            </w:r>
          </w:p>
        </w:tc>
        <w:tc>
          <w:tcPr>
            <w:tcW w:type="dxa" w:w="2016"/>
            <w:shd w:fill="FFFFFF"/>
          </w:tcPr>
          <w:p>
            <w:r>
              <w:rPr>
                <w:rFonts w:ascii="Arial" w:hAnsi="Arial"/>
                <w:color w:val="1E293B"/>
                <w:sz w:val="17"/>
              </w:rPr>
              <w:t>Fraction of cost with immediate practical exposure.</w:t>
            </w:r>
          </w:p>
        </w:tc>
      </w:tr>
      <w:tr>
        <w:tc>
          <w:tcPr>
            <w:tcW w:type="dxa" w:w="2016"/>
            <w:shd w:fill="F8FAFC"/>
          </w:tcPr>
          <w:p>
            <w:r>
              <w:rPr>
                <w:rFonts w:ascii="Arial" w:hAnsi="Arial"/>
                <w:color w:val="1E293B"/>
                <w:sz w:val="17"/>
              </w:rPr>
              <w:t>Internshala</w:t>
            </w:r>
          </w:p>
        </w:tc>
        <w:tc>
          <w:tcPr>
            <w:tcW w:type="dxa" w:w="2016"/>
            <w:shd w:fill="F8FAFC"/>
          </w:tcPr>
          <w:p>
            <w:r>
              <w:rPr>
                <w:rFonts w:ascii="Arial" w:hAnsi="Arial"/>
                <w:color w:val="1E293B"/>
                <w:sz w:val="17"/>
              </w:rPr>
              <w:t>Internship Portal</w:t>
            </w:r>
          </w:p>
        </w:tc>
        <w:tc>
          <w:tcPr>
            <w:tcW w:type="dxa" w:w="2016"/>
            <w:shd w:fill="F8FAFC"/>
          </w:tcPr>
          <w:p>
            <w:r>
              <w:rPr>
                <w:rFonts w:ascii="Arial" w:hAnsi="Arial"/>
                <w:color w:val="1E293B"/>
                <w:sz w:val="17"/>
              </w:rPr>
              <w:t>Freemium model</w:t>
            </w:r>
          </w:p>
        </w:tc>
        <w:tc>
          <w:tcPr>
            <w:tcW w:type="dxa" w:w="2016"/>
            <w:shd w:fill="F8FAFC"/>
          </w:tcPr>
          <w:p>
            <w:r>
              <w:rPr>
                <w:rFonts w:ascii="Arial" w:hAnsi="Arial"/>
                <w:color w:val="1E293B"/>
                <w:sz w:val="17"/>
              </w:rPr>
              <w:t>Application listing</w:t>
            </w:r>
          </w:p>
        </w:tc>
        <w:tc>
          <w:tcPr>
            <w:tcW w:type="dxa" w:w="2016"/>
            <w:shd w:fill="F8FAFC"/>
          </w:tcPr>
          <w:p>
            <w:r>
              <w:rPr>
                <w:rFonts w:ascii="Arial" w:hAnsi="Arial"/>
                <w:color w:val="1E293B"/>
                <w:sz w:val="17"/>
              </w:rPr>
              <w:t>Structured portfolio building &amp; verified certification.</w:t>
            </w:r>
          </w:p>
        </w:tc>
      </w:tr>
      <w:tr>
        <w:tc>
          <w:tcPr>
            <w:tcW w:type="dxa" w:w="2016"/>
            <w:shd w:fill="FFFFFF"/>
          </w:tcPr>
          <w:p>
            <w:r>
              <w:rPr>
                <w:rFonts w:ascii="Arial" w:hAnsi="Arial"/>
                <w:color w:val="1E293B"/>
                <w:sz w:val="17"/>
              </w:rPr>
              <w:t>Horizon TechX</w:t>
            </w:r>
          </w:p>
        </w:tc>
        <w:tc>
          <w:tcPr>
            <w:tcW w:type="dxa" w:w="2016"/>
            <w:shd w:fill="FFFFFF"/>
          </w:tcPr>
          <w:p>
            <w:r>
              <w:rPr>
                <w:rFonts w:ascii="Arial" w:hAnsi="Arial"/>
                <w:color w:val="1E293B"/>
                <w:sz w:val="17"/>
              </w:rPr>
              <w:t>Project Internships</w:t>
            </w:r>
          </w:p>
        </w:tc>
        <w:tc>
          <w:tcPr>
            <w:tcW w:type="dxa" w:w="2016"/>
            <w:shd w:fill="FFFFFF"/>
          </w:tcPr>
          <w:p>
            <w:r>
              <w:rPr>
                <w:rFonts w:ascii="Arial" w:hAnsi="Arial"/>
                <w:color w:val="1E293B"/>
                <w:sz w:val="17"/>
              </w:rPr>
              <w:t>Accessible / Freemium</w:t>
            </w:r>
          </w:p>
        </w:tc>
        <w:tc>
          <w:tcPr>
            <w:tcW w:type="dxa" w:w="2016"/>
            <w:shd w:fill="FFFFFF"/>
          </w:tcPr>
          <w:p>
            <w:r>
              <w:rPr>
                <w:rFonts w:ascii="Arial" w:hAnsi="Arial"/>
                <w:color w:val="1E293B"/>
                <w:sz w:val="17"/>
              </w:rPr>
              <w:t>Resume &amp; Placement</w:t>
            </w:r>
          </w:p>
        </w:tc>
        <w:tc>
          <w:tcPr>
            <w:tcW w:type="dxa" w:w="2016"/>
            <w:shd w:fill="FFFFFF"/>
          </w:tcPr>
          <w:p>
            <w:r>
              <w:rPr>
                <w:rFonts w:ascii="Arial" w:hAnsi="Arial"/>
                <w:color w:val="1E293B"/>
                <w:sz w:val="17"/>
              </w:rPr>
              <w:t>High ROI, project-first, fast-track skill validation.</w:t>
            </w:r>
          </w:p>
        </w:tc>
      </w:tr>
    </w:tbl>
    <w:p>
      <w:pPr>
        <w:spacing w:before="240" w:after="80"/>
      </w:pPr>
      <w:r>
        <w:rPr>
          <w:rFonts w:ascii="Arial" w:hAnsi="Arial"/>
          <w:b/>
          <w:color w:val="4338CA"/>
          <w:sz w:val="26"/>
        </w:rPr>
        <w:t>4. High-Growth Opportunity Insights &amp; Action Plan</w:t>
      </w:r>
    </w:p>
    <w:p>
      <w:pPr>
        <w:pStyle w:val="ListBullet"/>
        <w:spacing w:after="60" w:line="276" w:lineRule="auto"/>
      </w:pPr>
      <w:r>
        <w:rPr>
          <w:rFonts w:ascii="Arial" w:hAnsi="Arial"/>
          <w:b/>
          <w:color w:val="1E293B"/>
          <w:sz w:val="19"/>
        </w:rPr>
        <w:t>AI-Driven Personalization:</w:t>
      </w:r>
      <w:r>
        <w:rPr>
          <w:rFonts w:ascii="Arial" w:hAnsi="Arial"/>
          <w:color w:val="1E293B"/>
          <w:sz w:val="19"/>
        </w:rPr>
        <w:t xml:space="preserve"> Integrate automated AI code reviewer bots to provide real-time feedback on intern project submissions.</w:t>
      </w:r>
    </w:p>
    <w:p>
      <w:pPr>
        <w:pStyle w:val="ListBullet"/>
        <w:spacing w:after="60" w:line="276" w:lineRule="auto"/>
      </w:pPr>
      <w:r>
        <w:rPr>
          <w:rFonts w:ascii="Arial" w:hAnsi="Arial"/>
          <w:b/>
          <w:color w:val="1E293B"/>
          <w:sz w:val="19"/>
        </w:rPr>
        <w:t>B2B Enterprise Partnerships:</w:t>
      </w:r>
      <w:r>
        <w:rPr>
          <w:rFonts w:ascii="Arial" w:hAnsi="Arial"/>
          <w:color w:val="1E293B"/>
          <w:sz w:val="19"/>
        </w:rPr>
        <w:t xml:space="preserve"> Launch corporate upskilling tracks for IT services companies seeking fast-track onboarding for junior engineers.</w:t>
      </w:r>
    </w:p>
    <w:p>
      <w:pPr>
        <w:pStyle w:val="ListBullet"/>
        <w:spacing w:after="60" w:line="276" w:lineRule="auto"/>
      </w:pPr>
      <w:r>
        <w:rPr>
          <w:rFonts w:ascii="Arial" w:hAnsi="Arial"/>
          <w:b/>
          <w:color w:val="1E293B"/>
          <w:sz w:val="19"/>
        </w:rPr>
        <w:t>College Campus Ambassador Network:</w:t>
      </w:r>
      <w:r>
        <w:rPr>
          <w:rFonts w:ascii="Arial" w:hAnsi="Arial"/>
          <w:color w:val="1E293B"/>
          <w:sz w:val="19"/>
        </w:rPr>
        <w:t xml:space="preserve"> Establish student ambassador chapters across 200+ engineering &amp; management institutes.</w:t>
      </w:r>
    </w:p>
    <w:p>
      <w:pPr>
        <w:pStyle w:val="ListBullet"/>
        <w:spacing w:after="60" w:line="276" w:lineRule="auto"/>
      </w:pPr>
      <w:r>
        <w:rPr>
          <w:rFonts w:ascii="Arial" w:hAnsi="Arial"/>
          <w:b/>
          <w:color w:val="1E293B"/>
          <w:sz w:val="19"/>
        </w:rPr>
        <w:t>Verified Digital Badging:</w:t>
      </w:r>
      <w:r>
        <w:rPr>
          <w:rFonts w:ascii="Arial" w:hAnsi="Arial"/>
          <w:color w:val="1E293B"/>
          <w:sz w:val="19"/>
        </w:rPr>
        <w:t xml:space="preserve"> Partner with LinkedIn and Credly to offer instant 1-click badge sharing for completed projects.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