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4338CA"/>
          <w:sz w:val="36"/>
        </w:rPr>
        <w:t>TASK 2: BRAND POSITIONING &amp; GROWTH STRATEGY</w:t>
      </w:r>
    </w:p>
    <w:p>
      <w:pPr>
        <w:spacing w:after="280"/>
      </w:pPr>
      <w:r>
        <w:rPr>
          <w:rFonts w:ascii="Arial" w:hAnsi="Arial"/>
          <w:b/>
          <w:color w:val="0D9488"/>
          <w:sz w:val="22"/>
        </w:rPr>
        <w:t>Horizon TechX — Brand Positioning Framework &amp; Multi-Channel Engagement Blueprint</w:t>
      </w:r>
    </w:p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1. Core Brand Positioning Framework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Brand Purpose: To bridge the critical gap between academic education and industry performance by providing ambitious learners with practical, project-based internship experience, verified credentials, and career readiness support.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Brand Positioning Statement: 'For college students and early-career tech professionals who seek real-world work experience, Horizon TechX is the premier practical skill acceleration platform that delivers verifiable project portfolios and placement support, unlike traditional video-only courses that lack practical application.'</w:t>
      </w:r>
    </w:p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2. Unique Selling Proposition (USP) &amp; Value Pillars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Brand Pillar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Core Promise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Proof Points &amp; Features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1. Practical Project-First Learning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Zero fluff. 100% real-world assignments.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Hands-on tasks: HR policies, AI research papers, live dashboards, coding repos.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2. Verifiable Credentialing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Tamper-proof, employer-ready validation.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QR-verified certificates, Unique Student IDs, LinkedIn shareable digital badges.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3. Fast-Track Career Growth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Direct transition into high-demand roles.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Resume building support, Letter of Recommendation (LOR), placement assistance.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4. Accessible &amp; Inclusive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Democratizing high-quality tech training.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Affordable pricing, self-paced flexible tracks, remote hybrid participation.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3. Multi-Channel Customer Engagement Strategy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LinkedIn B2B &amp; Thought Leadership:</w:t>
      </w:r>
      <w:r>
        <w:rPr>
          <w:rFonts w:ascii="Arial" w:hAnsi="Arial"/>
          <w:color w:val="1E293B"/>
          <w:sz w:val="19"/>
        </w:rPr>
        <w:t xml:space="preserve"> Publish intern success stories, project showcases, industry research insights, and tag corporate partners to drive viral organic reach.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Instagram &amp; Community Engagement:</w:t>
      </w:r>
      <w:r>
        <w:rPr>
          <w:rFonts w:ascii="Arial" w:hAnsi="Arial"/>
          <w:color w:val="1E293B"/>
          <w:sz w:val="19"/>
        </w:rPr>
        <w:t xml:space="preserve"> Share short-form video explainers (Reels), intern spot-checks, behind-the-scenes culture, and host Q&amp;A sessions on career guidance.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YouTube Content Hub:</w:t>
      </w:r>
      <w:r>
        <w:rPr>
          <w:rFonts w:ascii="Arial" w:hAnsi="Arial"/>
          <w:color w:val="1E293B"/>
          <w:sz w:val="19"/>
        </w:rPr>
        <w:t xml:space="preserve"> Host deep-dive tutorial series, project walkthroughs, and alumni interview series to capture organic search traffic.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1E293B"/>
          <w:sz w:val="19"/>
        </w:rPr>
        <w:t>Email Nurture Sequences:</w:t>
      </w:r>
      <w:r>
        <w:rPr>
          <w:rFonts w:ascii="Arial" w:hAnsi="Arial"/>
          <w:color w:val="1E293B"/>
          <w:sz w:val="19"/>
        </w:rPr>
        <w:t xml:space="preserve"> Automated drip campaigns delivering project tips, weekly learning recaps, and exclusive job placement alerts.</w:t>
      </w:r>
    </w:p>
    <w:p>
      <w:pPr>
        <w:spacing w:before="240" w:after="80"/>
      </w:pPr>
      <w:r>
        <w:rPr>
          <w:rFonts w:ascii="Arial" w:hAnsi="Arial"/>
          <w:b/>
          <w:color w:val="4338CA"/>
          <w:sz w:val="26"/>
        </w:rPr>
        <w:t>4. Growth Strategy &amp; Scalable Acquisition Levers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Growth Lever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Strategy &amp; Execution Mechanism</w:t>
            </w:r>
          </w:p>
        </w:tc>
        <w:tc>
          <w:tcPr>
            <w:tcW w:type="dxa" w:w="3360"/>
            <w:shd w:fill="4338C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Impact / Target KPI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Referral Loop Program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Provide existing interns with ₹500 referral bonus or learning credits for every peer enrolled.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30% increase in word-of-mouth acquisition.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Campus Ambassador Chapter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Appoint 200+ student leaders across top tech universities to host campus hackathons.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5,000+ new organic leads monthly.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SEO Content Engine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Publish long-tail keyword guides ('How to get HR internship', 'AI project portfolio guide').</w:t>
            </w:r>
          </w:p>
        </w:tc>
        <w:tc>
          <w:tcPr>
            <w:tcW w:type="dxa" w:w="3360"/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100,000+ monthly organic blog visits.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Performance Marketing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Targeted Meta &amp; LinkedIn ads focusing on outcome-oriented messaging and alumni proof.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Arial" w:hAnsi="Arial"/>
                <w:color w:val="1E293B"/>
                <w:sz w:val="17"/>
              </w:rPr>
              <w:t>Maintain Cost Per Lead (CPL) under ₹120.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