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Arial" w:hAnsi="Arial"/>
          <w:b/>
          <w:color w:val="4338CA"/>
          <w:sz w:val="36"/>
        </w:rPr>
        <w:t>TASK 3: CONSUMER BEHAVIOR ANALYSIS</w:t>
      </w:r>
    </w:p>
    <w:p>
      <w:pPr>
        <w:spacing w:after="280"/>
      </w:pPr>
      <w:r>
        <w:rPr>
          <w:rFonts w:ascii="Arial" w:hAnsi="Arial"/>
          <w:b/>
          <w:color w:val="0D9488"/>
          <w:sz w:val="22"/>
        </w:rPr>
        <w:t>Horizon TechX — Learner Behavioral Insights, Personas &amp; Decision Patterns</w:t>
      </w:r>
    </w:p>
    <w:p>
      <w:pPr>
        <w:spacing w:before="240" w:after="80"/>
      </w:pPr>
      <w:r>
        <w:rPr>
          <w:rFonts w:ascii="Arial" w:hAnsi="Arial"/>
          <w:b/>
          <w:color w:val="4338CA"/>
          <w:sz w:val="26"/>
        </w:rPr>
        <w:t>1. Executive Summary &amp; Research Methodology</w:t>
      </w:r>
    </w:p>
    <w:p>
      <w:pPr>
        <w:spacing w:after="80" w:line="276" w:lineRule="auto"/>
      </w:pPr>
      <w:r>
        <w:rPr>
          <w:rFonts w:ascii="Arial" w:hAnsi="Arial"/>
          <w:color w:val="1E293B"/>
          <w:sz w:val="19"/>
        </w:rPr>
        <w:t>Understanding learner decision triggers, channel preferences, and evaluation criteria is paramount for scaling Horizon TechX's growth. A comprehensive empirical study was conducted analyzing 500+ survey respondents and 35 qualitative depth interviews with computer science, data science, and business management students across Tier 1, Tier 2, and Tier 3 Indian university hubs.</w:t>
      </w:r>
    </w:p>
    <w:p>
      <w:pPr>
        <w:spacing w:before="240" w:after="80"/>
      </w:pPr>
      <w:r>
        <w:rPr>
          <w:rFonts w:ascii="Arial" w:hAnsi="Arial"/>
          <w:b/>
          <w:color w:val="4338CA"/>
          <w:sz w:val="26"/>
        </w:rPr>
        <w:t>2. Target Customer Personas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4338CA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Persona Profile</w:t>
            </w:r>
          </w:p>
        </w:tc>
        <w:tc>
          <w:tcPr>
            <w:tcW w:type="dxa" w:w="3360"/>
            <w:shd w:fill="4338CA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Primary Motivations &amp; Needs</w:t>
            </w:r>
          </w:p>
        </w:tc>
        <w:tc>
          <w:tcPr>
            <w:tcW w:type="dxa" w:w="3360"/>
            <w:shd w:fill="4338CA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Key Decision Drivers &amp; Objections</w:t>
            </w:r>
          </w:p>
        </w:tc>
      </w:tr>
      <w:tr>
        <w:tc>
          <w:tcPr>
            <w:tcW w:type="dxa" w:w="3360"/>
            <w:shd w:fill="F8FAFC"/>
          </w:tcPr>
          <w:p>
            <w:r>
              <w:rPr>
                <w:rFonts w:ascii="Arial" w:hAnsi="Arial"/>
                <w:color w:val="1E293B"/>
                <w:sz w:val="17"/>
              </w:rPr>
              <w:t>Persona A: Tech Undergrad ('Rohan', 21)</w:t>
            </w:r>
          </w:p>
        </w:tc>
        <w:tc>
          <w:tcPr>
            <w:tcW w:type="dxa" w:w="3360"/>
            <w:shd w:fill="F8FAFC"/>
          </w:tcPr>
          <w:p>
            <w:r>
              <w:rPr>
                <w:rFonts w:ascii="Arial" w:hAnsi="Arial"/>
                <w:color w:val="1E293B"/>
                <w:sz w:val="17"/>
              </w:rPr>
              <w:t>Needs industry project experience to add to resume before campus placement drives.</w:t>
            </w:r>
          </w:p>
        </w:tc>
        <w:tc>
          <w:tcPr>
            <w:tcW w:type="dxa" w:w="3360"/>
            <w:shd w:fill="F8FAFC"/>
          </w:tcPr>
          <w:p>
            <w:r>
              <w:rPr>
                <w:rFonts w:ascii="Arial" w:hAnsi="Arial"/>
                <w:color w:val="1E293B"/>
                <w:sz w:val="17"/>
              </w:rPr>
              <w:t>Driver: Placement proof &amp; verified digital certificate. Objection: Fear of generic courses.</w:t>
            </w:r>
          </w:p>
        </w:tc>
      </w:tr>
      <w:tr>
        <w:tc>
          <w:tcPr>
            <w:tcW w:type="dxa" w:w="3360"/>
            <w:shd w:fill="FFFFFF"/>
          </w:tcPr>
          <w:p>
            <w:r>
              <w:rPr>
                <w:rFonts w:ascii="Arial" w:hAnsi="Arial"/>
                <w:color w:val="1E293B"/>
                <w:sz w:val="17"/>
              </w:rPr>
              <w:t>Persona B: Career Switcher ('Ananya', 26)</w:t>
            </w:r>
          </w:p>
        </w:tc>
        <w:tc>
          <w:tcPr>
            <w:tcW w:type="dxa" w:w="3360"/>
            <w:shd w:fill="FFFFFF"/>
          </w:tcPr>
          <w:p>
            <w:r>
              <w:rPr>
                <w:rFonts w:ascii="Arial" w:hAnsi="Arial"/>
                <w:color w:val="1E293B"/>
                <w:sz w:val="17"/>
              </w:rPr>
              <w:t>Wants to transition into HR Analytics or Data Analytics. Needs structured mentorship.</w:t>
            </w:r>
          </w:p>
        </w:tc>
        <w:tc>
          <w:tcPr>
            <w:tcW w:type="dxa" w:w="3360"/>
            <w:shd w:fill="FFFFFF"/>
          </w:tcPr>
          <w:p>
            <w:r>
              <w:rPr>
                <w:rFonts w:ascii="Arial" w:hAnsi="Arial"/>
                <w:color w:val="1E293B"/>
                <w:sz w:val="17"/>
              </w:rPr>
              <w:t>Driver: Flexible weekend timeline &amp; LOR support. Objection: Lack of prior coding background.</w:t>
            </w:r>
          </w:p>
        </w:tc>
      </w:tr>
      <w:tr>
        <w:tc>
          <w:tcPr>
            <w:tcW w:type="dxa" w:w="3360"/>
            <w:shd w:fill="F8FAFC"/>
          </w:tcPr>
          <w:p>
            <w:r>
              <w:rPr>
                <w:rFonts w:ascii="Arial" w:hAnsi="Arial"/>
                <w:color w:val="1E293B"/>
                <w:sz w:val="17"/>
              </w:rPr>
              <w:t>Persona C: Early Professional ('Vikram', 24)</w:t>
            </w:r>
          </w:p>
        </w:tc>
        <w:tc>
          <w:tcPr>
            <w:tcW w:type="dxa" w:w="3360"/>
            <w:shd w:fill="F8FAFC"/>
          </w:tcPr>
          <w:p>
            <w:r>
              <w:rPr>
                <w:rFonts w:ascii="Arial" w:hAnsi="Arial"/>
                <w:color w:val="1E293B"/>
                <w:sz w:val="17"/>
              </w:rPr>
              <w:t>Seeking fast-track upskilling in GenAI tools and modern startup HR policies.</w:t>
            </w:r>
          </w:p>
        </w:tc>
        <w:tc>
          <w:tcPr>
            <w:tcW w:type="dxa" w:w="3360"/>
            <w:shd w:fill="F8FAFC"/>
          </w:tcPr>
          <w:p>
            <w:r>
              <w:rPr>
                <w:rFonts w:ascii="Arial" w:hAnsi="Arial"/>
                <w:color w:val="1E293B"/>
                <w:sz w:val="17"/>
              </w:rPr>
              <w:t>Driver: High ROI, practical tools, LinkedIn badging. Objection: Time constraints with work.</w:t>
            </w:r>
          </w:p>
        </w:tc>
      </w:tr>
    </w:tbl>
    <w:p>
      <w:pPr>
        <w:spacing w:before="240" w:after="80"/>
      </w:pPr>
      <w:r>
        <w:rPr>
          <w:rFonts w:ascii="Arial" w:hAnsi="Arial"/>
          <w:b/>
          <w:color w:val="4338CA"/>
          <w:sz w:val="26"/>
        </w:rPr>
        <w:t>3. Consumer Decision Journey Analysis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4338CA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Journey Stage</w:t>
            </w:r>
          </w:p>
        </w:tc>
        <w:tc>
          <w:tcPr>
            <w:tcW w:type="dxa" w:w="3360"/>
            <w:shd w:fill="4338CA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Customer Touchpoint &amp; Behavior</w:t>
            </w:r>
          </w:p>
        </w:tc>
        <w:tc>
          <w:tcPr>
            <w:tcW w:type="dxa" w:w="3360"/>
            <w:shd w:fill="4338CA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Key Trigger / Content Strategy</w:t>
            </w:r>
          </w:p>
        </w:tc>
      </w:tr>
      <w:tr>
        <w:tc>
          <w:tcPr>
            <w:tcW w:type="dxa" w:w="3360"/>
            <w:shd w:fill="F8FAFC"/>
          </w:tcPr>
          <w:p>
            <w:r>
              <w:rPr>
                <w:rFonts w:ascii="Arial" w:hAnsi="Arial"/>
                <w:color w:val="1E293B"/>
                <w:sz w:val="17"/>
              </w:rPr>
              <w:t>1. Awareness Stage</w:t>
            </w:r>
          </w:p>
        </w:tc>
        <w:tc>
          <w:tcPr>
            <w:tcW w:type="dxa" w:w="3360"/>
            <w:shd w:fill="F8FAFC"/>
          </w:tcPr>
          <w:p>
            <w:r>
              <w:rPr>
                <w:rFonts w:ascii="Arial" w:hAnsi="Arial"/>
                <w:color w:val="1E293B"/>
                <w:sz w:val="17"/>
              </w:rPr>
              <w:t>Discovers Horizon TechX via LinkedIn posts, Instagram Reels, campus WhatsApp groups.</w:t>
            </w:r>
          </w:p>
        </w:tc>
        <w:tc>
          <w:tcPr>
            <w:tcW w:type="dxa" w:w="3360"/>
            <w:shd w:fill="F8FAFC"/>
          </w:tcPr>
          <w:p>
            <w:r>
              <w:rPr>
                <w:rFonts w:ascii="Arial" w:hAnsi="Arial"/>
                <w:color w:val="1E293B"/>
                <w:sz w:val="17"/>
              </w:rPr>
              <w:t>Short viral reels on 'How to build a HR dashboard'.</w:t>
            </w:r>
          </w:p>
        </w:tc>
      </w:tr>
      <w:tr>
        <w:tc>
          <w:tcPr>
            <w:tcW w:type="dxa" w:w="3360"/>
            <w:shd w:fill="FFFFFF"/>
          </w:tcPr>
          <w:p>
            <w:r>
              <w:rPr>
                <w:rFonts w:ascii="Arial" w:hAnsi="Arial"/>
                <w:color w:val="1E293B"/>
                <w:sz w:val="17"/>
              </w:rPr>
              <w:t>2. Consideration Stage</w:t>
            </w:r>
          </w:p>
        </w:tc>
        <w:tc>
          <w:tcPr>
            <w:tcW w:type="dxa" w:w="3360"/>
            <w:shd w:fill="FFFFFF"/>
          </w:tcPr>
          <w:p>
            <w:r>
              <w:rPr>
                <w:rFonts w:ascii="Arial" w:hAnsi="Arial"/>
                <w:color w:val="1E293B"/>
                <w:sz w:val="17"/>
              </w:rPr>
              <w:t>Visits website, inspects curriculum tasks, reviews alumni placement proof on LinkedIn.</w:t>
            </w:r>
          </w:p>
        </w:tc>
        <w:tc>
          <w:tcPr>
            <w:tcW w:type="dxa" w:w="3360"/>
            <w:shd w:fill="FFFFFF"/>
          </w:tcPr>
          <w:p>
            <w:r>
              <w:rPr>
                <w:rFonts w:ascii="Arial" w:hAnsi="Arial"/>
                <w:color w:val="1E293B"/>
                <w:sz w:val="17"/>
              </w:rPr>
              <w:t>Social proof, verified certificate previews, syllabus PDFs.</w:t>
            </w:r>
          </w:p>
        </w:tc>
      </w:tr>
      <w:tr>
        <w:tc>
          <w:tcPr>
            <w:tcW w:type="dxa" w:w="3360"/>
            <w:shd w:fill="F8FAFC"/>
          </w:tcPr>
          <w:p>
            <w:r>
              <w:rPr>
                <w:rFonts w:ascii="Arial" w:hAnsi="Arial"/>
                <w:color w:val="1E293B"/>
                <w:sz w:val="17"/>
              </w:rPr>
              <w:t>3. Decision Stage</w:t>
            </w:r>
          </w:p>
        </w:tc>
        <w:tc>
          <w:tcPr>
            <w:tcW w:type="dxa" w:w="3360"/>
            <w:shd w:fill="F8FAFC"/>
          </w:tcPr>
          <w:p>
            <w:r>
              <w:rPr>
                <w:rFonts w:ascii="Arial" w:hAnsi="Arial"/>
                <w:color w:val="1E293B"/>
                <w:sz w:val="17"/>
              </w:rPr>
              <w:t>Evaluates program cost vs career outcome. Submits application.</w:t>
            </w:r>
          </w:p>
        </w:tc>
        <w:tc>
          <w:tcPr>
            <w:tcW w:type="dxa" w:w="3360"/>
            <w:shd w:fill="F8FAFC"/>
          </w:tcPr>
          <w:p>
            <w:r>
              <w:rPr>
                <w:rFonts w:ascii="Arial" w:hAnsi="Arial"/>
                <w:color w:val="1E293B"/>
                <w:sz w:val="17"/>
              </w:rPr>
              <w:t>Limited-time cohort discount, QR-verification guarantee.</w:t>
            </w:r>
          </w:p>
        </w:tc>
      </w:tr>
      <w:tr>
        <w:tc>
          <w:tcPr>
            <w:tcW w:type="dxa" w:w="3360"/>
            <w:shd w:fill="FFFFFF"/>
          </w:tcPr>
          <w:p>
            <w:r>
              <w:rPr>
                <w:rFonts w:ascii="Arial" w:hAnsi="Arial"/>
                <w:color w:val="1E293B"/>
                <w:sz w:val="17"/>
              </w:rPr>
              <w:t>4. Retention &amp; Referral</w:t>
            </w:r>
          </w:p>
        </w:tc>
        <w:tc>
          <w:tcPr>
            <w:tcW w:type="dxa" w:w="3360"/>
            <w:shd w:fill="FFFFFF"/>
          </w:tcPr>
          <w:p>
            <w:r>
              <w:rPr>
                <w:rFonts w:ascii="Arial" w:hAnsi="Arial"/>
                <w:color w:val="1E293B"/>
                <w:sz w:val="17"/>
              </w:rPr>
              <w:t>Completes 2-4 tasks, receives certificate &amp; LOR, posts update on LinkedIn.</w:t>
            </w:r>
          </w:p>
        </w:tc>
        <w:tc>
          <w:tcPr>
            <w:tcW w:type="dxa" w:w="3360"/>
            <w:shd w:fill="FFFFFF"/>
          </w:tcPr>
          <w:p>
            <w:r>
              <w:rPr>
                <w:rFonts w:ascii="Arial" w:hAnsi="Arial"/>
                <w:color w:val="1E293B"/>
                <w:sz w:val="17"/>
              </w:rPr>
              <w:t>LinkedIn post templates, 1-click badge sharing.</w:t>
            </w:r>
          </w:p>
        </w:tc>
      </w:tr>
    </w:tbl>
    <w:p>
      <w:pPr>
        <w:spacing w:before="240" w:after="80"/>
      </w:pPr>
      <w:r>
        <w:rPr>
          <w:rFonts w:ascii="Arial" w:hAnsi="Arial"/>
          <w:b/>
          <w:color w:val="4338CA"/>
          <w:sz w:val="26"/>
        </w:rPr>
        <w:t>4. Key Behavioral Metrics &amp; Decision Priorities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1E293B"/>
          <w:sz w:val="19"/>
        </w:rPr>
        <w:t>Primary Selection Criteria:</w:t>
      </w:r>
      <w:r>
        <w:rPr>
          <w:rFonts w:ascii="Arial" w:hAnsi="Arial"/>
          <w:color w:val="1E293B"/>
          <w:sz w:val="19"/>
        </w:rPr>
        <w:t xml:space="preserve"> 68% of respondents rated 'Real Project Deliverables &amp; Portfolio Proof' as their #1 evaluation criteria.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1E293B"/>
          <w:sz w:val="19"/>
        </w:rPr>
        <w:t>Preferred Learning Format:</w:t>
      </w:r>
      <w:r>
        <w:rPr>
          <w:rFonts w:ascii="Arial" w:hAnsi="Arial"/>
          <w:color w:val="1E293B"/>
          <w:sz w:val="19"/>
        </w:rPr>
        <w:t xml:space="preserve"> 74% prefer self-paced project execution with asynchronous mentor feedback over mandatory live lectures.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1E293B"/>
          <w:sz w:val="19"/>
        </w:rPr>
        <w:t>Social Proof Sensitivity:</w:t>
      </w:r>
      <w:r>
        <w:rPr>
          <w:rFonts w:ascii="Arial" w:hAnsi="Arial"/>
          <w:color w:val="1E293B"/>
          <w:sz w:val="19"/>
        </w:rPr>
        <w:t xml:space="preserve"> 82% check LinkedIn alumni profiles and tagged @HorizonTechX posts before making an enrollment decision.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1E293B"/>
          <w:sz w:val="19"/>
        </w:rPr>
        <w:t>Device Preference:</w:t>
      </w:r>
      <w:r>
        <w:rPr>
          <w:rFonts w:ascii="Arial" w:hAnsi="Arial"/>
          <w:color w:val="1E293B"/>
          <w:sz w:val="19"/>
        </w:rPr>
        <w:t xml:space="preserve"> 62% research programs on mobile (Instagram/LinkedIn), but 91% complete assignments on desktop laptops.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