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338CA"/>
          <w:sz w:val="36"/>
        </w:rPr>
        <w:t>TASK 4: BUSINESS GROWTH CAMPAIGN PLAN</w:t>
      </w:r>
    </w:p>
    <w:p>
      <w:pPr>
        <w:spacing w:after="280"/>
      </w:pPr>
      <w:r>
        <w:rPr>
          <w:rFonts w:ascii="Arial" w:hAnsi="Arial"/>
          <w:b/>
          <w:color w:val="0D9488"/>
          <w:sz w:val="22"/>
        </w:rPr>
        <w:t>Horizon TechX — 90-Day 'TechX Accelerate 2026' Growth Campaign Strategy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1. Campaign Overview &amp; Core Objectives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To rapidly expand market presence, drive user acquisition, and establish Horizon TechX as the #1 practical project internship platform in India and Southeast Asia, we present the 90-Day 'TechX Accelerate 2026' Growth Campaign. The campaign operates across top-of-funnel brand awareness, middle-of-funnel lead nurturing, and bottom-of-funnel enrollment conversion.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Campaign Objective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Benchmark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Measurement Metric / KPI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1. Brand Awareness &amp; Impressions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2.5 Million Total Impressions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Ad Impressions, Video Views (&gt;75%), Social Reach.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2. Lead Generation (Signups)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15,000 Verified Leads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Form submissions, eBook downloads, Webinar RSVPs.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3. Paid Cohort Conversions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2,200 Program Enrollees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Paid enrollments, Conversion Rate (&gt;14.6%).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4. Customer Acquisition Cost (CAC)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&lt; ₹115 per acquisition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Blended CAC across Paid + Organic channels.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5. Return on Ad Spend (ROAS)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3.8x Projected ROAS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Total Revenue generated / Total Marketing Spend.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2. Audience Targeting &amp; Channel Execution Strategy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Audience Segment A (Tech Undergrads):</w:t>
      </w:r>
      <w:r>
        <w:rPr>
          <w:rFonts w:ascii="Arial" w:hAnsi="Arial"/>
          <w:color w:val="1E293B"/>
          <w:sz w:val="19"/>
        </w:rPr>
        <w:t xml:space="preserve"> Ages 18-23, interest in Python, AI, React, Data Science, internship opportunities. Channel: Instagram Ads &amp; Campus WhatsApp Groups.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Audience Segment B (HR Aspirants):</w:t>
      </w:r>
      <w:r>
        <w:rPr>
          <w:rFonts w:ascii="Arial" w:hAnsi="Arial"/>
          <w:color w:val="1E293B"/>
          <w:sz w:val="19"/>
        </w:rPr>
        <w:t xml:space="preserve"> Ages 20-25, interest in HR Management, POSH compliance, People Analytics, MBA. Channel: LinkedIn Ads &amp; Search.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Audience Segment C (Early Career Pros):</w:t>
      </w:r>
      <w:r>
        <w:rPr>
          <w:rFonts w:ascii="Arial" w:hAnsi="Arial"/>
          <w:color w:val="1E293B"/>
          <w:sz w:val="19"/>
        </w:rPr>
        <w:t xml:space="preserve"> Ages 22-28, seeking career pivots into AI or Data Analytics. Channel: Google Search Ads &amp; YouTube Tutorials.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3. Campaign Budget Allocation (Total: ₹2,50,000)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Marketing Channel / Expense</w:t>
            </w:r>
          </w:p>
        </w:tc>
        <w:tc>
          <w:tcPr>
            <w:tcW w:type="dxa" w:w="252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Budget (INR)</w:t>
            </w:r>
          </w:p>
        </w:tc>
        <w:tc>
          <w:tcPr>
            <w:tcW w:type="dxa" w:w="252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Share (%)</w:t>
            </w:r>
          </w:p>
        </w:tc>
        <w:tc>
          <w:tcPr>
            <w:tcW w:type="dxa" w:w="252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Deliverables &amp; Outcomes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Meta Paid Ads (Instagram/Facebook)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₹1,00,000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40%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1.2M Impressions, 8,000 Leads (CPL ~₹12.50).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LinkedIn Performance Ads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₹65,000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26%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300k B2B/HR Impressions, 2,500 High-Intent Leads.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Google Search (PPC)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₹40,000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16%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High-intent searches ('best HR internship online').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Campus Webinars &amp; Influencers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₹30,000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12%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10 Creator videos &amp; 5 university masterclasses.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Creative Production &amp; Software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₹15,000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6%</w:t>
            </w:r>
          </w:p>
        </w:tc>
        <w:tc>
          <w:tcPr>
            <w:tcW w:type="dxa" w:w="252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Ad design templates, video editing, tracking tools.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4. 90-Day Phased Execution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Phase &amp; Timeline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Core Execution Activities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Milestone Output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Phase 1: Days 1–15 (Setup)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Finalize landing pages, install pixel tracking, launch A/B tests for 10 ad creatives.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Identify top 3 winning ad creatives.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Phase 2: Days 16–60 (Scale)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Scale winning ad sets, host weekly live masterclasses, activate campus ambassador drives.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Achieve 10,000 total signups.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Phase 3: Days 61–90 (Retargeting)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Deploy dynamic retargeting ads to un-enrolled leads, send urgency emails for cohort deadline.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Hit 2,200 paid conversions (3.8x ROAS).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