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7324D"/>
          <w:sz w:val="44"/>
          <w:szCs w:val="44"/>
        </w:rPr>
        <w:t xml:space="preserve">RAG Retrieval and Reranking Evaluation</w:t>
      </w:r>
    </w:p>
    <w:p>
      <w:pPr>
        <w:spacing w:after="120" w:line="276"/>
      </w:pPr>
      <w:r>
        <w:rPr>
          <w:rFonts w:ascii="Aptos" w:cs="Aptos" w:eastAsia="Aptos" w:hAnsi="Aptos"/>
          <w:b/>
          <w:bCs/>
          <w:color w:val="087E8B"/>
          <w:sz w:val="23"/>
          <w:szCs w:val="23"/>
        </w:rPr>
        <w:t xml:space="preserve">NIST SP 800-63A-4  |  Rank shifts, latency, and scaling analysis</w:t>
      </w:r>
    </w:p>
    <w:p>
      <w:pPr>
        <w:spacing w:after="120" w:line="276"/>
      </w:pPr>
      <w:r>
        <w:rPr>
          <w:rFonts w:ascii="Aptos" w:cs="Aptos" w:eastAsia="Aptos" w:hAnsi="Aptos"/>
          <w:color w:val="26313D"/>
          <w:sz w:val="21"/>
          <w:szCs w:val="21"/>
        </w:rPr>
        <w:t xml:space="preserve">A bi-encoder quickly retrieves ten candidate passages and a cross-encoder reranks them. Across four document-specific test queries, the cross-encoder changed the ordering of the candidate pool but did not rescue any answer-bearing chunk from outside the top 3. It improved one case (rank 3 to 1), slightly demoted another (rank 1 to 2), and added roughly 466 ms of median latency per query on CPU.</w:t>
      </w:r>
    </w:p>
    <w:p>
      <w:pPr>
        <w:pStyle w:val="Heading1"/>
        <w:pBdr>
          <w:bottom w:val="single" w:color="087E8B" w:sz="6" w:space="2"/>
        </w:pBdr>
        <w:spacing w:after="120" w:before="280"/>
      </w:pPr>
      <w:r>
        <w:rPr>
          <w:rFonts w:ascii="Aptos" w:cs="Aptos" w:eastAsia="Aptos" w:hAnsi="Aptos"/>
          <w:b/>
          <w:bCs/>
          <w:color w:val="17324D"/>
          <w:sz w:val="30"/>
          <w:szCs w:val="30"/>
        </w:rPr>
        <w:t xml:space="preserve">Experiment environment</w:t>
      </w:r>
    </w:p>
    <w:p>
      <w:pPr>
        <w:spacing w:after="120" w:line="276"/>
      </w:pPr>
      <w:r>
        <w:rPr>
          <w:rFonts w:ascii="Aptos" w:cs="Aptos" w:eastAsia="Aptos" w:hAnsi="Aptos"/>
          <w:b/>
          <w:bCs/>
          <w:color w:val="17324D"/>
          <w:sz w:val="21"/>
          <w:szCs w:val="21"/>
        </w:rPr>
        <w:t xml:space="preserve">Document: </w:t>
      </w:r>
      <w:r>
        <w:rPr>
          <w:rFonts w:ascii="Aptos" w:cs="Aptos" w:eastAsia="Aptos" w:hAnsi="Aptos"/>
          <w:color w:val="26313D"/>
          <w:sz w:val="21"/>
          <w:szCs w:val="21"/>
        </w:rPr>
        <w:t xml:space="preserve">NIST SP 800-63A-4, Digital Identity Guidelines: Identity Proofing and Enrollment (July 2025); 114 pages.</w:t>
      </w:r>
    </w:p>
    <w:p>
      <w:pPr>
        <w:spacing w:after="120" w:line="276"/>
      </w:pPr>
      <w:r>
        <w:rPr>
          <w:rFonts w:ascii="Aptos" w:cs="Aptos" w:eastAsia="Aptos" w:hAnsi="Aptos"/>
          <w:b/>
          <w:bCs/>
          <w:color w:val="17324D"/>
          <w:sz w:val="21"/>
          <w:szCs w:val="21"/>
        </w:rPr>
        <w:t xml:space="preserve">Corpus: </w:t>
      </w:r>
      <w:r>
        <w:rPr>
          <w:rFonts w:ascii="Aptos" w:cs="Aptos" w:eastAsia="Aptos" w:hAnsi="Aptos"/>
          <w:color w:val="26313D"/>
          <w:sz w:val="21"/>
          <w:szCs w:val="21"/>
        </w:rPr>
        <w:t xml:space="preserve">317 chunks built from whole sentences (target 160 words, 2-sentence overlap, page numbers tracked); median 166 words per chunk (min 18, max 335).</w:t>
      </w:r>
    </w:p>
    <w:p>
      <w:pPr>
        <w:spacing w:after="120" w:line="276"/>
      </w:pPr>
      <w:r>
        <w:rPr>
          <w:rFonts w:ascii="Aptos" w:cs="Aptos" w:eastAsia="Aptos" w:hAnsi="Aptos"/>
          <w:b/>
          <w:bCs/>
          <w:color w:val="17324D"/>
          <w:sz w:val="21"/>
          <w:szCs w:val="21"/>
        </w:rPr>
        <w:t xml:space="preserve">Retrieval models: </w:t>
      </w:r>
      <w:r>
        <w:rPr>
          <w:rFonts w:ascii="Aptos" w:cs="Aptos" w:eastAsia="Aptos" w:hAnsi="Aptos"/>
          <w:color w:val="26313D"/>
          <w:sz w:val="21"/>
          <w:szCs w:val="21"/>
        </w:rPr>
        <w:t xml:space="preserve">BAAI/bge-small-en-v1.5 bi-encoder (384-dimensional embeddings, with the bge query prefix); cross-encoder/ms-marco-MiniLM-L-6-v2 cross-encoder.</w:t>
      </w:r>
    </w:p>
    <w:p>
      <w:pPr>
        <w:spacing w:after="120" w:line="276"/>
      </w:pPr>
      <w:r>
        <w:rPr>
          <w:rFonts w:ascii="Aptos" w:cs="Aptos" w:eastAsia="Aptos" w:hAnsi="Aptos"/>
          <w:b/>
          <w:bCs/>
          <w:color w:val="17324D"/>
          <w:sz w:val="21"/>
          <w:szCs w:val="21"/>
        </w:rPr>
        <w:t xml:space="preserve">Pipelines: </w:t>
      </w:r>
      <w:r>
        <w:rPr>
          <w:rFonts w:ascii="Aptos" w:cs="Aptos" w:eastAsia="Aptos" w:hAnsi="Aptos"/>
          <w:color w:val="26313D"/>
          <w:sz w:val="21"/>
          <w:szCs w:val="21"/>
        </w:rPr>
        <w:t xml:space="preserve">Baseline = dense Top 10, with the Top 3 sent to the LLM. Advanced = the same Top 10 reranked by the cross-encoder, with the reranked Top 3 sent to the LLM.</w:t>
      </w:r>
    </w:p>
    <w:p>
      <w:pPr>
        <w:spacing w:after="120" w:line="276"/>
      </w:pPr>
      <w:r>
        <w:rPr>
          <w:rFonts w:ascii="Aptos" w:cs="Aptos" w:eastAsia="Aptos" w:hAnsi="Aptos"/>
          <w:b/>
          <w:bCs/>
          <w:color w:val="17324D"/>
          <w:sz w:val="21"/>
          <w:szCs w:val="21"/>
        </w:rPr>
        <w:t xml:space="preserve">Generator: </w:t>
      </w:r>
      <w:r>
        <w:rPr>
          <w:rFonts w:ascii="Aptos" w:cs="Aptos" w:eastAsia="Aptos" w:hAnsi="Aptos"/>
          <w:color w:val="26313D"/>
          <w:sz w:val="21"/>
          <w:szCs w:val="21"/>
        </w:rPr>
        <w:t xml:space="preserve">Configured for Gemini (gemini-2.0-flash) with a shared prompt for both pipelines. No answers were generated in this run (see Section 2).</w:t>
      </w:r>
    </w:p>
    <w:p>
      <w:pPr>
        <w:spacing w:after="120" w:line="276"/>
      </w:pPr>
      <w:r>
        <w:rPr>
          <w:rFonts w:ascii="Aptos" w:cs="Aptos" w:eastAsia="Aptos" w:hAnsi="Aptos"/>
          <w:b/>
          <w:bCs/>
          <w:color w:val="17324D"/>
          <w:sz w:val="21"/>
          <w:szCs w:val="21"/>
        </w:rPr>
        <w:t xml:space="preserve">Hardware and indexing: </w:t>
      </w:r>
      <w:r>
        <w:rPr>
          <w:rFonts w:ascii="Aptos" w:cs="Aptos" w:eastAsia="Aptos" w:hAnsi="Aptos"/>
          <w:color w:val="26313D"/>
          <w:sz w:val="21"/>
          <w:szCs w:val="21"/>
        </w:rPr>
        <w:t xml:space="preserve">CPU only (Kaggle); the corpus was embedded once in 33.1 s.</w:t>
      </w:r>
    </w:p>
    <w:p>
      <w:pPr>
        <w:spacing w:after="120" w:line="276"/>
      </w:pPr>
      <w:r>
        <w:rPr>
          <w:rFonts w:ascii="Aptos" w:cs="Aptos" w:eastAsia="Aptos" w:hAnsi="Aptos"/>
          <w:b/>
          <w:bCs/>
          <w:color w:val="17324D"/>
          <w:sz w:val="21"/>
          <w:szCs w:val="21"/>
        </w:rPr>
        <w:t xml:space="preserve">Source: </w:t>
      </w:r>
      <w:r>
        <w:rPr>
          <w:rFonts w:ascii="Aptos" w:cs="Aptos" w:eastAsia="Aptos" w:hAnsi="Aptos"/>
          <w:color w:val="26313D"/>
          <w:sz w:val="21"/>
          <w:szCs w:val="21"/>
        </w:rPr>
        <w:t xml:space="preserve">NIST SP 800-63A-4, https://doi.org/10.6028/NIST.SP.800-63A-4</w:t>
      </w:r>
    </w:p>
    <w:p>
      <w:pPr>
        <w:spacing w:after="120" w:line="276"/>
      </w:pPr>
      <w:r>
        <w:rPr>
          <w:rFonts w:ascii="Aptos" w:cs="Aptos" w:eastAsia="Aptos" w:hAnsi="Aptos"/>
          <w:b/>
          <w:bCs/>
          <w:color w:val="17324D"/>
          <w:sz w:val="21"/>
          <w:szCs w:val="21"/>
        </w:rPr>
        <w:t xml:space="preserve">Notebook:</w:t>
      </w:r>
      <w:r>
        <w:rPr>
          <w:rFonts w:ascii="Aptos" w:cs="Aptos" w:eastAsia="Aptos" w:hAnsi="Aptos"/>
          <w:color w:val="26313D"/>
          <w:sz w:val="21"/>
          <w:szCs w:val="21"/>
        </w:rPr>
        <w:t xml:space="preserve"> </w:t>
      </w:r>
      <w:hyperlink w:history="1" r:id="rId12wmvdoujzufrr2dtrpad">
        <w:r>
          <w:rPr>
            <w:rFonts w:ascii="Aptos" w:cs="Aptos" w:eastAsia="Aptos" w:hAnsi="Aptos"/>
            <w:color w:val="087E8B"/>
            <w:sz w:val="21"/>
            <w:szCs w:val="21"/>
            <w:u w:val="single"/>
          </w:rPr>
          <w:t xml:space="preserve">Open the project on GitHub (RAG-assignment branch)</w:t>
        </w:r>
      </w:hyperlink>
      <w:r>
        <w:rPr>
          <w:rFonts w:ascii="Aptos" w:cs="Aptos" w:eastAsia="Aptos" w:hAnsi="Aptos"/>
          <w:color w:val="26313D"/>
          <w:sz w:val="18"/>
          <w:szCs w:val="18"/>
        </w:rPr>
        <w:t xml:space="preserve">  |  https://github.com/CL3-410/individual-project-Rakesh-C1701/tree/RAG-assignment</w:t>
      </w:r>
    </w:p>
    <w:p>
      <w:pPr>
        <w:pStyle w:val="Heading1"/>
        <w:pBdr>
          <w:bottom w:val="single" w:color="087E8B" w:sz="6" w:space="2"/>
        </w:pBdr>
        <w:spacing w:after="120" w:before="280"/>
      </w:pPr>
      <w:r>
        <w:rPr>
          <w:rFonts w:ascii="Aptos" w:cs="Aptos" w:eastAsia="Aptos" w:hAnsi="Aptos"/>
          <w:b/>
          <w:bCs/>
          <w:color w:val="17324D"/>
          <w:sz w:val="30"/>
          <w:szCs w:val="30"/>
        </w:rPr>
        <w:t xml:space="preserve">1. Architecture comparison</w:t>
      </w:r>
    </w:p>
    <w:p>
      <w:pPr>
        <w:spacing w:after="120" w:line="276"/>
      </w:pPr>
      <w:r>
        <w:rPr>
          <w:rFonts w:ascii="Aptos" w:cs="Aptos" w:eastAsia="Aptos" w:hAnsi="Aptos"/>
          <w:b/>
          <w:bCs/>
          <w:color w:val="17324D"/>
          <w:sz w:val="21"/>
          <w:szCs w:val="21"/>
        </w:rPr>
        <w:t xml:space="preserve">Bi-Encoder. </w:t>
      </w:r>
      <w:r>
        <w:rPr>
          <w:rFonts w:ascii="Aptos" w:cs="Aptos" w:eastAsia="Aptos" w:hAnsi="Aptos"/>
          <w:color w:val="26313D"/>
          <w:sz w:val="21"/>
          <w:szCs w:val="21"/>
        </w:rPr>
        <w:t xml:space="preserve">The query and each passage are embedded independently. Passage vectors are computed once at indexing time and L2-normalised, so ranking all 317 chunks is a single matrix-vector dot product. It is fast, but each passage is compressed into one vector without seeing the query.</w:t>
      </w:r>
    </w:p>
    <w:p>
      <w:pPr>
        <w:spacing w:after="120" w:line="276"/>
      </w:pPr>
      <w:r>
        <w:rPr>
          <w:rFonts w:ascii="Aptos" w:cs="Aptos" w:eastAsia="Aptos" w:hAnsi="Aptos"/>
          <w:b/>
          <w:bCs/>
          <w:color w:val="17324D"/>
          <w:sz w:val="21"/>
          <w:szCs w:val="21"/>
        </w:rPr>
        <w:t xml:space="preserve">Cross-Encoder. </w:t>
      </w:r>
      <w:r>
        <w:rPr>
          <w:rFonts w:ascii="Aptos" w:cs="Aptos" w:eastAsia="Aptos" w:hAnsi="Aptos"/>
          <w:color w:val="26313D"/>
          <w:sz w:val="21"/>
          <w:szCs w:val="21"/>
        </w:rPr>
        <w:t xml:space="preserve">The query and a passage are fed through the model together, so self-attention can compare their tokens directly. This gives a more query-specific relevance score, but it cannot be precomputed and needs one inference per query-passage pair.</w:t>
      </w:r>
    </w:p>
    <w:p>
      <w:pPr>
        <w:pStyle w:val="Heading1"/>
        <w:pBdr>
          <w:bottom w:val="single" w:color="087E8B" w:sz="6" w:space="2"/>
        </w:pBdr>
        <w:spacing w:after="120" w:before="280"/>
      </w:pPr>
      <w:r>
        <w:rPr>
          <w:rFonts w:ascii="Aptos" w:cs="Aptos" w:eastAsia="Aptos" w:hAnsi="Aptos"/>
          <w:b/>
          <w:bCs/>
          <w:color w:val="17324D"/>
          <w:sz w:val="30"/>
          <w:szCs w:val="30"/>
        </w:rPr>
        <w:t xml:space="preserve">2. Rank-shift analysis</w:t>
      </w:r>
    </w:p>
    <w:p>
      <w:pPr>
        <w:spacing w:after="120" w:line="276"/>
      </w:pPr>
      <w:r>
        <w:rPr>
          <w:rFonts w:ascii="Aptos" w:cs="Aptos" w:eastAsia="Aptos" w:hAnsi="Aptos"/>
          <w:color w:val="26313D"/>
          <w:sz w:val="21"/>
          <w:szCs w:val="21"/>
        </w:rPr>
        <w:t xml:space="preserve">Each test defines regex patterns that must all appear in the true answer chunk, so the notebook can locate the gold chunk automatically and compare its rank under dense retrieval and after reranking the Top 10.</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400"/>
        <w:gridCol w:w="1500"/>
        <w:gridCol w:w="2994"/>
      </w:tblGrid>
      <w:tr>
        <w:trPr>
          <w:tblHeader/>
        </w:trPr>
        <w:tc>
          <w:tcPr>
            <w:tcW w:type="dxa" w:w="6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ID</w:t>
            </w:r>
          </w:p>
        </w:tc>
        <w:tc>
          <w:tcPr>
            <w:tcW w:type="dxa" w:w="35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Category and query</w:t>
            </w:r>
          </w:p>
        </w:tc>
        <w:tc>
          <w:tcPr>
            <w:tcW w:type="dxa" w:w="14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Gold chunk (page)</w:t>
            </w:r>
          </w:p>
        </w:tc>
        <w:tc>
          <w:tcPr>
            <w:tcW w:type="dxa" w:w="15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Dense → rerank</w:t>
            </w:r>
          </w:p>
        </w:tc>
        <w:tc>
          <w:tcPr>
            <w:tcW w:type="dxa" w:w="2994"/>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Verdict</w:t>
            </w:r>
          </w:p>
        </w:tc>
      </w:tr>
      <w:tr>
        <w:tc>
          <w:tcPr>
            <w:tcW w:type="dxa" w:w="6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T1</w:t>
            </w:r>
          </w:p>
        </w:tc>
        <w:tc>
          <w:tcPr>
            <w:tcW w:type="dxa" w:w="3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Definition / comparison</w:t>
            </w:r>
          </w:p>
          <w:p>
            <w:pPr>
              <w:spacing w:after="40"/>
            </w:pPr>
            <w:r>
              <w:rPr>
                <w:rFonts w:ascii="Aptos" w:cs="Aptos" w:eastAsia="Aptos" w:hAnsi="Aptos"/>
                <w:color w:val="26313D"/>
                <w:sz w:val="19"/>
                <w:szCs w:val="19"/>
              </w:rPr>
              <w:t xml:space="preserve">What additional requirements does IAL3 introduce compared with IAL2?</w:t>
            </w:r>
          </w:p>
        </w:tc>
        <w:tc>
          <w:tcPr>
            <w:tcW w:type="dxa" w:w="14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C42 (p. 14)</w:t>
            </w:r>
          </w:p>
        </w:tc>
        <w:tc>
          <w:tcPr>
            <w:tcW w:type="dxa" w:w="1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 → #2</w:t>
            </w:r>
          </w:p>
        </w:tc>
        <w:tc>
          <w:tcPr>
            <w:tcW w:type="dxa" w:w="299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Fine in both; gold stays in Top 3</w:t>
            </w:r>
          </w:p>
        </w:tc>
      </w:tr>
      <w:tr>
        <w:tc>
          <w:tcPr>
            <w:tcW w:type="dxa" w:w="6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T2</w:t>
            </w:r>
          </w:p>
        </w:tc>
        <w:tc>
          <w:tcPr>
            <w:tcW w:type="dxa" w:w="3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Evidence validation</w:t>
            </w:r>
          </w:p>
          <w:p>
            <w:pPr>
              <w:spacing w:after="40"/>
            </w:pPr>
            <w:r>
              <w:rPr>
                <w:rFonts w:ascii="Aptos" w:cs="Aptos" w:eastAsia="Aptos" w:hAnsi="Aptos"/>
                <w:color w:val="26313D"/>
                <w:sz w:val="19"/>
                <w:szCs w:val="19"/>
              </w:rPr>
              <w:t xml:space="preserve">What should evidence validation confirm about identity evidence?</w:t>
            </w:r>
          </w:p>
        </w:tc>
        <w:tc>
          <w:tcPr>
            <w:tcW w:type="dxa" w:w="14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Not found</w:t>
            </w:r>
          </w:p>
        </w:tc>
        <w:tc>
          <w:tcPr>
            <w:tcW w:type="dxa" w:w="1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w:t>
            </w:r>
          </w:p>
        </w:tc>
        <w:tc>
          <w:tcPr>
            <w:tcW w:type="dxa" w:w="299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Gold not located in top 10 (recall miss or regex matched nothing)</w:t>
            </w:r>
          </w:p>
        </w:tc>
      </w:tr>
      <w:tr>
        <w:tc>
          <w:tcPr>
            <w:tcW w:type="dxa" w:w="6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T3</w:t>
            </w:r>
          </w:p>
        </w:tc>
        <w:tc>
          <w:tcPr>
            <w:tcW w:type="dxa" w:w="3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Fraud management</w:t>
            </w:r>
          </w:p>
          <w:p>
            <w:pPr>
              <w:spacing w:after="40"/>
            </w:pPr>
            <w:r>
              <w:rPr>
                <w:rFonts w:ascii="Aptos" w:cs="Aptos" w:eastAsia="Aptos" w:hAnsi="Aptos"/>
                <w:color w:val="26313D"/>
                <w:sz w:val="19"/>
                <w:szCs w:val="19"/>
              </w:rPr>
              <w:t xml:space="preserve">What is the purpose of fraud mitigation in identity proofing?</w:t>
            </w:r>
          </w:p>
        </w:tc>
        <w:tc>
          <w:tcPr>
            <w:tcW w:type="dxa" w:w="14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C39 (p. 13)</w:t>
            </w:r>
          </w:p>
        </w:tc>
        <w:tc>
          <w:tcPr>
            <w:tcW w:type="dxa" w:w="1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 → #1</w:t>
            </w:r>
          </w:p>
        </w:tc>
        <w:tc>
          <w:tcPr>
            <w:tcW w:type="dxa" w:w="299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Fine in both</w:t>
            </w:r>
          </w:p>
        </w:tc>
      </w:tr>
      <w:tr>
        <w:tc>
          <w:tcPr>
            <w:tcW w:type="dxa" w:w="6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T4</w:t>
            </w:r>
          </w:p>
        </w:tc>
        <w:tc>
          <w:tcPr>
            <w:tcW w:type="dxa" w:w="3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Exception handling</w:t>
            </w:r>
          </w:p>
          <w:p>
            <w:pPr>
              <w:spacing w:after="40"/>
            </w:pPr>
            <w:r>
              <w:rPr>
                <w:rFonts w:ascii="Aptos" w:cs="Aptos" w:eastAsia="Aptos" w:hAnsi="Aptos"/>
                <w:color w:val="26313D"/>
                <w:sz w:val="19"/>
                <w:szCs w:val="19"/>
              </w:rPr>
              <w:t xml:space="preserve">What should CSPs provide for applicants who need exception handling?</w:t>
            </w:r>
          </w:p>
        </w:tc>
        <w:tc>
          <w:tcPr>
            <w:tcW w:type="dxa" w:w="14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C49 (p. 17)</w:t>
            </w:r>
          </w:p>
        </w:tc>
        <w:tc>
          <w:tcPr>
            <w:tcW w:type="dxa" w:w="1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#3 → #1</w:t>
            </w:r>
          </w:p>
        </w:tc>
        <w:tc>
          <w:tcPr>
            <w:tcW w:type="dxa" w:w="299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Fine in both; reranker improved the rank</w:t>
            </w:r>
          </w:p>
        </w:tc>
      </w:tr>
    </w:tbl>
    <w:p>
      <w:pPr>
        <w:spacing w:after="80"/>
      </w:pPr>
    </w:p>
    <w:p>
      <w:pPr>
        <w:pStyle w:val="Heading2"/>
        <w:spacing w:after="100" w:before="200"/>
      </w:pPr>
      <w:r>
        <w:rPr>
          <w:rFonts w:ascii="Aptos" w:cs="Aptos" w:eastAsia="Aptos" w:hAnsi="Aptos"/>
          <w:b/>
          <w:bCs/>
          <w:color w:val="087E8B"/>
          <w:sz w:val="25"/>
          <w:szCs w:val="25"/>
        </w:rPr>
        <w:t xml:space="preserve">What the rank shifts show</w:t>
      </w:r>
    </w:p>
    <w:p>
      <w:pPr>
        <w:pStyle w:val="ListParagraph"/>
        <w:numPr>
          <w:ilvl w:val="0"/>
          <w:numId w:val="2"/>
        </w:numPr>
        <w:spacing w:after="80" w:line="276"/>
      </w:pPr>
      <w:r>
        <w:rPr>
          <w:rFonts w:ascii="Aptos" w:cs="Aptos" w:eastAsia="Aptos" w:hAnsi="Aptos"/>
          <w:b/>
          <w:bCs/>
          <w:color w:val="17324D"/>
          <w:sz w:val="21"/>
          <w:szCs w:val="21"/>
        </w:rPr>
        <w:t xml:space="preserve">No rescues. </w:t>
      </w:r>
      <w:r>
        <w:rPr>
          <w:rFonts w:ascii="Aptos" w:cs="Aptos" w:eastAsia="Aptos" w:hAnsi="Aptos"/>
          <w:color w:val="26313D"/>
          <w:sz w:val="21"/>
          <w:szCs w:val="21"/>
        </w:rPr>
        <w:t xml:space="preserve">The notebook defines a rescue as a gold chunk at dense rank 4–10 that is promoted into the Top 3. None of the four queries met that condition, so the answer-generation step (set to run only on rescued queries) produced no Answer 1 / Answer 2 pairs. This report therefore makes no claim about answer quality.</w:t>
      </w:r>
    </w:p>
    <w:p>
      <w:pPr>
        <w:pStyle w:val="ListParagraph"/>
        <w:numPr>
          <w:ilvl w:val="0"/>
          <w:numId w:val="2"/>
        </w:numPr>
        <w:spacing w:after="80" w:line="276"/>
      </w:pPr>
      <w:r>
        <w:rPr>
          <w:rFonts w:ascii="Aptos" w:cs="Aptos" w:eastAsia="Aptos" w:hAnsi="Aptos"/>
          <w:b/>
          <w:bCs/>
          <w:color w:val="17324D"/>
          <w:sz w:val="21"/>
          <w:szCs w:val="21"/>
        </w:rPr>
        <w:t xml:space="preserve">T4 improved. </w:t>
      </w:r>
      <w:r>
        <w:rPr>
          <w:rFonts w:ascii="Aptos" w:cs="Aptos" w:eastAsia="Aptos" w:hAnsi="Aptos"/>
          <w:color w:val="26313D"/>
          <w:sz w:val="21"/>
          <w:szCs w:val="21"/>
        </w:rPr>
        <w:t xml:space="preserve">The chunk stating that CSPs should provide options for applicants (C49) rose from #3 to #1, with a cross-encoder score of 7.59 versus 6.85 for the dense winner (C138, an error-handling passage). The gold chunk was already in the baseline Top 3, so the LLM would have seen it either way.</w:t>
      </w:r>
    </w:p>
    <w:p>
      <w:pPr>
        <w:pStyle w:val="ListParagraph"/>
        <w:numPr>
          <w:ilvl w:val="0"/>
          <w:numId w:val="2"/>
        </w:numPr>
        <w:spacing w:after="80" w:line="276"/>
      </w:pPr>
      <w:r>
        <w:rPr>
          <w:rFonts w:ascii="Aptos" w:cs="Aptos" w:eastAsia="Aptos" w:hAnsi="Aptos"/>
          <w:b/>
          <w:bCs/>
          <w:color w:val="17324D"/>
          <w:sz w:val="21"/>
          <w:szCs w:val="21"/>
        </w:rPr>
        <w:t xml:space="preserve">T1 slipped slightly. </w:t>
      </w:r>
      <w:r>
        <w:rPr>
          <w:rFonts w:ascii="Aptos" w:cs="Aptos" w:eastAsia="Aptos" w:hAnsi="Aptos"/>
          <w:color w:val="26313D"/>
          <w:sz w:val="21"/>
          <w:szCs w:val="21"/>
        </w:rPr>
        <w:t xml:space="preserve">The IAL2 chunk (C42, cosine 0.766) fell to #2 behind C164 (cross-encoder 6.37 vs 4.90), a passage headed “Identity Assurance Level 2 Requirements”. It remained in the Top 3, so the context given to the LLM would still contain the answer. The Table 1 IAL summary chunk (C197) rose from #7 to #3.</w:t>
      </w:r>
    </w:p>
    <w:p>
      <w:pPr>
        <w:pStyle w:val="ListParagraph"/>
        <w:numPr>
          <w:ilvl w:val="0"/>
          <w:numId w:val="2"/>
        </w:numPr>
        <w:spacing w:after="80" w:line="276"/>
      </w:pPr>
      <w:r>
        <w:rPr>
          <w:rFonts w:ascii="Aptos" w:cs="Aptos" w:eastAsia="Aptos" w:hAnsi="Aptos"/>
          <w:b/>
          <w:bCs/>
          <w:color w:val="17324D"/>
          <w:sz w:val="21"/>
          <w:szCs w:val="21"/>
        </w:rPr>
        <w:t xml:space="preserve">T3 was stable. </w:t>
      </w:r>
      <w:r>
        <w:rPr>
          <w:rFonts w:ascii="Aptos" w:cs="Aptos" w:eastAsia="Aptos" w:hAnsi="Aptos"/>
          <w:color w:val="26313D"/>
          <w:sz w:val="21"/>
          <w:szCs w:val="21"/>
        </w:rPr>
        <w:t xml:space="preserve">The fraud-mitigation chunk (C39) was #1 under both pipelines, with scores of 0.848 cosine and 6.88 cross-encoder.</w:t>
      </w:r>
    </w:p>
    <w:p>
      <w:pPr>
        <w:pStyle w:val="ListParagraph"/>
        <w:numPr>
          <w:ilvl w:val="0"/>
          <w:numId w:val="2"/>
        </w:numPr>
        <w:spacing w:after="80" w:line="276"/>
      </w:pPr>
      <w:r>
        <w:rPr>
          <w:rFonts w:ascii="Aptos" w:cs="Aptos" w:eastAsia="Aptos" w:hAnsi="Aptos"/>
          <w:b/>
          <w:bCs/>
          <w:color w:val="17324D"/>
          <w:sz w:val="21"/>
          <w:szCs w:val="21"/>
        </w:rPr>
        <w:t xml:space="preserve">T2 is inconclusive. </w:t>
      </w:r>
      <w:r>
        <w:rPr>
          <w:rFonts w:ascii="Aptos" w:cs="Aptos" w:eastAsia="Aptos" w:hAnsi="Aptos"/>
          <w:color w:val="26313D"/>
          <w:sz w:val="21"/>
          <w:szCs w:val="21"/>
        </w:rPr>
        <w:t xml:space="preserve">The gold regex (“Evidence validation”, “genuine”, “authentic”) matched no chunk in the top 10, so no rank could be computed. The candidates were clearly on topic (for example C73, “Evidence Validation: The CSP SHALL validate the authenticity, accuracy, and validity…”, which the reranker placed first). The most likely explanation is that the pattern is too strict for the standard’s wording, not a retrieval failure, but this should be confirmed by inspecting the chunks.</w:t>
      </w:r>
    </w:p>
    <w:p>
      <w:pPr>
        <w:pStyle w:val="Heading2"/>
        <w:spacing w:after="100" w:before="200"/>
      </w:pPr>
      <w:r>
        <w:rPr>
          <w:rFonts w:ascii="Aptos" w:cs="Aptos" w:eastAsia="Aptos" w:hAnsi="Aptos"/>
          <w:b/>
          <w:bCs/>
          <w:color w:val="087E8B"/>
          <w:sz w:val="25"/>
          <w:szCs w:val="25"/>
        </w:rPr>
        <w:t xml:space="preserve">Distractors</w:t>
      </w:r>
    </w:p>
    <w:p>
      <w:pPr>
        <w:spacing w:after="120" w:line="276"/>
      </w:pPr>
      <w:r>
        <w:rPr>
          <w:rFonts w:ascii="Aptos" w:cs="Aptos" w:eastAsia="Aptos" w:hAnsi="Aptos"/>
          <w:color w:val="26313D"/>
          <w:sz w:val="21"/>
          <w:szCs w:val="21"/>
        </w:rPr>
        <w:t xml:space="preserve">Because the query terms in this document (evidence validation, IAL2, fraud) recur across many sections, the candidate pool was dominated by on-topic but non-gold passages. For T4 the dense Top 3 included C138 (exception and error handling in general) and C270, ahead of the gold clause. For T3 the nearest neighbours were the fraud-management overview (C85) and treatment-of-fraud sections (C96). In T1 the pool mixed IAL2 requirement passages from pages 14, 56, 58, and 64.</w:t>
      </w:r>
    </w:p>
    <w:p>
      <w:pPr>
        <w:pStyle w:val="Heading1"/>
        <w:pBdr>
          <w:bottom w:val="single" w:color="087E8B" w:sz="6" w:space="2"/>
        </w:pBdr>
        <w:spacing w:after="120" w:before="280"/>
      </w:pPr>
      <w:r>
        <w:rPr>
          <w:rFonts w:ascii="Aptos" w:cs="Aptos" w:eastAsia="Aptos" w:hAnsi="Aptos"/>
          <w:b/>
          <w:bCs/>
          <w:color w:val="17324D"/>
          <w:sz w:val="30"/>
          <w:szCs w:val="30"/>
        </w:rPr>
        <w:t xml:space="preserve">3. Latency profiling</w:t>
      </w:r>
    </w:p>
    <w:p>
      <w:pPr>
        <w:spacing w:after="120" w:line="276"/>
      </w:pPr>
      <w:r>
        <w:rPr>
          <w:rFonts w:ascii="Aptos" w:cs="Aptos" w:eastAsia="Aptos" w:hAnsi="Aptos"/>
          <w:color w:val="26313D"/>
          <w:sz w:val="21"/>
          <w:szCs w:val="21"/>
        </w:rPr>
        <w:t xml:space="preserve">Median of 10 warmed CPU trials per query. Baseline covers query embedding plus dense ranking; reranking scores the ten candidates with the cross-encoder; the advanced total is the sum of the two medians. PDF parsing, model loading, corpus embedding, and LLM generation are excluded.</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2000"/>
        <w:gridCol w:w="2664"/>
        <w:gridCol w:w="2664"/>
        <w:gridCol w:w="2666"/>
      </w:tblGrid>
      <w:tr>
        <w:trPr>
          <w:tblHeader/>
        </w:trPr>
        <w:tc>
          <w:tcPr>
            <w:tcW w:type="dxa" w:w="20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Test</w:t>
            </w:r>
          </w:p>
        </w:tc>
        <w:tc>
          <w:tcPr>
            <w:tcW w:type="dxa" w:w="2664"/>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Baseline retrieval</w:t>
            </w:r>
          </w:p>
        </w:tc>
        <w:tc>
          <w:tcPr>
            <w:tcW w:type="dxa" w:w="2664"/>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Reranking only</w:t>
            </w:r>
          </w:p>
        </w:tc>
        <w:tc>
          <w:tcPr>
            <w:tcW w:type="dxa" w:w="2666"/>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Advanced total</w:t>
            </w:r>
          </w:p>
        </w:tc>
      </w:tr>
      <w:tr>
        <w:tc>
          <w:tcPr>
            <w:tcW w:type="dxa" w:w="20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T1</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25.7 ms</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448.8 ms</w:t>
            </w:r>
          </w:p>
        </w:tc>
        <w:tc>
          <w:tcPr>
            <w:tcW w:type="dxa" w:w="2666"/>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474.5 ms</w:t>
            </w:r>
          </w:p>
        </w:tc>
      </w:tr>
      <w:tr>
        <w:tc>
          <w:tcPr>
            <w:tcW w:type="dxa" w:w="20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T2</w:t>
            </w:r>
          </w:p>
        </w:tc>
        <w:tc>
          <w:tcPr>
            <w:tcW w:type="dxa" w:w="266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25.8 ms</w:t>
            </w:r>
          </w:p>
        </w:tc>
        <w:tc>
          <w:tcPr>
            <w:tcW w:type="dxa" w:w="266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550.4 ms</w:t>
            </w:r>
          </w:p>
        </w:tc>
        <w:tc>
          <w:tcPr>
            <w:tcW w:type="dxa" w:w="2666"/>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576.2 ms</w:t>
            </w:r>
          </w:p>
        </w:tc>
      </w:tr>
      <w:tr>
        <w:tc>
          <w:tcPr>
            <w:tcW w:type="dxa" w:w="20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T3</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25.5 ms</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425.4 ms</w:t>
            </w:r>
          </w:p>
        </w:tc>
        <w:tc>
          <w:tcPr>
            <w:tcW w:type="dxa" w:w="2666"/>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450.9 ms</w:t>
            </w:r>
          </w:p>
        </w:tc>
      </w:tr>
      <w:tr>
        <w:tc>
          <w:tcPr>
            <w:tcW w:type="dxa" w:w="20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T4</w:t>
            </w:r>
          </w:p>
        </w:tc>
        <w:tc>
          <w:tcPr>
            <w:tcW w:type="dxa" w:w="266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25.3 ms</w:t>
            </w:r>
          </w:p>
        </w:tc>
        <w:tc>
          <w:tcPr>
            <w:tcW w:type="dxa" w:w="266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439.7 ms</w:t>
            </w:r>
          </w:p>
        </w:tc>
        <w:tc>
          <w:tcPr>
            <w:tcW w:type="dxa" w:w="2666"/>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465.0 ms</w:t>
            </w:r>
          </w:p>
        </w:tc>
      </w:tr>
      <w:tr>
        <w:tc>
          <w:tcPr>
            <w:tcW w:type="dxa" w:w="20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Mean</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25.6 ms</w:t>
            </w:r>
          </w:p>
        </w:tc>
        <w:tc>
          <w:tcPr>
            <w:tcW w:type="dxa" w:w="266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466.1 ms</w:t>
            </w:r>
          </w:p>
        </w:tc>
        <w:tc>
          <w:tcPr>
            <w:tcW w:type="dxa" w:w="2666"/>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491.6 ms</w:t>
            </w:r>
          </w:p>
        </w:tc>
      </w:tr>
    </w:tbl>
    <w:p>
      <w:pPr>
        <w:spacing w:after="80"/>
      </w:pPr>
    </w:p>
    <w:p>
      <w:pPr>
        <w:spacing w:after="120" w:line="276"/>
      </w:pPr>
      <w:r>
        <w:rPr>
          <w:rFonts w:ascii="Aptos" w:cs="Aptos" w:eastAsia="Aptos" w:hAnsi="Aptos"/>
          <w:color w:val="26313D"/>
          <w:sz w:val="21"/>
          <w:szCs w:val="21"/>
        </w:rPr>
        <w:t xml:space="preserve">Reranking dominates the pipeline: about 466 ms versus 26 ms for dense retrieval, roughly 18 times the baseline stage, lifting mean retrieval time from about 26 ms to 492 ms. Timings depend on hardware and load; a GPU would reduce the reranking cost.</w:t>
      </w:r>
    </w:p>
    <w:p>
      <w:pPr>
        <w:pStyle w:val="Heading1"/>
        <w:pBdr>
          <w:bottom w:val="single" w:color="087E8B" w:sz="6" w:space="2"/>
        </w:pBdr>
        <w:spacing w:after="120" w:before="280"/>
      </w:pPr>
      <w:r>
        <w:rPr>
          <w:rFonts w:ascii="Aptos" w:cs="Aptos" w:eastAsia="Aptos" w:hAnsi="Aptos"/>
          <w:b/>
          <w:bCs/>
          <w:color w:val="17324D"/>
          <w:sz w:val="30"/>
          <w:szCs w:val="30"/>
        </w:rPr>
        <w:t xml:space="preserve">4. Why not cross-encode the entire collection first?</w:t>
      </w:r>
    </w:p>
    <w:p>
      <w:pPr>
        <w:spacing w:after="120" w:line="276"/>
      </w:pPr>
      <w:r>
        <w:rPr>
          <w:rFonts w:ascii="Aptos" w:cs="Aptos" w:eastAsia="Aptos" w:hAnsi="Aptos"/>
          <w:color w:val="26313D"/>
          <w:sz w:val="21"/>
          <w:szCs w:val="21"/>
        </w:rPr>
        <w:t xml:space="preserve">A cross-encoder runs joint attention for every query-passage pair. A scaling experiment measured about 56.7 ms per pair on CPU and extrapolated linearly:</w:t>
      </w:r>
    </w:p>
    <w:tbl>
      <w:tblPr>
        <w:tblW w:type="dxa" w:w="9994"/>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494"/>
      </w:tblGrid>
      <w:tr>
        <w:trPr>
          <w:tblHeader/>
        </w:trPr>
        <w:tc>
          <w:tcPr>
            <w:tcW w:type="dxa" w:w="30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Corpus size</w:t>
            </w:r>
          </w:p>
        </w:tc>
        <w:tc>
          <w:tcPr>
            <w:tcW w:type="dxa" w:w="3500"/>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Cross-encoder on all (est. s/query)</w:t>
            </w:r>
          </w:p>
        </w:tc>
        <w:tc>
          <w:tcPr>
            <w:tcW w:type="dxa" w:w="3494"/>
            <w:tcBorders>
              <w:top w:val="single" w:color="BFCBD6" w:sz="4"/>
              <w:left w:val="single" w:color="BFCBD6" w:sz="4"/>
              <w:bottom w:val="single" w:color="BFCBD6" w:sz="4"/>
              <w:right w:val="single" w:color="BFCBD6" w:sz="4"/>
            </w:tcBorders>
            <w:shd w:fill="17324D" w:color="auto" w:val="clear"/>
            <w:tcMar>
              <w:top w:type="dxa" w:w="70"/>
              <w:left w:type="dxa" w:w="100"/>
              <w:bottom w:type="dxa" w:w="70"/>
              <w:right w:type="dxa" w:w="100"/>
            </w:tcMar>
          </w:tcPr>
          <w:p>
            <w:pPr>
              <w:spacing w:after="40"/>
            </w:pPr>
            <w:r>
              <w:rPr>
                <w:rFonts w:ascii="Aptos" w:cs="Aptos" w:eastAsia="Aptos" w:hAnsi="Aptos"/>
                <w:b/>
                <w:bCs/>
                <w:color w:val="FFFFFF"/>
                <w:sz w:val="19"/>
                <w:szCs w:val="19"/>
              </w:rPr>
              <w:t xml:space="preserve">Relative to 10 candidates</w:t>
            </w:r>
          </w:p>
        </w:tc>
      </w:tr>
      <w:tr>
        <w:tc>
          <w:tcPr>
            <w:tcW w:type="dxa" w:w="30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10 (reranking stage)</w:t>
            </w:r>
          </w:p>
        </w:tc>
        <w:tc>
          <w:tcPr>
            <w:tcW w:type="dxa" w:w="3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0.89 s</w:t>
            </w:r>
          </w:p>
        </w:tc>
        <w:tc>
          <w:tcPr>
            <w:tcW w:type="dxa" w:w="349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w:t>
            </w:r>
          </w:p>
        </w:tc>
      </w:tr>
      <w:tr>
        <w:tc>
          <w:tcPr>
            <w:tcW w:type="dxa" w:w="30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317 (this corpus)</w:t>
            </w:r>
          </w:p>
        </w:tc>
        <w:tc>
          <w:tcPr>
            <w:tcW w:type="dxa" w:w="3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17.98 s</w:t>
            </w:r>
          </w:p>
        </w:tc>
        <w:tc>
          <w:tcPr>
            <w:tcW w:type="dxa" w:w="349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≈20×</w:t>
            </w:r>
          </w:p>
        </w:tc>
      </w:tr>
      <w:tr>
        <w:tc>
          <w:tcPr>
            <w:tcW w:type="dxa" w:w="30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10,000</w:t>
            </w:r>
          </w:p>
        </w:tc>
        <w:tc>
          <w:tcPr>
            <w:tcW w:type="dxa" w:w="3500"/>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567.12 s (~9.5 min)</w:t>
            </w:r>
          </w:p>
        </w:tc>
        <w:tc>
          <w:tcPr>
            <w:tcW w:type="dxa" w:w="3494"/>
            <w:tcBorders>
              <w:top w:val="single" w:color="BFCBD6" w:sz="4"/>
              <w:left w:val="single" w:color="BFCBD6" w:sz="4"/>
              <w:bottom w:val="single" w:color="BFCBD6" w:sz="4"/>
              <w:right w:val="single" w:color="BFCBD6" w:sz="4"/>
            </w:tcBorders>
            <w:shd w:fill="FFFFFF"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≈640×</w:t>
            </w:r>
          </w:p>
        </w:tc>
      </w:tr>
      <w:tr>
        <w:tc>
          <w:tcPr>
            <w:tcW w:type="dxa" w:w="30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1,000,000</w:t>
            </w:r>
          </w:p>
        </w:tc>
        <w:tc>
          <w:tcPr>
            <w:tcW w:type="dxa" w:w="3500"/>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56,711.77 s (~15.8 h)</w:t>
            </w:r>
          </w:p>
        </w:tc>
        <w:tc>
          <w:tcPr>
            <w:tcW w:type="dxa" w:w="3494"/>
            <w:tcBorders>
              <w:top w:val="single" w:color="BFCBD6" w:sz="4"/>
              <w:left w:val="single" w:color="BFCBD6" w:sz="4"/>
              <w:bottom w:val="single" w:color="BFCBD6" w:sz="4"/>
              <w:right w:val="single" w:color="BFCBD6" w:sz="4"/>
            </w:tcBorders>
            <w:shd w:fill="EEF4F7" w:color="auto" w:val="clear"/>
            <w:tcMar>
              <w:top w:type="dxa" w:w="70"/>
              <w:left w:type="dxa" w:w="100"/>
              <w:bottom w:type="dxa" w:w="70"/>
              <w:right w:type="dxa" w:w="100"/>
            </w:tcMar>
          </w:tcPr>
          <w:p>
            <w:pPr>
              <w:spacing w:after="40"/>
            </w:pPr>
            <w:r>
              <w:rPr>
                <w:rFonts w:ascii="Aptos" w:cs="Aptos" w:eastAsia="Aptos" w:hAnsi="Aptos"/>
                <w:color w:val="26313D"/>
                <w:sz w:val="19"/>
                <w:szCs w:val="19"/>
              </w:rPr>
              <w:t xml:space="preserve">≈64,000×</w:t>
            </w:r>
          </w:p>
        </w:tc>
      </w:tr>
    </w:tbl>
    <w:p>
      <w:pPr>
        <w:spacing w:after="80"/>
      </w:pPr>
    </w:p>
    <w:p>
      <w:pPr>
        <w:spacing w:after="120" w:line="276"/>
      </w:pPr>
      <w:r>
        <w:rPr>
          <w:rFonts w:ascii="Aptos" w:cs="Aptos" w:eastAsia="Aptos" w:hAnsi="Aptos"/>
          <w:color w:val="26313D"/>
          <w:sz w:val="21"/>
          <w:szCs w:val="21"/>
        </w:rPr>
        <w:t xml:space="preserve">Scoring all 317 chunks needs 317 pairwise inferences per query instead of 10, about 32 times as many. The bi-encoder precomputes passage vectors and narrows the collection cheaply, and the cross-encoder spends its higher per-pair cost only on the strongest candidates. This design has a recall ceiling: a reranker cannot recover a relevant chunk that dense retrieval never returned.</w:t>
      </w:r>
    </w:p>
    <w:p>
      <w:pPr>
        <w:pStyle w:val="Heading1"/>
        <w:pBdr>
          <w:bottom w:val="single" w:color="087E8B" w:sz="6" w:space="2"/>
        </w:pBdr>
        <w:spacing w:after="120" w:before="280"/>
      </w:pPr>
      <w:r>
        <w:rPr>
          <w:rFonts w:ascii="Aptos" w:cs="Aptos" w:eastAsia="Aptos" w:hAnsi="Aptos"/>
          <w:b/>
          <w:bCs/>
          <w:color w:val="17324D"/>
          <w:sz w:val="30"/>
          <w:szCs w:val="30"/>
        </w:rPr>
        <w:t xml:space="preserve">5. Conclusions and limitations</w:t>
      </w:r>
    </w:p>
    <w:p>
      <w:pPr>
        <w:pStyle w:val="ListParagraph"/>
        <w:numPr>
          <w:ilvl w:val="0"/>
          <w:numId w:val="2"/>
        </w:numPr>
        <w:spacing w:after="80" w:line="276"/>
      </w:pPr>
      <w:r>
        <w:rPr>
          <w:rFonts w:ascii="Aptos" w:cs="Aptos" w:eastAsia="Aptos" w:hAnsi="Aptos"/>
          <w:color w:val="26313D"/>
          <w:sz w:val="21"/>
          <w:szCs w:val="21"/>
        </w:rPr>
        <w:t xml:space="preserve">On this document and these four queries, reranking produced one clear improvement (T4, #3 to #1), one small regression (T1, #1 to #2), one unchanged case (T3), and one case the evaluation could not score (T2).</w:t>
      </w:r>
    </w:p>
    <w:p>
      <w:pPr>
        <w:pStyle w:val="ListParagraph"/>
        <w:numPr>
          <w:ilvl w:val="0"/>
          <w:numId w:val="2"/>
        </w:numPr>
        <w:spacing w:after="80" w:line="276"/>
      </w:pPr>
      <w:r>
        <w:rPr>
          <w:rFonts w:ascii="Aptos" w:cs="Aptos" w:eastAsia="Aptos" w:hAnsi="Aptos"/>
          <w:color w:val="26313D"/>
          <w:sz w:val="21"/>
          <w:szCs w:val="21"/>
        </w:rPr>
        <w:t xml:space="preserve">No query was a baseline failure, so these tests do not demonstrate a gain in answer quality. The run is a latency and ordering study, not evidence that reranking fixes retrieval failures.</w:t>
      </w:r>
    </w:p>
    <w:p>
      <w:pPr>
        <w:pStyle w:val="ListParagraph"/>
        <w:numPr>
          <w:ilvl w:val="0"/>
          <w:numId w:val="2"/>
        </w:numPr>
        <w:spacing w:after="80" w:line="276"/>
      </w:pPr>
      <w:r>
        <w:rPr>
          <w:rFonts w:ascii="Aptos" w:cs="Aptos" w:eastAsia="Aptos" w:hAnsi="Aptos"/>
          <w:color w:val="26313D"/>
          <w:sz w:val="21"/>
          <w:szCs w:val="21"/>
        </w:rPr>
        <w:t xml:space="preserve">Reranking added about 466 ms per query on CPU, a roughly 19× increase in retrieval time, which is only justified when rank 1–3 precision matters.</w:t>
      </w:r>
    </w:p>
    <w:p>
      <w:pPr>
        <w:pStyle w:val="ListParagraph"/>
        <w:numPr>
          <w:ilvl w:val="0"/>
          <w:numId w:val="2"/>
        </w:numPr>
        <w:spacing w:after="80" w:line="276"/>
      </w:pPr>
      <w:r>
        <w:rPr>
          <w:rFonts w:ascii="Aptos" w:cs="Aptos" w:eastAsia="Aptos" w:hAnsi="Aptos"/>
          <w:color w:val="26313D"/>
          <w:sz w:val="21"/>
          <w:szCs w:val="21"/>
        </w:rPr>
        <w:t xml:space="preserve">Next steps: fix the T2 regex; add queries that stress keyword mismatch and negation (the notebook targets six or more); set ONLY_RESCUED = False to generate answer pairs for every query; and re-run to confirm results.</w:t>
      </w:r>
    </w:p>
    <w:sectPr>
      <w:pgSz w:w="12240" w:h="15840" w:orient="portrait"/>
      <w:pgMar w:top="1037" w:right="1123" w:bottom="1037" w:left="112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2wmvdoujzufrr2dtrpad" Type="http://schemas.openxmlformats.org/officeDocument/2006/relationships/hyperlink" Target="https://github.com/CL3-410/individual-project-Rakesh-C1701/tree/RAG-assign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2026-10-19T17:50:15.226Z</dcterms:created>
  <dcterms:modified xsi:type="dcterms:W3CDTF">2026-10-19T17:50:15.244Z</dcterms:modified>
</cp:coreProperties>
</file>

<file path=docProps/custom.xml><?xml version="1.0" encoding="utf-8"?>
<Properties xmlns="http://schemas.openxmlformats.org/officeDocument/2006/custom-properties" xmlns:vt="http://schemas.openxmlformats.org/officeDocument/2006/docPropsVTypes"/>
</file>