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75F"/>
          <w:sz w:val="40"/>
        </w:rPr>
        <w:t>ENTERPRISE CONTEXT BRAIN (ECB)</w:t>
      </w:r>
    </w:p>
    <w:p>
      <w:pPr>
        <w:jc w:val="center"/>
      </w:pPr>
      <w:r>
        <w:rPr>
          <w:b/>
          <w:sz w:val="32"/>
        </w:rPr>
        <w:t>Product Requirements Document — GenAI Decision Intelligence Platform</w:t>
      </w:r>
    </w:p>
    <w:p>
      <w:pPr>
        <w:jc w:val="center"/>
      </w:pPr>
      <w:r>
        <w:rPr>
          <w:i/>
          <w:sz w:val="18"/>
        </w:rPr>
        <w:t>Version 2.0 | 22 August 2026 | High-Potential GenAI Product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Document ID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Status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Depends 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ECB-PRD-02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Architecture/Product Review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Source ECB PRD v1.0; TRS-02; UX-02; FLOW-02; DATA-02; PLAN-02</w:t>
            </w:r>
          </w:p>
        </w:tc>
      </w:tr>
    </w:tbl>
    <w:p>
      <w:r>
        <w:t>Source boundary: this suite preserves the user-provided ECB product baseline and explicitly labels new technology/design recommendations as proposed architecture. The source baseline defines a governed organizational-memory and agentic decision-intelligence platform, with Manager/Project/Risk/Decision capabilities, evidence, temporal context, MCP, human approval and an MVP using Jira-like tickets, project docs/ADRs and Git. fileciteturn2file1</w:t>
      </w:r>
    </w:p>
    <w:p>
      <w:pPr>
        <w:pStyle w:val="Heading1"/>
        <w:spacing w:before="160" w:after="80"/>
      </w:pPr>
      <w:r>
        <w:t>Table of Contents</w:t>
      </w:r>
    </w:p>
    <w:p>
      <w:pPr>
        <w:pStyle w:val="ListBullet"/>
      </w:pPr>
      <w:r>
        <w:t>1 Executive Product Thesis</w:t>
      </w:r>
    </w:p>
    <w:p>
      <w:pPr>
        <w:pStyle w:val="ListBullet"/>
      </w:pPr>
      <w:r>
        <w:t>2 Market &amp; Competitive Position</w:t>
      </w:r>
    </w:p>
    <w:p>
      <w:pPr>
        <w:pStyle w:val="ListBullet"/>
      </w:pPr>
      <w:r>
        <w:t>3 Personas</w:t>
      </w:r>
    </w:p>
    <w:p>
      <w:pPr>
        <w:pStyle w:val="ListBullet"/>
      </w:pPr>
      <w:r>
        <w:t>4 Product Experience</w:t>
      </w:r>
    </w:p>
    <w:p>
      <w:pPr>
        <w:pStyle w:val="ListBullet"/>
      </w:pPr>
      <w:r>
        <w:t>5 Requirements / MoSCoW</w:t>
      </w:r>
    </w:p>
    <w:p>
      <w:pPr>
        <w:pStyle w:val="ListBullet"/>
      </w:pPr>
      <w:r>
        <w:t>6 GenAI Product Architecture</w:t>
      </w:r>
    </w:p>
    <w:p>
      <w:pPr>
        <w:pStyle w:val="ListBullet"/>
      </w:pPr>
      <w:r>
        <w:t>7 Success Metrics</w:t>
      </w:r>
    </w:p>
    <w:p>
      <w:pPr>
        <w:pStyle w:val="ListBullet"/>
      </w:pPr>
      <w:r>
        <w:t>8 Rollout</w:t>
      </w:r>
    </w:p>
    <w:p>
      <w:pPr>
        <w:pStyle w:val="ListBullet"/>
      </w:pPr>
      <w:r>
        <w:t>9 Risks</w:t>
      </w:r>
    </w:p>
    <w:p>
      <w:pPr>
        <w:pStyle w:val="ListBullet"/>
      </w:pPr>
      <w:r>
        <w:t>10 Cross-document traceability</w:t>
      </w:r>
    </w:p>
    <w:p>
      <w:pPr>
        <w:pStyle w:val="ListBullet"/>
      </w:pPr>
      <w:r>
        <w:t>Appendix References</w:t>
      </w:r>
    </w:p>
    <w:p>
      <w:pPr>
        <w:pStyle w:val="Heading1"/>
        <w:spacing w:before="160" w:after="80"/>
      </w:pPr>
      <w:r>
        <w:t>1 Executive Product Thesis</w:t>
      </w:r>
    </w:p>
    <w:p>
      <w:r>
        <w:t>ECB should be positioned as an enterprise context operating system for agentic work: not another chatbot, not document-only RAG, and not an autonomous automation bot. Its moat is a governed context layer that combines temporal organizational memory, evidence provenance, permissions, contradiction handling and controlled action.</w:t>
      </w:r>
    </w:p>
    <w:p>
      <w:pPr>
        <w:pStyle w:val="Heading1"/>
        <w:spacing w:before="160" w:after="80"/>
      </w:pPr>
      <w:r>
        <w:t>1.1 North-star experience</w:t>
      </w:r>
    </w:p>
    <w:p>
      <w:r>
        <w:rPr>
          <w:rFonts w:ascii="Consolas" w:hAnsi="Consolas"/>
          <w:sz w:val="16"/>
        </w:rPr>
        <w:t>ASK → UNDERSTAND CONTEXT → VERIFY EVIDENCE → EXPLAIN → RECOMMEND → GOVERN → ACT → LEARN</w:t>
      </w:r>
    </w:p>
    <w:p>
      <w:pPr>
        <w:pStyle w:val="ListBullet"/>
      </w:pPr>
      <w:r>
        <w:t>The source PRD identifies the core problem as fragmented organizational context across tickets, documents, meetings, code and operational systems. fileciteturn2file11</w:t>
      </w:r>
    </w:p>
    <w:p>
      <w:pPr>
        <w:pStyle w:val="ListBullet"/>
      </w:pPr>
      <w:r>
        <w:t>The MVP remains one representative/synthetic project with Jira-like tickets, project docs/ADRs, Git, Manager + Project/Risk/Decision capabilities, one actionable MCP integration and one human approval flow. fileciteturn2file1</w:t>
      </w:r>
    </w:p>
    <w:p>
      <w:pPr>
        <w:pStyle w:val="Heading1"/>
        <w:spacing w:before="160" w:after="80"/>
      </w:pPr>
      <w:r>
        <w:t>2 Market &amp; Competitive Position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Category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Typical approach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ECB differentiation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Enterprise search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Find documents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Finds context + entities + decisions + changes.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RAG assistant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Retrieve top-k chunks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Context planning, temporal memory, authority and contradiction handling.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Copilot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Assist within one workflow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Cross-system organizational memory.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Agent platform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Tools + reasoning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Governed enterprise action with evidence and policy.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Knowledge graph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Relationships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Hybrid relational/vector/context graph without requiring a graph-only architecture.</w:t>
            </w:r>
          </w:p>
        </w:tc>
      </w:tr>
    </w:tbl>
    <w:p>
      <w:r>
        <w:t>Strategic timing: current agent platforms increasingly emphasize tools, handoffs, guardrails, tracing and evaluation. OpenAI's current Agents SDK direction explicitly supports tool use, memory, sandboxed work and long-running tasks, while MCP's 2026 specification adds a stateless core, tasks, cacheable list results and stronger authorization. citeturn0search0turn0search14</w:t>
      </w:r>
    </w:p>
    <w:p>
      <w:pPr>
        <w:pStyle w:val="Heading1"/>
        <w:spacing w:before="160" w:after="80"/>
      </w:pPr>
      <w:r>
        <w:t>3 Personas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Persona</w:t>
            </w:r>
          </w:p>
        </w:tc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Job</w:t>
            </w:r>
          </w:p>
        </w:tc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Top questions</w:t>
            </w:r>
          </w:p>
        </w:tc>
        <w:tc>
          <w:tcPr>
            <w:tcW w:type="dxa" w:w="2160"/>
            <w:shd w:fill="EAF2FF"/>
          </w:tcPr>
          <w:p>
            <w:r/>
            <w:r>
              <w:rPr>
                <w:b/>
                <w:sz w:val="16"/>
              </w:rPr>
              <w:t>Design priority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Project Manager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Portfolio execution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Why delayed? What changed? What needs attention?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Engineering Lead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Technical context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Why was this architecture chosen? What dependencies changed?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Data/AI Lead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Data/model/platform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What changed in pipelines/models?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Operations Lead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Incidents/SLA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What is current operational risk?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5"/>
              </w:rPr>
              <w:t>Executive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Decision compression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What needs attention now?</w:t>
            </w:r>
          </w:p>
        </w:tc>
        <w:tc>
          <w:tcPr>
            <w:tcW w:type="dxa" w:w="2160"/>
          </w:tcPr>
          <w:p>
            <w:r/>
            <w:r>
              <w:rPr>
                <w:sz w:val="15"/>
              </w:rPr>
              <w:t>P1</w:t>
            </w:r>
          </w:p>
        </w:tc>
      </w:tr>
    </w:tbl>
    <w:p>
      <w:pPr>
        <w:pStyle w:val="Heading1"/>
        <w:spacing w:before="160" w:after="80"/>
      </w:pPr>
      <w:r>
        <w:t>4 Product Experience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Capability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Definition of done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Context intelligence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Identifies intent/entities/time and creates a context plan before retrieval.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Hybrid retrieval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Combines lexical/semantic/entity/metadata signals with reranking.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Evidence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Every material claim can be inspected to source, timestamp, authority and permission.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Temporal memory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Current, historical and superseded records are distinguished.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Conflict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Contradictions are surfaced rather than silently merged.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Agentic action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Recommendation is separated from execution; high-impact action is approval-gated.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Learning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Outcomes and feedback become governed memory/evaluation signals.</w:t>
            </w:r>
          </w:p>
        </w:tc>
      </w:tr>
    </w:tbl>
    <w:p>
      <w:pPr>
        <w:pStyle w:val="Heading1"/>
        <w:spacing w:before="160" w:after="80"/>
      </w:pPr>
      <w:r>
        <w:t>5 Functional Requirements / MoSCoW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Requirements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MUST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Ingest Jira-like, project docs/ADRs and Git; normalize canonical entities; hybrid retrieval; permission filtering; evidence; freshness; conflict detection; Manager/Project/Risk/Decision agents; one MCP action; approval; audit; trace.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SHOULD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Proactive briefings; change detection; historical learning; saved investigations; evaluation dashboard; source-health dashboard; memory feedback.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COULD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Multi-project portfolio intelligence; natural-language workflow builder; MCP Apps; agent marketplace; multimodal evidence.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WON'T MVP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Unrestricted autonomous production changes; organization-wide autonomous agent fleet; provider-specific lock-in; graph database as mandatory core.</w:t>
            </w:r>
          </w:p>
        </w:tc>
      </w:tr>
    </w:tbl>
    <w:p>
      <w:pPr>
        <w:pStyle w:val="Heading1"/>
        <w:spacing w:before="160" w:after="80"/>
      </w:pPr>
      <w:r>
        <w:t>6 GenAI Product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032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03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1. Proposed product architecture. The source architecture is retained while modernizing the agent/runtime layer.</w:t>
      </w:r>
    </w:p>
    <w:p>
      <w:pPr>
        <w:pStyle w:val="Heading1"/>
        <w:spacing w:before="160" w:after="80"/>
      </w:pPr>
      <w:r>
        <w:t>6.1 GenAI design choices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Decision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Recommendation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Model gateway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Provider-neutral abstraction with OpenAI Responses/Agents SDK-compatible adapter plus alternate model adapters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Avoid application lock-in; enable model routing/evaluation.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Agent runtime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LangGraph for durable stateful workflows OR OpenAI Agents SDK for model-native orchestration; choose one primary runtime in ADR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Current agent platforms emphasize tracing, guardrails, handoffs and long-running execution. citeturn0search1turn0search0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Memory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PostgreSQL canonical store + Qdrant/pgvector retrieval + mem0-style durable memory pattern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Separate source-of-truth entities from semantic memory.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MCP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MCP gateway with registry, policy, OAuth and approval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MCP is now a mature agent/tool integration standard with tasks and enterprise authorization. citeturn0search14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Safety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Policy engine + guardrail model + deterministic authorization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LLM confidence must never be security authorization.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Evaluation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Trace-linked datasets, retrieval metrics, groundedness, tool correctness, safety regression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Agent quality must be measured continuously.</w:t>
            </w:r>
          </w:p>
        </w:tc>
      </w:tr>
    </w:tbl>
    <w:p>
      <w:pPr>
        <w:pStyle w:val="Heading1"/>
        <w:spacing w:before="160" w:after="80"/>
      </w:pPr>
      <w:r>
        <w:t>7 Success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Metric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MVP target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Measurement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Evidence-backed answers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&gt;95%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Human/eval-set claim verification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Context API availability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≥99.9%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30-day synthetic + production telemetry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Retrieval P95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&lt;500ms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Load test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Standard answer P95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≤10s excluding model generation variance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Representative workload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Unauthorized access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Security/e2e tests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Unapproved critical actions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Policy audit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Action audit coverage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100%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Audit reconciliation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Primary workflow success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&gt;98%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E2E task telemetry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User trust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≥4/5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Pilot survey on evidence/clarity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Time-to-insight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≥50% reduction vs baseline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Controlled user study</w:t>
            </w:r>
          </w:p>
        </w:tc>
      </w:tr>
    </w:tbl>
    <w:p>
      <w:pPr>
        <w:pStyle w:val="Heading1"/>
        <w:spacing w:before="160" w:after="80"/>
      </w:pPr>
      <w:r>
        <w:t>8 Rollout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Phase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Outcome</w:t>
            </w:r>
          </w:p>
        </w:tc>
        <w:tc>
          <w:tcPr>
            <w:tcW w:type="dxa" w:w="2880"/>
            <w:shd w:fill="EAF2FF"/>
          </w:tcPr>
          <w:p>
            <w:r/>
            <w:r>
              <w:rPr>
                <w:b/>
                <w:sz w:val="16"/>
              </w:rPr>
              <w:t>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0 Discovery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Gold questions, personas, source contracts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Signed PRD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1 Context MVP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Ingestion + canonical model + retrieval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Evidence quality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2 Agent UX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Manager/Project/Risk/Decision + modern UI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Workflow success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3 Governed Action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MCP + policy + approval + audit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Zero unsafe-action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4 Pilot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Realistic workload + evaluation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SLO/security gate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5"/>
              </w:rPr>
              <w:t>5 Scale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More sources, projects, agents</w:t>
            </w:r>
          </w:p>
        </w:tc>
        <w:tc>
          <w:tcPr>
            <w:tcW w:type="dxa" w:w="2880"/>
          </w:tcPr>
          <w:p>
            <w:r/>
            <w:r>
              <w:rPr>
                <w:sz w:val="15"/>
              </w:rPr>
              <w:t>Cost/quality regression gate</w:t>
            </w:r>
          </w:p>
        </w:tc>
      </w:tr>
    </w:tbl>
    <w:p>
      <w:pPr>
        <w:pStyle w:val="Heading1"/>
        <w:spacing w:before="160" w:after="80"/>
      </w:pPr>
      <w:r>
        <w:t>9 Risks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Risk</w:t>
            </w:r>
          </w:p>
        </w:tc>
        <w:tc>
          <w:tcPr>
            <w:tcW w:type="dxa" w:w="4320"/>
            <w:shd w:fill="EAF2FF"/>
          </w:tcPr>
          <w:p>
            <w:r/>
            <w:r>
              <w:rPr>
                <w:b/>
                <w:sz w:val="16"/>
              </w:rPr>
              <w:t>Mitigation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Hallucination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Evidence requirement + claim-level citations + evals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Stale context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Source freshness SLA + temporal validity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Prompt injection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Treat retrieved content as untrusted; sanitize + tool isolation + policy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Agent overreach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Read/recommend/execute separation + approval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Model drift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Model gateway + versioned eval sets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Cost explosion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Context budgets, caching, model routing, token telemetry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5"/>
              </w:rPr>
              <w:t>UX trust failure</w:t>
            </w:r>
          </w:p>
        </w:tc>
        <w:tc>
          <w:tcPr>
            <w:tcW w:type="dxa" w:w="4320"/>
          </w:tcPr>
          <w:p>
            <w:r/>
            <w:r>
              <w:rPr>
                <w:sz w:val="15"/>
              </w:rPr>
              <w:t>Evidence-first UI, explicit uncertainty, traceable actions</w:t>
            </w:r>
          </w:p>
        </w:tc>
      </w:tr>
    </w:tbl>
    <w:p>
      <w:pPr>
        <w:pStyle w:val="Heading1"/>
        <w:spacing w:before="160" w:after="80"/>
      </w:pPr>
      <w:r>
        <w:t>10 Cross-document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EAF2FF"/>
          </w:tcPr>
          <w:p>
            <w:r/>
            <w:r>
              <w:rPr>
                <w:b/>
                <w:sz w:val="16"/>
              </w:rPr>
              <w:t>PRD</w:t>
            </w:r>
          </w:p>
        </w:tc>
        <w:tc>
          <w:tcPr>
            <w:tcW w:type="dxa" w:w="1440"/>
            <w:shd w:fill="EAF2FF"/>
          </w:tcPr>
          <w:p>
            <w:r/>
            <w:r>
              <w:rPr>
                <w:b/>
                <w:sz w:val="16"/>
              </w:rPr>
              <w:t>TRS</w:t>
            </w:r>
          </w:p>
        </w:tc>
        <w:tc>
          <w:tcPr>
            <w:tcW w:type="dxa" w:w="1440"/>
            <w:shd w:fill="EAF2FF"/>
          </w:tcPr>
          <w:p>
            <w:r/>
            <w:r>
              <w:rPr>
                <w:b/>
                <w:sz w:val="16"/>
              </w:rPr>
              <w:t>FLOW</w:t>
            </w:r>
          </w:p>
        </w:tc>
        <w:tc>
          <w:tcPr>
            <w:tcW w:type="dxa" w:w="1440"/>
            <w:shd w:fill="EAF2FF"/>
          </w:tcPr>
          <w:p>
            <w:r/>
            <w:r>
              <w:rPr>
                <w:b/>
                <w:sz w:val="16"/>
              </w:rPr>
              <w:t>UX</w:t>
            </w:r>
          </w:p>
        </w:tc>
        <w:tc>
          <w:tcPr>
            <w:tcW w:type="dxa" w:w="1440"/>
            <w:shd w:fill="EAF2FF"/>
          </w:tcPr>
          <w:p>
            <w:r/>
            <w:r>
              <w:rPr>
                <w:b/>
                <w:sz w:val="16"/>
              </w:rPr>
              <w:t>DATA</w:t>
            </w:r>
          </w:p>
        </w:tc>
        <w:tc>
          <w:tcPr>
            <w:tcW w:type="dxa" w:w="1440"/>
            <w:shd w:fill="EAF2FF"/>
          </w:tcPr>
          <w:p>
            <w:r/>
            <w:r>
              <w:rPr>
                <w:b/>
                <w:sz w:val="16"/>
              </w:rPr>
              <w:t>PLAN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FR-04 Context planning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TRS-AI-01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FLOW-CTX-01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UX-AI-01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DATA-EVID-01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PLAN-EPIC-03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FR-07 Evidence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TRS-RET-02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FLOW-EVID-01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UX-EVID-01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DATA-EVID-01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PLAN-EPIC-04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FR-09 MCP action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TRS-MCP-01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FLOW-ACT-01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UX-ACT-01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DATA-ACT-01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PLAN-EPIC-06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5"/>
              </w:rPr>
              <w:t>FR-10 Approval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TRS-POL-01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FLOW-POL-01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UX-APP-01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DATA-AUD-01</w:t>
            </w:r>
          </w:p>
        </w:tc>
        <w:tc>
          <w:tcPr>
            <w:tcW w:type="dxa" w:w="1440"/>
          </w:tcPr>
          <w:p>
            <w:r/>
            <w:r>
              <w:rPr>
                <w:sz w:val="15"/>
              </w:rPr>
              <w:t>PLAN-EPIC-06</w:t>
            </w:r>
          </w:p>
        </w:tc>
      </w:tr>
    </w:tbl>
    <w:p>
      <w:pPr>
        <w:pStyle w:val="Heading1"/>
        <w:spacing w:before="160" w:after="80"/>
      </w:pPr>
      <w:r>
        <w:t>Appendix – References</w:t>
      </w:r>
    </w:p>
    <w:p>
      <w:r>
        <w:t>OpenAI Agents SDK / agent tooling — https://openai.com/index/the-next-evolution-of-the-agents-sdk/</w:t>
      </w:r>
    </w:p>
    <w:p>
      <w:r>
        <w:t>OpenAI agent tools — https://openai.com/index/new-tools-for-building-agents/</w:t>
      </w:r>
    </w:p>
    <w:p>
      <w:r>
        <w:t>MCP 2026 specification — https://blog.modelcontextprotocol.io/posts/2026-07-28/</w:t>
      </w:r>
    </w:p>
    <w:p>
      <w:r>
        <w:t>AWS GenAI architecture guidance — https://docs.aws.amazon.com/prescriptive-guidance/latest/gen-ai-lifecycle-operational-excellence/preprod-architecting.html</w:t>
      </w:r>
    </w:p>
    <w:p>
      <w:r>
        <w:t>W3C WCAG 2.2 — https://www.w3.org/TR/WCAG22/</w:t>
      </w:r>
    </w:p>
    <w:p>
      <w:r>
        <w:t>NIST AI RMF — https://www.nist.gov/itl/ai-risk-management-framework</w:t>
      </w:r>
    </w:p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ECB | ECB-PRD-02 | v2.0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437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