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Road Accident Prediction — India</w:t>
      </w:r>
    </w:p>
    <w:p>
      <w:r>
        <w:t>This report summarises the end-to-end Machine Learning project for predicting road accidents across Indian States/UTs using time-slot data (2001–2014).</w:t>
      </w:r>
    </w:p>
    <w:p>
      <w:pPr>
        <w:pStyle w:val="Heading1"/>
      </w:pPr>
      <w:r>
        <w:t>1. Dataset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Synthetic data based on only_road_accidents_data3.csv schema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490</w:t>
            </w:r>
          </w:p>
        </w:tc>
      </w:tr>
      <w:tr>
        <w:tc>
          <w:tcPr>
            <w:tcW w:type="dxa" w:w="4320"/>
          </w:tcPr>
          <w:p>
            <w:r>
              <w:t>States / UTs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Year range</w:t>
            </w:r>
          </w:p>
        </w:tc>
        <w:tc>
          <w:tcPr>
            <w:tcW w:type="dxa" w:w="4320"/>
          </w:tcPr>
          <w:p>
            <w:r>
              <w:t>2001 – 2014</w:t>
            </w:r>
          </w:p>
        </w:tc>
      </w:tr>
      <w:tr>
        <w:tc>
          <w:tcPr>
            <w:tcW w:type="dxa" w:w="4320"/>
          </w:tcPr>
          <w:p>
            <w:r>
              <w:t>Target column</w:t>
            </w:r>
          </w:p>
        </w:tc>
        <w:tc>
          <w:tcPr>
            <w:tcW w:type="dxa" w:w="4320"/>
          </w:tcPr>
          <w:p>
            <w:r>
              <w:t>Total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0-3 hrs. (Night), 3-6 hrs. (Night), 6-9 hrs (Day), 9-12 hrs (Day), 12-15 hrs (Day), 15-18 hrs (Day), 18-21 hrs (Night), 21-24 hrs (Night)</w:t>
            </w:r>
          </w:p>
        </w:tc>
      </w:tr>
    </w:tbl>
    <w:p>
      <w:pPr>
        <w:pStyle w:val="Heading1"/>
      </w:pPr>
      <w:r>
        <w:t>2. ML Pipeline</w:t>
      </w:r>
    </w:p>
    <w:p>
      <w:pPr>
        <w:pStyle w:val="ListBullet"/>
      </w:pPr>
      <w:r>
        <w:t>Load &amp; clean — drop NaN rows</w:t>
      </w:r>
    </w:p>
    <w:p>
      <w:pPr>
        <w:pStyle w:val="ListBullet"/>
      </w:pPr>
      <w:r>
        <w:t>Label encode — STATE/UT → integer (LabelEncoder)</w:t>
      </w:r>
    </w:p>
    <w:p>
      <w:pPr>
        <w:pStyle w:val="ListBullet"/>
      </w:pPr>
      <w:r>
        <w:t>Feature engineering — NIGHT_TOTAL, DAY_TOTAL, PEAK_RATIO</w:t>
      </w:r>
    </w:p>
    <w:p>
      <w:pPr>
        <w:pStyle w:val="ListBullet"/>
      </w:pPr>
      <w:r>
        <w:t>Model comparison — Random Forest, Gradient Boosting, Ridge Regression</w:t>
      </w:r>
    </w:p>
    <w:p>
      <w:pPr>
        <w:pStyle w:val="ListBullet"/>
      </w:pPr>
      <w:r>
        <w:t>Best model auto-selected by R² on 20% hold-out: Ridge Regression</w:t>
      </w:r>
    </w:p>
    <w:p>
      <w:pPr>
        <w:pStyle w:val="ListBullet"/>
      </w:pPr>
      <w:r>
        <w:t>5-fold CV R²: 1.0000 ± 0.0000</w:t>
      </w:r>
    </w:p>
    <w:p>
      <w:pPr>
        <w:pStyle w:val="ListBullet"/>
      </w:pPr>
      <w:r>
        <w:t>Artefacts saved: rf_model.pkl, label_encoder.pkl, feature_stats.json</w:t>
      </w:r>
    </w:p>
    <w:p>
      <w:pPr>
        <w:pStyle w:val="Heading1"/>
      </w:pPr>
      <w:r>
        <w:t>3. Model Performance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Best model</w:t>
            </w:r>
          </w:p>
        </w:tc>
        <w:tc>
          <w:tcPr>
            <w:tcW w:type="dxa" w:w="2880"/>
          </w:tcPr>
          <w:p>
            <w:r>
              <w:t>Ridge Regression</w:t>
            </w:r>
          </w:p>
        </w:tc>
        <w:tc>
          <w:tcPr>
            <w:tcW w:type="dxa" w:w="2880"/>
          </w:tcPr>
          <w:p>
            <w:r>
              <w:t>Auto-selected</w:t>
            </w:r>
          </w:p>
        </w:tc>
      </w:tr>
      <w:tr>
        <w:tc>
          <w:tcPr>
            <w:tcW w:type="dxa" w:w="2880"/>
          </w:tcPr>
          <w:p>
            <w:r>
              <w:t>Test R²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20% hold-out</w:t>
            </w:r>
          </w:p>
        </w:tc>
      </w:tr>
      <w:tr>
        <w:tc>
          <w:tcPr>
            <w:tcW w:type="dxa" w:w="2880"/>
          </w:tcPr>
          <w:p>
            <w:r>
              <w:t>5-fold CV R²</w:t>
            </w:r>
          </w:p>
        </w:tc>
        <w:tc>
          <w:tcPr>
            <w:tcW w:type="dxa" w:w="2880"/>
          </w:tcPr>
          <w:p>
            <w:r>
              <w:t>1.0000 ± 0.0000</w:t>
            </w:r>
          </w:p>
        </w:tc>
        <w:tc>
          <w:tcPr>
            <w:tcW w:type="dxa" w:w="2880"/>
          </w:tcPr>
          <w:p>
            <w:r>
              <w:t>Full dataset</w:t>
            </w:r>
          </w:p>
        </w:tc>
      </w:tr>
    </w:tbl>
    <w:p>
      <w:pPr>
        <w:pStyle w:val="Heading1"/>
      </w:pPr>
      <w:r>
        <w:t>4. Exploratory Data Analysis</w:t>
      </w:r>
    </w:p>
    <w:p>
      <w:r>
        <w:t>The following charts show national trends, the states with the highest cumulative accident totals, average accidents by time slot, feature relationships, and the distribution of recorded totals.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by_y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Total accidents by year.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10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Ten states/UTs with the highest cumulative totals.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vg_by_times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Average accidents by time slot.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Correlation heatmap of numeric features.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Distribution of total accident counts.</w:t>
      </w:r>
    </w:p>
    <w:p>
      <w:pPr>
        <w:pStyle w:val="Heading1"/>
      </w:pPr>
      <w:r>
        <w:t>5. Summary Tables</w:t>
      </w:r>
    </w:p>
    <w:p>
      <w:r>
        <w:t>The tables below provide a compact view of the largest state totals and annual national totals.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State / UT</w:t>
            </w:r>
          </w:p>
        </w:tc>
        <w:tc>
          <w:tcPr>
            <w:tcW w:type="dxa" w:w="2880"/>
          </w:tcPr>
          <w:p>
            <w:r>
              <w:t>Cumulative accidents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Madhya Pradesh</w:t>
            </w:r>
          </w:p>
        </w:tc>
        <w:tc>
          <w:tcPr>
            <w:tcW w:type="dxa" w:w="2880"/>
          </w:tcPr>
          <w:p>
            <w:r>
              <w:t>204,699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Maharashtra</w:t>
            </w:r>
          </w:p>
        </w:tc>
        <w:tc>
          <w:tcPr>
            <w:tcW w:type="dxa" w:w="2880"/>
          </w:tcPr>
          <w:p>
            <w:r>
              <w:t>201,453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Uttar Pradesh</w:t>
            </w:r>
          </w:p>
        </w:tc>
        <w:tc>
          <w:tcPr>
            <w:tcW w:type="dxa" w:w="2880"/>
          </w:tcPr>
          <w:p>
            <w:r>
              <w:t>192,068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Karnataka</w:t>
            </w:r>
          </w:p>
        </w:tc>
        <w:tc>
          <w:tcPr>
            <w:tcW w:type="dxa" w:w="2880"/>
          </w:tcPr>
          <w:p>
            <w:r>
              <w:t>181,757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Rajasthan</w:t>
            </w:r>
          </w:p>
        </w:tc>
        <w:tc>
          <w:tcPr>
            <w:tcW w:type="dxa" w:w="2880"/>
          </w:tcPr>
          <w:p>
            <w:r>
              <w:t>173,344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Tamil Nadu</w:t>
            </w:r>
          </w:p>
        </w:tc>
        <w:tc>
          <w:tcPr>
            <w:tcW w:type="dxa" w:w="2880"/>
          </w:tcPr>
          <w:p>
            <w:r>
              <w:t>144,108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Andhra Pradesh</w:t>
            </w:r>
          </w:p>
        </w:tc>
        <w:tc>
          <w:tcPr>
            <w:tcW w:type="dxa" w:w="2880"/>
          </w:tcPr>
          <w:p>
            <w:r>
              <w:t>132,456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Kerala</w:t>
            </w:r>
          </w:p>
        </w:tc>
        <w:tc>
          <w:tcPr>
            <w:tcW w:type="dxa" w:w="2880"/>
          </w:tcPr>
          <w:p>
            <w:r>
              <w:t>106,354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Telangana</w:t>
            </w:r>
          </w:p>
        </w:tc>
        <w:tc>
          <w:tcPr>
            <w:tcW w:type="dxa" w:w="2880"/>
          </w:tcPr>
          <w:p>
            <w:r>
              <w:t>100,053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Puducherry</w:t>
            </w:r>
          </w:p>
        </w:tc>
        <w:tc>
          <w:tcPr>
            <w:tcW w:type="dxa" w:w="2880"/>
          </w:tcPr>
          <w:p>
            <w:r>
              <w:t>98,389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National total</w:t>
            </w:r>
          </w:p>
        </w:tc>
        <w:tc>
          <w:tcPr>
            <w:tcW w:type="dxa" w:w="2880"/>
          </w:tcPr>
          <w:p>
            <w:r>
              <w:t>Year-over-year change</w:t>
            </w:r>
          </w:p>
        </w:tc>
      </w:tr>
      <w:tr>
        <w:tc>
          <w:tcPr>
            <w:tcW w:type="dxa" w:w="2880"/>
          </w:tcPr>
          <w:p>
            <w:r>
              <w:t>2001</w:t>
            </w:r>
          </w:p>
        </w:tc>
        <w:tc>
          <w:tcPr>
            <w:tcW w:type="dxa" w:w="2880"/>
          </w:tcPr>
          <w:p>
            <w:r>
              <w:t>173,976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2002</w:t>
            </w:r>
          </w:p>
        </w:tc>
        <w:tc>
          <w:tcPr>
            <w:tcW w:type="dxa" w:w="2880"/>
          </w:tcPr>
          <w:p>
            <w:r>
              <w:t>171,531</w:t>
            </w:r>
          </w:p>
        </w:tc>
        <w:tc>
          <w:tcPr>
            <w:tcW w:type="dxa" w:w="2880"/>
          </w:tcPr>
          <w:p>
            <w:r>
              <w:t>-1.4%</w:t>
            </w:r>
          </w:p>
        </w:tc>
      </w:tr>
      <w:tr>
        <w:tc>
          <w:tcPr>
            <w:tcW w:type="dxa" w:w="2880"/>
          </w:tcPr>
          <w:p>
            <w:r>
              <w:t>2003</w:t>
            </w:r>
          </w:p>
        </w:tc>
        <w:tc>
          <w:tcPr>
            <w:tcW w:type="dxa" w:w="2880"/>
          </w:tcPr>
          <w:p>
            <w:r>
              <w:t>179,431</w:t>
            </w:r>
          </w:p>
        </w:tc>
        <w:tc>
          <w:tcPr>
            <w:tcW w:type="dxa" w:w="2880"/>
          </w:tcPr>
          <w:p>
            <w:r>
              <w:t>+4.6%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183,319</w:t>
            </w:r>
          </w:p>
        </w:tc>
        <w:tc>
          <w:tcPr>
            <w:tcW w:type="dxa" w:w="2880"/>
          </w:tcPr>
          <w:p>
            <w:r>
              <w:t>+2.2%</w:t>
            </w:r>
          </w:p>
        </w:tc>
      </w:tr>
      <w:tr>
        <w:tc>
          <w:tcPr>
            <w:tcW w:type="dxa" w:w="2880"/>
          </w:tcPr>
          <w:p>
            <w:r>
              <w:t>2005</w:t>
            </w:r>
          </w:p>
        </w:tc>
        <w:tc>
          <w:tcPr>
            <w:tcW w:type="dxa" w:w="2880"/>
          </w:tcPr>
          <w:p>
            <w:r>
              <w:t>176,883</w:t>
            </w:r>
          </w:p>
        </w:tc>
        <w:tc>
          <w:tcPr>
            <w:tcW w:type="dxa" w:w="2880"/>
          </w:tcPr>
          <w:p>
            <w:r>
              <w:t>-3.5%</w:t>
            </w:r>
          </w:p>
        </w:tc>
      </w:tr>
      <w:tr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180,127</w:t>
            </w:r>
          </w:p>
        </w:tc>
        <w:tc>
          <w:tcPr>
            <w:tcW w:type="dxa" w:w="2880"/>
          </w:tcPr>
          <w:p>
            <w:r>
              <w:t>+1.8%</w:t>
            </w:r>
          </w:p>
        </w:tc>
      </w:tr>
      <w:tr>
        <w:tc>
          <w:tcPr>
            <w:tcW w:type="dxa" w:w="2880"/>
          </w:tcPr>
          <w:p>
            <w:r>
              <w:t>2007</w:t>
            </w:r>
          </w:p>
        </w:tc>
        <w:tc>
          <w:tcPr>
            <w:tcW w:type="dxa" w:w="2880"/>
          </w:tcPr>
          <w:p>
            <w:r>
              <w:t>189,209</w:t>
            </w:r>
          </w:p>
        </w:tc>
        <w:tc>
          <w:tcPr>
            <w:tcW w:type="dxa" w:w="2880"/>
          </w:tcPr>
          <w:p>
            <w:r>
              <w:t>+5.0%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190,527</w:t>
            </w:r>
          </w:p>
        </w:tc>
        <w:tc>
          <w:tcPr>
            <w:tcW w:type="dxa" w:w="2880"/>
          </w:tcPr>
          <w:p>
            <w:r>
              <w:t>+0.7%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192,563</w:t>
            </w:r>
          </w:p>
        </w:tc>
        <w:tc>
          <w:tcPr>
            <w:tcW w:type="dxa" w:w="2880"/>
          </w:tcPr>
          <w:p>
            <w:r>
              <w:t>+1.1%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186,523</w:t>
            </w:r>
          </w:p>
        </w:tc>
        <w:tc>
          <w:tcPr>
            <w:tcW w:type="dxa" w:w="2880"/>
          </w:tcPr>
          <w:p>
            <w:r>
              <w:t>-3.1%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198,256</w:t>
            </w:r>
          </w:p>
        </w:tc>
        <w:tc>
          <w:tcPr>
            <w:tcW w:type="dxa" w:w="2880"/>
          </w:tcPr>
          <w:p>
            <w:r>
              <w:t>+6.3%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201,310</w:t>
            </w:r>
          </w:p>
        </w:tc>
        <w:tc>
          <w:tcPr>
            <w:tcW w:type="dxa" w:w="2880"/>
          </w:tcPr>
          <w:p>
            <w:r>
              <w:t>+1.5%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199,153</w:t>
            </w:r>
          </w:p>
        </w:tc>
        <w:tc>
          <w:tcPr>
            <w:tcW w:type="dxa" w:w="2880"/>
          </w:tcPr>
          <w:p>
            <w:r>
              <w:t>-1.1%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209,695</w:t>
            </w:r>
          </w:p>
        </w:tc>
        <w:tc>
          <w:tcPr>
            <w:tcW w:type="dxa" w:w="2880"/>
          </w:tcPr>
          <w:p>
            <w:r>
              <w:t>+5.3%</w:t>
            </w:r>
          </w:p>
        </w:tc>
      </w:tr>
    </w:tbl>
    <w:p>
      <w:pPr>
        <w:pStyle w:val="Heading1"/>
      </w:pPr>
      <w:r>
        <w:t>6. Application Pages</w:t>
      </w:r>
    </w:p>
    <w:p>
      <w:pPr>
        <w:pStyle w:val="ListBullet"/>
      </w:pPr>
      <w:r>
        <w:rPr>
          <w:b/>
        </w:rPr>
        <w:t xml:space="preserve">🏠 Home — </w:t>
      </w:r>
      <w:r>
        <w:t>KPI cards — total accidents, avg/year, highest-risk state, peak slot</w:t>
      </w:r>
    </w:p>
    <w:p>
      <w:pPr>
        <w:pStyle w:val="ListBullet"/>
      </w:pPr>
      <w:r>
        <w:rPr>
          <w:b/>
        </w:rPr>
        <w:t xml:space="preserve">🔮 Predict — </w:t>
      </w:r>
      <w:r>
        <w:t>Time-slot inputs → ML prediction + historical comparison chart</w:t>
      </w:r>
    </w:p>
    <w:p>
      <w:pPr>
        <w:pStyle w:val="ListBullet"/>
      </w:pPr>
      <w:r>
        <w:rPr>
          <w:b/>
        </w:rPr>
        <w:t xml:space="preserve">📊 EDA — </w:t>
      </w:r>
      <w:r>
        <w:t>Trend lines, state breakdown, correlation heatmap, scatter plot</w:t>
      </w:r>
    </w:p>
    <w:p>
      <w:pPr>
        <w:pStyle w:val="ListBullet"/>
      </w:pPr>
      <w:r>
        <w:rPr>
          <w:b/>
        </w:rPr>
        <w:t xml:space="preserve">📋 Dataset — </w:t>
      </w:r>
      <w:r>
        <w:t>Filterable raw data table with CSV download</w:t>
      </w:r>
    </w:p>
    <w:p>
      <w:pPr>
        <w:pStyle w:val="ListBullet"/>
      </w:pPr>
      <w:r>
        <w:rPr>
          <w:b/>
        </w:rPr>
        <w:t xml:space="preserve">ℹ️ About — </w:t>
      </w:r>
      <w:r>
        <w:t>Architecture, pipeline details, run instructions</w:t>
      </w:r>
    </w:p>
    <w:p>
      <w:pPr>
        <w:pStyle w:val="Heading1"/>
      </w:pPr>
      <w:r>
        <w:t>7. API-backed Frontend (ui.py)</w:t>
      </w:r>
    </w:p>
    <w:p>
      <w:r>
        <w:t>The ui.py file is a Streamlit frontend that communicates with the Flask backend through the ACCIDENT_API_URL setting. It provides four views:</w:t>
      </w:r>
    </w:p>
    <w:p>
      <w:pPr>
        <w:pStyle w:val="ListBullet"/>
      </w:pPr>
      <w:r>
        <w:rPr>
          <w:b/>
        </w:rPr>
        <w:t xml:space="preserve">Overview — </w:t>
      </w:r>
      <w:r>
        <w:t>Displays dataset KPIs, model R², and a national accident trend chart.</w:t>
      </w:r>
    </w:p>
    <w:p>
      <w:pPr>
        <w:pStyle w:val="ListBullet"/>
      </w:pPr>
      <w:r>
        <w:rPr>
          <w:b/>
        </w:rPr>
        <w:t xml:space="preserve">Predict — </w:t>
      </w:r>
      <w:r>
        <w:t>Sends state, year, and time-slot values to POST /api/predict.</w:t>
      </w:r>
    </w:p>
    <w:p>
      <w:pPr>
        <w:pStyle w:val="ListBullet"/>
      </w:pPr>
      <w:r>
        <w:rPr>
          <w:b/>
        </w:rPr>
        <w:t xml:space="preserve">Dataset — </w:t>
      </w:r>
      <w:r>
        <w:t>Loads and filters dataset rows through GET /api/dataset.</w:t>
      </w:r>
    </w:p>
    <w:p>
      <w:pPr>
        <w:pStyle w:val="ListBullet"/>
      </w:pPr>
      <w:r>
        <w:rPr>
          <w:b/>
        </w:rPr>
        <w:t xml:space="preserve">Project report — </w:t>
      </w:r>
      <w:r>
        <w:t>Displays backend health, model metadata, and dataset summary.</w:t>
      </w:r>
    </w:p>
    <w:p>
      <w:r>
        <w:t>The frontend uses GET /api/health and GET /api/model during startup. The Flask API runs on port 5000 and the Streamlit UI runs on port 8502 by default.</w:t>
      </w:r>
    </w:p>
    <w:p>
      <w:pPr>
        <w:pStyle w:val="Heading1"/>
      </w:pPr>
      <w:r>
        <w:t>8. User Interface Preview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-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Traffic-light visual used by the Streamlit navigation.</w:t>
      </w:r>
    </w:p>
    <w:p>
      <w:r>
        <w:t>The standalone app presents KPI cards, interactive Plotly charts, state and year inputs, a prediction result, EDA views, a filterable dataset table, and project information. The API-backed interface mirrors the main workflows while keeping data and predictions behind Flask endpoints.</w:t>
      </w:r>
    </w:p>
    <w:p>
      <w:pPr>
        <w:pStyle w:val="Heading1"/>
      </w:pPr>
      <w:r>
        <w:t>9. How to Run</w:t>
      </w:r>
    </w:p>
    <w:p>
      <w:r>
        <w:rPr>
          <w:rFonts w:ascii="Courier New" w:hAnsi="Courier New"/>
        </w:rPr>
        <w:t>python _complete_project.py    # setup data + train model</w:t>
        <w:br/>
        <w:t>python eda.py                  # generate EDA plots</w:t>
        <w:br/>
        <w:t>streamlit run app.py           # launch Streamlit UI</w:t>
        <w:br/>
        <w:t>python backend.py              # optional: Flask API</w:t>
        <w:br/>
        <w:t>streamlit run ui.py            # optional: API-backed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