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Supplementary Technical Appendix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Vehicle Configuration Data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 Charging Load Demand Prediction Using Machine Learning in a SUMO-Based Simulation Environment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Rakesh Biswas | Student ID: 200112 | Jashore University of Science and Technology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Simulation Vehicle Fleet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appendix provides complete vehicle parameter configurations extracted directly from the SUMO route file (Test1_rou.xml) and network file (Test1_net.xml). The simulation deploys 100 distinct electric vehicle (EV) type variants across three vehicle classes: Easy Bike (34 variants), E-Rickshaw (33 variants), and E-Van (33 variants). All vehicle types operate on a left-hand-traffic road network under the SUMO microscopic traffic simulator.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vehicle type is uniquely parameterized to reflect realistic fleet heterogeneity in the Bangladeshi urban transport context, with variations in battery state-of-charge (SOC), aerodynamic drag, powertrain efficiency, and driving dynamics. The sections below present the full extracted parameter tables for each fleet category.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Fleet Composition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Vehicle Class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 Capacity (Wh)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Speed Range (m/s)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 Bike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– 13.9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E-Rickshaw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5,760 – 7,200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– 13.9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E-Van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5,760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– 13.9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 – 13.9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A1. Summary of EV Fleet Composition in SUMO Simulation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Common Physical Parameters (All Vehicle Types)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parameters are fixed across all vehicle classes: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Emission Class: </w:t>
      </w:r>
      <w:r>
        <w:rPr>
          <w:rFonts w:ascii="Arial" w:cs="Arial" w:eastAsia="Arial" w:hAnsi="Arial"/>
          <w:sz w:val="20"/>
          <w:szCs w:val="20"/>
        </w:rPr>
        <w:t xml:space="preserve">Energy/unknown (SUMO electric vehicle model)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Internal Moment of Inertia: </w:t>
      </w:r>
      <w:r>
        <w:rPr>
          <w:rFonts w:ascii="Arial" w:cs="Arial" w:eastAsia="Arial" w:hAnsi="Arial"/>
          <w:sz w:val="20"/>
          <w:szCs w:val="20"/>
        </w:rPr>
        <w:t xml:space="preserve">0.010 kg·m²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Stopping Threshold: </w:t>
      </w:r>
      <w:r>
        <w:rPr>
          <w:rFonts w:ascii="Arial" w:cs="Arial" w:eastAsia="Arial" w:hAnsi="Arial"/>
          <w:sz w:val="20"/>
          <w:szCs w:val="20"/>
        </w:rPr>
        <w:t xml:space="preserve">0.1 m/s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Departure Position: </w:t>
      </w:r>
      <w:r>
        <w:rPr>
          <w:rFonts w:ascii="Arial" w:cs="Arial" w:eastAsia="Arial" w:hAnsi="Arial"/>
          <w:sz w:val="20"/>
          <w:szCs w:val="20"/>
        </w:rPr>
        <w:t xml:space="preserve">base (start of edge)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Lane Selection: </w:t>
      </w:r>
      <w:r>
        <w:rPr>
          <w:rFonts w:ascii="Arial" w:cs="Arial" w:eastAsia="Arial" w:hAnsi="Arial"/>
          <w:sz w:val="20"/>
          <w:szCs w:val="20"/>
        </w:rPr>
        <w:t xml:space="preserve">best (optimal lane assignment)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Simulation Duration: </w:t>
      </w:r>
      <w:r>
        <w:rPr>
          <w:rFonts w:ascii="Arial" w:cs="Arial" w:eastAsia="Arial" w:hAnsi="Arial"/>
          <w:sz w:val="20"/>
          <w:szCs w:val="20"/>
        </w:rPr>
        <w:t xml:space="preserve">0 – 600 seconds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Speed Factor Range: </w:t>
      </w:r>
      <w:r>
        <w:rPr>
          <w:rFonts w:ascii="Arial" w:cs="Arial" w:eastAsia="Arial" w:hAnsi="Arial"/>
          <w:sz w:val="20"/>
          <w:szCs w:val="20"/>
        </w:rPr>
        <w:t xml:space="preserve">0.74 – 1.10 (class-dependent)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Traffic Direction: </w:t>
      </w:r>
      <w:r>
        <w:rPr>
          <w:rFonts w:ascii="Arial" w:cs="Arial" w:eastAsia="Arial" w:hAnsi="Arial"/>
          <w:sz w:val="20"/>
          <w:szCs w:val="20"/>
        </w:rPr>
        <w:t xml:space="preserve">Left-hand traffic (lefthand=1)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Road Network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road network (Test1_net.xml) was designed using SUMO netedit v1.22.0 and consists of 9 primary junction nodes (Node1–Node9) connected by 20 directed road edges. The network is configured as a left-hand traffic system (lefthand=true) to reflect Bangladeshi road conventions. Two traffic light-controlled junctions are present: Node3 and Node8.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Network Topology Parameters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 Version: </w:t>
      </w:r>
      <w:r>
        <w:rPr>
          <w:rFonts w:ascii="Arial" w:cs="Arial" w:eastAsia="Arial" w:hAnsi="Arial"/>
          <w:sz w:val="20"/>
          <w:szCs w:val="20"/>
        </w:rPr>
        <w:t xml:space="preserve">1.20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Junction Corner Detail: </w:t>
      </w:r>
      <w:r>
        <w:rPr>
          <w:rFonts w:ascii="Arial" w:cs="Arial" w:eastAsia="Arial" w:hAnsi="Arial"/>
          <w:sz w:val="20"/>
          <w:szCs w:val="20"/>
        </w:rPr>
        <w:t xml:space="preserve">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Traffic Handedness: </w:t>
      </w:r>
      <w:r>
        <w:rPr>
          <w:rFonts w:ascii="Arial" w:cs="Arial" w:eastAsia="Arial" w:hAnsi="Arial"/>
          <w:sz w:val="20"/>
          <w:szCs w:val="20"/>
        </w:rPr>
        <w:t xml:space="preserve">Left-hand (lefthand=true)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Turn Speed Limit: </w:t>
      </w:r>
      <w:r>
        <w:rPr>
          <w:rFonts w:ascii="Arial" w:cs="Arial" w:eastAsia="Arial" w:hAnsi="Arial"/>
          <w:sz w:val="20"/>
          <w:szCs w:val="20"/>
        </w:rPr>
        <w:t xml:space="preserve">5.50 m/s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Turnarounds: </w:t>
      </w:r>
      <w:r>
        <w:rPr>
          <w:rFonts w:ascii="Arial" w:cs="Arial" w:eastAsia="Arial" w:hAnsi="Arial"/>
          <w:sz w:val="20"/>
          <w:szCs w:val="20"/>
        </w:rPr>
        <w:t xml:space="preserve">Disabled (no-turnarounds=true)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Traffic Signal Nodes: </w:t>
      </w:r>
      <w:r>
        <w:rPr>
          <w:rFonts w:ascii="Arial" w:cs="Arial" w:eastAsia="Arial" w:hAnsi="Arial"/>
          <w:sz w:val="20"/>
          <w:szCs w:val="20"/>
        </w:rPr>
        <w:t xml:space="preserve">Node3 (static TLS), Node8 (static TLS)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TLS Phase Cycle (Node3): </w:t>
      </w:r>
      <w:r>
        <w:rPr>
          <w:rFonts w:ascii="Arial" w:cs="Arial" w:eastAsia="Arial" w:hAnsi="Arial"/>
          <w:sz w:val="20"/>
          <w:szCs w:val="20"/>
        </w:rPr>
        <w:t xml:space="preserve">42 s green + 3 s yellow (2 phases)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TLS Phase Cycle (Node8): </w:t>
      </w:r>
      <w:r>
        <w:rPr>
          <w:rFonts w:ascii="Arial" w:cs="Arial" w:eastAsia="Arial" w:hAnsi="Arial"/>
          <w:sz w:val="20"/>
          <w:szCs w:val="20"/>
        </w:rPr>
        <w:t xml:space="preserve">42 s green + 3 s yellow (2 phases)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Conveyor Boundary: </w:t>
      </w:r>
      <w:r>
        <w:rPr>
          <w:rFonts w:ascii="Arial" w:cs="Arial" w:eastAsia="Arial" w:hAnsi="Arial"/>
          <w:sz w:val="20"/>
          <w:szCs w:val="20"/>
        </w:rPr>
        <w:t xml:space="preserve">(-460.98, -241.27) to (626.55, 264.54)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Edge Configuration 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edges have a uniform speed limit of 13.89 m/s (50 km/h) and consist of 2 lanes each. Reverse edges (prefixed with "-") are bidirectional counterparts. The total one-directional road network spans approximately 8,654 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560"/>
        <w:gridCol w:w="1300"/>
        <w:gridCol w:w="12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ID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Node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Node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 (m)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Lanes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(m/s)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(km/h)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Node3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Node4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Node9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Node6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Node9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E10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Node1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-E1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Node3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-E4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Node1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-E5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Node5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-E6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Node6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-E9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Node8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Node3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-E10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Node7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Node2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850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13.89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50.0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A2. Complete Road Edge Configuration Extracted from Test1_net.xml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Route Definitions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Four forward routes and four reverse routes are defined for traffic flow across the network. Vehicles depart at "base" position using best-lane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Sequence (extracted from rou.xml)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route1_forward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 → E1 → E2 → E3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route2_forward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E0 → E1 → E9 → E8 → E3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route3_forward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E4 → E5 → E6 → E7 → E8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route4_forward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E4 → E5 → E6 → E10 → E7 → E8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route1_reverse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-E3 → -E2 → -E1 → -E0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route2_reverse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-E8 → -E9 → -E1 → -E0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route3_reverse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-E8 → -E7 → -E6 → -E5 → -E4</w:t>
            </w:r>
          </w:p>
        </w:tc>
      </w:tr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route4_reverse</w:t>
            </w:r>
          </w:p>
        </w:tc>
        <w:tc>
          <w:tcPr>
            <w:tcW w:type="dxa" w:w="7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-E7 → -E10 → -E6 → -E5 → -E4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A3. Route Definitions (inferred from flow entries in Test1_rou.xml)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Easy Bike Vehicle Parameters (34 Variants)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Easy Bike is a compact electric two-/three-wheeler common in Bangladeshi urban areas. In this simulation, 34 variants (easyBike_001 to easyBike_034) are defined to capture real-world heterogeneity in battery state, motor power, and driving behavior. All variants share the following fixed physical dimensions: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Length: 2.5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Width: 1.5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Height: 1.4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Gap: 0.50–0.53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Tau (reaction time): 0.87–0.92 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Color (SUMO): RGB(0.9, 0.3, 0.9) — Magenta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Battery Configuration Ranges (Easy Bike)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Battery Capacity: 12,000 Wh (12 kWh) — uniform across all 34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Initial SOC: 800 – 5,180 Wh (6.7% – 43.2% state of charge)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Power: 800 W (variants 001–011), 900 W (variants 012–023), 1,200 W (variants 024–034)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Propulsion Efficiency: 0.810 – 0.836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Recuperation Efficiency: 0.640 – 0.666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Constant Power Intake: 29 – 33 W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Complete Easy Bike Parameter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900"/>
        <w:gridCol w:w="750"/>
        <w:gridCol w:w="750"/>
        <w:gridCol w:w="800"/>
        <w:gridCol w:w="820"/>
        <w:gridCol w:w="780"/>
        <w:gridCol w:w="700"/>
        <w:gridCol w:w="740"/>
        <w:gridCol w:w="720"/>
        <w:gridCol w:w="780"/>
      </w:tblGrid>
      <w:tr>
        <w:trPr>
          <w:tblHeader/>
        </w:trP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Speed (m/s)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 (kg)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 (Wh)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 SOC (Wh)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Power (W)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Prop. Eff.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Recup. Eff.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0.641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4620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0.644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easyBike_009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0.647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3320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0.651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0.654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easyBike_019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0.654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0.657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0.661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easyBike_029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easyBike_030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1.29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easyBike_031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0.664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easyBike_032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easyBike_033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easyBike_034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1.31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0.666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A4. Easy Bike Variant Parameters Extracted from Test1_rou.xml (easyBike_001 – easyBike_034)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E-Rickshaw Vehicle Parameters (33 Variants)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E-Rickshaw is a three-wheeled electric passenger vehicle widely used in Bangladesh for last-mile connectivity. Thirty-three variants (eRickshaw_001 to eRickshaw_033) are defined with progressively increasing maximum speed, efficiency, and battery capacity (from 5,760 Wh to 7,200 Wh for later variants). Fixed physical dimensions: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Length: 2.3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Width: 1.0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Height: 1.8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Gap: 0.82–0.83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Tau (reaction time): 1.88–1.94 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Color (SUMO): RGB(0, 0.9, 0) — Green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 Surface Area: 1.50–1.51 m²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Battery Configuration Ranges (E-Rickshaw)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Battery Capacity: 5,760 Wh (variants 001–018), 7,200 Wh (variants 019–033)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Initial SOC: 2,200 – 3,000 Wh (38.2% – 52.1% state of charge)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Power: 800 W (variants 001–004), 900 W (variants 005–016), 1,000 W (variants 017–033)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Propulsion Efficiency: 0.790 – 0.874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Recuperation Efficiency: 0.510 – 0.594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Constant Power Intake: 24 – 30 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Air Drag Coefficient: 0.806 – 0.890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Complete E-Rickshaw Parameter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900"/>
        <w:gridCol w:w="750"/>
        <w:gridCol w:w="750"/>
        <w:gridCol w:w="800"/>
        <w:gridCol w:w="820"/>
        <w:gridCol w:w="780"/>
        <w:gridCol w:w="700"/>
        <w:gridCol w:w="740"/>
        <w:gridCol w:w="720"/>
        <w:gridCol w:w="780"/>
      </w:tblGrid>
      <w:tr>
        <w:trPr>
          <w:tblHeader/>
        </w:trP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Speed (m/s)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 (kg)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 (Wh)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 SOC (Wh)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Power (W)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Prop. Eff.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Recup. Eff.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0.510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2220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0.513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0.516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eRickshaw_009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2320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2380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2420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2440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eRickshaw_019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0.829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0.839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0.572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eRickshaw_029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0.861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0.581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eRickshaw_030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0.865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0.585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eRickshaw_031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0.868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0.588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eRickshaw_032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2950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0.591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eRickshaw_033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3000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0.594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A5. E-Rickshaw Variant Parameters Extracted from Test1_rou.xml (eRickshaw_001 – eRickshaw_033)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E-Van Vehicle Parameters (33 Variants)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E-Van is a compact electric cargo/passenger van used for goods transportation and shared mobility in Bangladesh. Thirty-three variants (eVan_001 to eVan_033) are defined with incrementally increasing speed and efficiency. Fixed physical dimensions: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Length: 2.4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Width: 1.3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Height: 2.2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Minimum Gap: 2.01–2.02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Tau (reaction time): 1.72–1.76 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Color (SUMO): RGB(0.2, 0.6, 0.9) — Blue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Front Surface Area: 2.40–2.41 m² (largest frontal area among the three classes)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Battery Configuration Ranges (E-Van)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Battery Capacity: 5,760 Wh — uniform across all 33 variants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Initial SOC: 1,403 – 1,990 Wh (24.4% – 34.5% state of charge — lowest initial SOC among all classes)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Maximum Power: 900 W (variants 001–016), 1,000 W (variants 017–033)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Propulsion Efficiency: 0.840 – 0.946 (highest efficiency range among all classes)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Recuperation Efficiency: 0.700 – 0.796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Constant Power Intake: 80 – 96 W (highest constant power draw — due to larger vehicle accessories)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Air Drag Coefficient: 0.754 – 0.850</w:t>
      </w:r>
    </w:p>
    <w:p>
      <w:pPr>
        <w:spacing w:after="6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Complete E-Van Parameter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900"/>
        <w:gridCol w:w="750"/>
        <w:gridCol w:w="750"/>
        <w:gridCol w:w="800"/>
        <w:gridCol w:w="820"/>
        <w:gridCol w:w="780"/>
        <w:gridCol w:w="700"/>
        <w:gridCol w:w="740"/>
        <w:gridCol w:w="720"/>
        <w:gridCol w:w="780"/>
      </w:tblGrid>
      <w:tr>
        <w:trPr>
          <w:tblHeader/>
        </w:trP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Decel (m/s²)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Sigma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Speed (m/s)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 (kg)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Battery (Wh)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 SOC (Wh)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Power (W)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Prop. Eff.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Recup. Eff.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1990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1903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1916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0.846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1829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1842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1855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1868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1881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eVan_009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1904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0.856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0.716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1817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1830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1943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1856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0.880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1769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0.883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207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1782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0.886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1795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0.889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0.739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208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1708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0.893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0.57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1721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0.896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0.746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eVan_019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209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1734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0.900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1647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0.903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0.906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0.56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13.0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1573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0.910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13.1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211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1586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eVan_024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2.71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13.2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1599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0.766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eVan_025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13.3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212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1612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0.920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eVan_026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2.72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13.4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1525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0.923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eVan_027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13.5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1538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0.926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0.776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eVan_028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2.73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13.6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1551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0.930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eVan_029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13.7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1464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0.933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eVan_030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2.74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13.8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1477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0.936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0.786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eVan_031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215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1490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0.940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0.790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eVan_032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1403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0.943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0.793</w:t>
            </w:r>
          </w:p>
        </w:tc>
      </w:tr>
      <w:tr>
        <w:tc>
          <w:tcPr>
            <w:tcW w:type="dxa" w:w="1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eVan_033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2.76</w:t>
            </w:r>
          </w:p>
        </w:tc>
        <w:tc>
          <w:tcPr>
            <w:tcW w:type="dxa" w:w="75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13.9</w:t>
            </w:r>
          </w:p>
        </w:tc>
        <w:tc>
          <w:tcPr>
            <w:tcW w:type="dxa" w:w="8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5760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1416</w:t>
            </w:r>
          </w:p>
        </w:tc>
        <w:tc>
          <w:tcPr>
            <w:tcW w:type="dxa" w:w="7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7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0.946</w:t>
            </w:r>
          </w:p>
        </w:tc>
        <w:tc>
          <w:tcPr>
            <w:tcW w:type="dxa" w:w="7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0.796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A6. E-Van Variant Parameters Extracted from Test1_rou.xml (eVan_001 – eVan_033)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Traffic Flow Configuration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of the 100 vehicle type variants is assigned to exactly one traffic flow definition (flow_001 to flow_100). Flows define the route, departure time window, and spawning rate (vehicles per hour) for each variant. The table below summarizes the flow distribution across vehicle classes.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 IDs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Begin Range (s)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vehsPerHour Range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Used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Easy Bike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001–034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– 195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– 21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8 routes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E-Rickshaw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035–067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– 340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– 81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8 routes</w:t>
            </w:r>
          </w:p>
        </w:tc>
      </w:tr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E-Van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068–100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– 500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– 75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8 routes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A7. Traffic Flow Distribution by Vehicle Class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All flows share departPos="base" (vehicles depart from the start of the edge) and departLane="best" (SUMO selects the optimal departure lane). The simulation end time for all flows is t = 600 s.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Inter-Class Parameter Comparison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table below provides a direct comparison of key averaged parameters across the three vehicle classes, enabling understanding of how each class contributes differently to the system-level charging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Easy Bike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E-Rickshaw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E-Van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Body Dimensions (L×W×H)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2.5×1.5×1.4 m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2.3×1.0×1.8 m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2.4×1.3×2.2 m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Battery Capacity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Wh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5,760–7,200 Wh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5,760 Wh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Avg. Vehicle Mass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~349 kg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~208 kg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~207 kg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 Power Range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800–1,200 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800–1,000 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900–1,000 W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Avg. Accel. (m/s²)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~1.23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~0.65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~0.75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 Speed Range (m/s)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11.1–13.9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11.1–13.9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11.1–13.9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Avg. Propulsion Eff.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~0.823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~0.832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~0.893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Avg. Recup. Eff.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~0.653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~0.553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~0.748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Const. Power Intake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29–33 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24–30 W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80–96 W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 Drag Coeff.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0.727–0.760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0.806–0.890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0.754–0.850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Front Surface Area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~1.00–1.01 m²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~1.50–1.51 m²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~2.40–2.41 m²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Reaction Time (tau)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0.87–0.92 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1.88–1.94 s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1.72–1.76 s</w:t>
            </w:r>
          </w:p>
        </w:tc>
      </w:tr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SUMO Color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Magenta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Blue</w:t>
            </w:r>
          </w:p>
        </w:tc>
      </w:tr>
    </w:tbl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A8. Cross-Class Vehicle Parameter Comparison (averaged or range values)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Supplementary Technical Appendix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Source files: Test1_rou.xml, Test1_net.xml | Jashore University of Science and Technology |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2026-04-10T05:39:58.868Z</dcterms:created>
  <dcterms:modified xsi:type="dcterms:W3CDTF">2026-04-10T05:39:58.871Z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